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92FCE">
      <w:pPr>
        <w:pStyle w:val="3"/>
        <w:spacing w:line="560" w:lineRule="exact"/>
        <w:jc w:val="center"/>
        <w:rPr>
          <w:rFonts w:eastAsia="仿宋"/>
          <w:b/>
          <w:sz w:val="32"/>
          <w:szCs w:val="32"/>
          <w:highlight w:val="none"/>
        </w:rPr>
      </w:pPr>
      <w:bookmarkStart w:id="0" w:name="_Toc35894782"/>
      <w:bookmarkStart w:id="1" w:name="_Toc35680015"/>
      <w:r>
        <w:rPr>
          <w:rFonts w:eastAsia="仿宋"/>
          <w:b/>
          <w:sz w:val="32"/>
          <w:szCs w:val="32"/>
          <w:highlight w:val="none"/>
        </w:rPr>
        <w:t>15.项目绩效目标表</w:t>
      </w:r>
      <w:bookmarkEnd w:id="0"/>
      <w:bookmarkEnd w:id="1"/>
      <w:r>
        <w:rPr>
          <w:rFonts w:eastAsia="仿宋"/>
          <w:b/>
          <w:sz w:val="32"/>
          <w:szCs w:val="32"/>
          <w:highlight w:val="none"/>
        </w:rPr>
        <w:t>（格式）</w:t>
      </w:r>
    </w:p>
    <w:tbl>
      <w:tblPr>
        <w:tblStyle w:val="6"/>
        <w:tblW w:w="96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0"/>
        <w:gridCol w:w="1605"/>
        <w:gridCol w:w="2568"/>
        <w:gridCol w:w="3447"/>
      </w:tblGrid>
      <w:tr w14:paraId="7B22D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3BC38B">
            <w:pPr>
              <w:widowControl/>
              <w:jc w:val="center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eastAsia="仿宋"/>
                <w:kern w:val="0"/>
                <w:sz w:val="20"/>
                <w:szCs w:val="20"/>
                <w:highlight w:val="none"/>
              </w:rPr>
              <w:t>申报项目名称</w:t>
            </w:r>
          </w:p>
        </w:tc>
        <w:tc>
          <w:tcPr>
            <w:tcW w:w="762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7219F9">
            <w:pPr>
              <w:widowControl/>
              <w:jc w:val="center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AI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生物医药全栈研发平台构建与创新药管线赋能</w:t>
            </w:r>
          </w:p>
        </w:tc>
      </w:tr>
      <w:tr w14:paraId="4B6B1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2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FE38A5">
            <w:pPr>
              <w:widowControl/>
              <w:jc w:val="center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eastAsia="仿宋"/>
                <w:kern w:val="0"/>
                <w:sz w:val="20"/>
                <w:szCs w:val="20"/>
                <w:highlight w:val="none"/>
              </w:rPr>
              <w:t>项目申报单位</w:t>
            </w:r>
          </w:p>
        </w:tc>
        <w:tc>
          <w:tcPr>
            <w:tcW w:w="762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B221A8">
            <w:pPr>
              <w:widowControl/>
              <w:jc w:val="center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上海天鹜科技有限公司</w:t>
            </w:r>
          </w:p>
        </w:tc>
      </w:tr>
      <w:tr w14:paraId="795EF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  <w:jc w:val="center"/>
        </w:trPr>
        <w:tc>
          <w:tcPr>
            <w:tcW w:w="2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31237">
            <w:pPr>
              <w:widowControl/>
              <w:jc w:val="center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eastAsia="仿宋"/>
                <w:kern w:val="0"/>
                <w:sz w:val="20"/>
                <w:szCs w:val="20"/>
                <w:highlight w:val="none"/>
              </w:rPr>
              <w:t>项目计划总投资</w:t>
            </w:r>
          </w:p>
        </w:tc>
        <w:tc>
          <w:tcPr>
            <w:tcW w:w="762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F2CBCD">
            <w:pPr>
              <w:widowControl/>
              <w:jc w:val="center"/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20000万元</w:t>
            </w:r>
          </w:p>
        </w:tc>
      </w:tr>
      <w:tr w14:paraId="29B41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13597">
            <w:pPr>
              <w:widowControl/>
              <w:jc w:val="center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eastAsia="仿宋"/>
                <w:kern w:val="0"/>
                <w:sz w:val="20"/>
                <w:szCs w:val="20"/>
                <w:highlight w:val="none"/>
              </w:rPr>
              <w:t>招标项目名称</w:t>
            </w:r>
          </w:p>
        </w:tc>
        <w:tc>
          <w:tcPr>
            <w:tcW w:w="762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0006EE">
            <w:pPr>
              <w:widowControl/>
              <w:jc w:val="center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2026年人工智能赋能生物医药关键技术项目</w:t>
            </w:r>
          </w:p>
        </w:tc>
      </w:tr>
      <w:tr w14:paraId="6999A2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2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2153B">
            <w:pPr>
              <w:widowControl/>
              <w:jc w:val="center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eastAsia="仿宋"/>
                <w:kern w:val="0"/>
                <w:sz w:val="20"/>
                <w:szCs w:val="20"/>
                <w:highlight w:val="none"/>
              </w:rPr>
              <w:t>总体目标</w:t>
            </w:r>
          </w:p>
        </w:tc>
        <w:tc>
          <w:tcPr>
            <w:tcW w:w="762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C6ABBA">
            <w:pPr>
              <w:widowControl/>
              <w:jc w:val="center"/>
              <w:rPr>
                <w:rFonts w:hint="eastAsia"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本项目将围绕“AI+生物医药研发全链条智能化”目标，构建以领域大模型为核心、干湿闭环智能体为驱动、自动化实验室为支撑的一体化研发平台。建设内容包括：</w:t>
            </w:r>
          </w:p>
          <w:p w14:paraId="6BA165E8">
            <w:pPr>
              <w:widowControl/>
              <w:jc w:val="center"/>
              <w:rPr>
                <w:rFonts w:hint="eastAsia"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​1. 研发工具链与数据底座：构建支持生物序列、分子结构、实验表型等多源数据统一治理与标准化调用的平台底座。通过模块化封装，集成与适配主流模型、算法及计算仿真工具，实现可配置、可复用的智能化科研工作流编排系统。</w:t>
            </w:r>
          </w:p>
          <w:p w14:paraId="3C8731FE">
            <w:pPr>
              <w:widowControl/>
              <w:jc w:val="center"/>
              <w:rPr>
                <w:rFonts w:hint="eastAsia"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​2. 领域大模型与核心算法库：针对小分子、多肽、抗体、核酸等关键对象，构建高质量领域数据集，研发具备强泛化能力的生物医药研发大模型及核心算法模块，为上游发现提供核心AI能力。</w:t>
            </w:r>
          </w:p>
          <w:p w14:paraId="587980ED">
            <w:pPr>
              <w:widowControl/>
              <w:jc w:val="center"/>
              <w:rPr>
                <w:rFonts w:hint="eastAsia"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​3. 干湿闭环智能体：研发能够自主调用数据、模型与计算工具的智能体，面向靶点发现、分子设计等复杂任务，实现从AI生成、实验调度到结果反馈的自主闭环，减少人工干预。</w:t>
            </w:r>
          </w:p>
          <w:p w14:paraId="0E13B90A">
            <w:pPr>
              <w:widowControl/>
              <w:jc w:val="center"/>
              <w:rPr>
                <w:rFonts w:hint="eastAsia"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​4. 场景应用与创新药管线：在小分子、多肽、抗体、核酸等多个赛道开展“模型—实验—迭代”验证，重点推动平台在多家企业内部创新药管线的应用，实现研发效率的实质性提升，并形成相关技术标准，加速AI在生物医药行业的产业化落地。</w:t>
            </w:r>
          </w:p>
          <w:p w14:paraId="4A7532E7">
            <w:pPr>
              <w:widowControl/>
              <w:jc w:val="center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项目将充分发挥天鹜科技在AI大模型、智能体与自动化湿实验的融合优势，全面覆盖专项技术内容与指标，加速AI驱动的生物医药研发革新。</w:t>
            </w:r>
          </w:p>
        </w:tc>
      </w:tr>
      <w:tr w14:paraId="65EA5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BD3EEF">
            <w:pPr>
              <w:widowControl/>
              <w:jc w:val="center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eastAsia="仿宋"/>
                <w:kern w:val="0"/>
                <w:sz w:val="20"/>
                <w:szCs w:val="20"/>
                <w:highlight w:val="yellow"/>
              </w:rPr>
              <w:t>绩效指标</w:t>
            </w:r>
          </w:p>
        </w:tc>
        <w:tc>
          <w:tcPr>
            <w:tcW w:w="16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91FB9C">
            <w:pPr>
              <w:widowControl/>
              <w:jc w:val="center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eastAsia="仿宋"/>
                <w:kern w:val="0"/>
                <w:sz w:val="20"/>
                <w:szCs w:val="20"/>
                <w:highlight w:val="none"/>
              </w:rPr>
              <w:t>指标类别</w:t>
            </w: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9F52FA">
            <w:pPr>
              <w:widowControl/>
              <w:jc w:val="center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eastAsia="仿宋"/>
                <w:kern w:val="0"/>
                <w:sz w:val="20"/>
                <w:szCs w:val="20"/>
                <w:highlight w:val="none"/>
              </w:rPr>
              <w:t>指标名称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8DFCFFE">
            <w:pPr>
              <w:widowControl/>
              <w:jc w:val="center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eastAsia="仿宋"/>
                <w:kern w:val="0"/>
                <w:sz w:val="20"/>
                <w:szCs w:val="20"/>
                <w:highlight w:val="none"/>
              </w:rPr>
              <w:t>指标值</w:t>
            </w:r>
          </w:p>
        </w:tc>
      </w:tr>
      <w:tr w14:paraId="31FB4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D426D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8AC49">
            <w:pPr>
              <w:widowControl/>
              <w:jc w:val="center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eastAsia="仿宋"/>
                <w:kern w:val="0"/>
                <w:sz w:val="20"/>
                <w:szCs w:val="20"/>
                <w:highlight w:val="none"/>
              </w:rPr>
              <w:t>定量指标</w:t>
            </w: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FB53CD">
            <w:pPr>
              <w:widowControl/>
              <w:numPr>
                <w:ilvl w:val="0"/>
                <w:numId w:val="1"/>
              </w:numPr>
              <w:jc w:val="left"/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多源生物医药数据统一接入与管理类别数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5853AEB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≥5类（生物序列、分子结构、文献专利、制药情报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等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）</w:t>
            </w:r>
          </w:p>
        </w:tc>
      </w:tr>
      <w:tr w14:paraId="748DF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7D550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F5FF08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971F99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多模态生物医药知识库建设规模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7473B8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专利≥100万条、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医学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情报≥100万条、文献≥1000万条</w:t>
            </w:r>
          </w:p>
        </w:tc>
      </w:tr>
      <w:tr w14:paraId="49353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F06AF1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9BD705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B05E12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研发对象领域高质量数据集建设类别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DEE725">
            <w:pPr>
              <w:widowControl/>
              <w:jc w:val="left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≥4类</w:t>
            </w:r>
          </w:p>
        </w:tc>
      </w:tr>
      <w:tr w14:paraId="7D42CA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93805D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DF42A7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E82F94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研发对象领域数据集建设规模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BF08923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蛋白质序列＞300亿条、小分子化合物（反应）≥50万条</w:t>
            </w:r>
            <w:bookmarkStart w:id="2" w:name="_GoBack"/>
            <w:bookmarkEnd w:id="2"/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；多肽/抗体序列≥1000万条；核酸序列≥10亿条</w:t>
            </w:r>
          </w:p>
        </w:tc>
      </w:tr>
      <w:tr w14:paraId="1981D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DDAA39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CBA98C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50855D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领域模型/算法组件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B07ED5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≥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6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个</w:t>
            </w:r>
          </w:p>
        </w:tc>
      </w:tr>
      <w:tr w14:paraId="37708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C8196F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4B0C39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449BB7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领域大模型或核心算法模块建成数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755947">
            <w:pPr>
              <w:widowControl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≥3个</w:t>
            </w:r>
          </w:p>
        </w:tc>
      </w:tr>
      <w:tr w14:paraId="4C4DE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FD4919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E040BF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7622A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计算/仿真/实验工具集成对接数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26B0A">
            <w:pPr>
              <w:widowControl/>
              <w:jc w:val="left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≥12个，实现模块化封装与自动化调度</w:t>
            </w:r>
          </w:p>
        </w:tc>
      </w:tr>
      <w:tr w14:paraId="709A9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6F32B1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E87B4B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D9EFD2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干湿闭环科研智能体建成数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CC8D3B">
            <w:pPr>
              <w:widowControl/>
              <w:jc w:val="left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≥5个</w:t>
            </w:r>
          </w:p>
        </w:tc>
      </w:tr>
      <w:tr w14:paraId="21E3E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4499F5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F628CD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71960D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干湿闭环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自动化执行率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5F5796">
            <w:pPr>
              <w:widowControl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≥80%</w:t>
            </w:r>
          </w:p>
        </w:tc>
      </w:tr>
      <w:tr w14:paraId="27EE8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1FF6CD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B9E4A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282EB3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自动化实验系统接口对接与闭环联动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8B1FE0">
            <w:pPr>
              <w:widowControl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≥1套，贯通“AI生成—实验调度—数据回传—模型迭代”</w:t>
            </w:r>
          </w:p>
        </w:tc>
      </w:tr>
      <w:tr w14:paraId="2D9C1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60281B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49D1F7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BED087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自动化实验通量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C52F9B">
            <w:pPr>
              <w:widowControl/>
              <w:jc w:val="left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每12h可实现≥6轮，每轮6-12个样品的纯化与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检测</w:t>
            </w:r>
          </w:p>
        </w:tc>
      </w:tr>
      <w:tr w14:paraId="09219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172675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576EA7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046F2D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可配置、可复用科研工作流模板数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19446E">
            <w:pPr>
              <w:widowControl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≥10套</w:t>
            </w:r>
          </w:p>
        </w:tc>
      </w:tr>
      <w:tr w14:paraId="5F4BD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8708E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2C7C01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4C7C6C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平台技术服务及许可累计收入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B6F93F">
            <w:pPr>
              <w:widowControl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≥5000万元</w:t>
            </w:r>
          </w:p>
        </w:tc>
      </w:tr>
      <w:tr w14:paraId="06232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2292EC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C415EA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2EA56F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平台支撑典型应用场景类别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017AAA">
            <w:pPr>
              <w:widowControl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≥3类</w:t>
            </w:r>
          </w:p>
        </w:tc>
      </w:tr>
      <w:tr w14:paraId="62F4D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13AE65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6FFE06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E8AE487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合作企业典型研发任务效率提升幅度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FA8377">
            <w:pPr>
              <w:widowControl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≥40%</w:t>
            </w:r>
          </w:p>
        </w:tc>
      </w:tr>
      <w:tr w14:paraId="60C74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21FCCA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5A2BFB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CCB907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平台服务企业数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E2BBE1">
            <w:pPr>
              <w:widowControl/>
              <w:jc w:val="left"/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≥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10家</w:t>
            </w:r>
          </w:p>
        </w:tc>
      </w:tr>
      <w:tr w14:paraId="744B7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9B430B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CBA886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D777A3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平台注册服务用户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FAB561">
            <w:pPr>
              <w:widowControl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≥20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0人</w:t>
            </w:r>
          </w:p>
        </w:tc>
      </w:tr>
      <w:tr w14:paraId="1EF77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854D6A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7384BB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58CFC6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知识产权及标准成果转化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9AD244">
            <w:pPr>
              <w:widowControl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发明专利≥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3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项、软著≥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1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项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eastAsia="zh-CN"/>
              </w:rPr>
              <w:t>、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牵头或参与制定相关国家标准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eastAsia="zh-CN"/>
              </w:rPr>
              <w:t>≥3项</w:t>
            </w:r>
          </w:p>
        </w:tc>
      </w:tr>
      <w:tr w14:paraId="0ABC6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4113E7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C47230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CA238C"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...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1ECBB3">
            <w:pPr>
              <w:widowControl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</w:rPr>
            </w:pPr>
          </w:p>
        </w:tc>
      </w:tr>
      <w:tr w14:paraId="11192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4B1287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723294">
            <w:pPr>
              <w:widowControl/>
              <w:jc w:val="center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eastAsia="仿宋"/>
                <w:kern w:val="0"/>
                <w:sz w:val="20"/>
                <w:szCs w:val="20"/>
                <w:highlight w:val="none"/>
              </w:rPr>
              <w:t>定性指标</w:t>
            </w: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23EC37">
            <w:pPr>
              <w:widowControl/>
              <w:numPr>
                <w:ilvl w:val="0"/>
                <w:numId w:val="2"/>
              </w:numPr>
              <w:jc w:val="left"/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  <w:t>促进生物医药产业智能化转型升级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C4B337">
            <w:pPr>
              <w:widowControl/>
              <w:jc w:val="left"/>
              <w:rPr>
                <w:rFonts w:eastAsia="仿宋"/>
                <w:kern w:val="0"/>
                <w:sz w:val="24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推动早研由“经验驱动+单点工具”向“数据驱动+平台化智能体”转变</w:t>
            </w:r>
          </w:p>
        </w:tc>
      </w:tr>
      <w:tr w14:paraId="4D91E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7F68A6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AF5C60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FD1EB4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  <w:t>促进研发工具链标准化与互联互通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113092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破解数据复杂、工具异构、流程难自动等共性瓶颈</w:t>
            </w:r>
          </w:p>
        </w:tc>
      </w:tr>
      <w:tr w14:paraId="0509A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2D1618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D89FBB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23192C5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  <w:t>促进AI预测与湿实验验证深度融合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D861A8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建立“模型预测—实验验证—结果反馈”闭环，提升可重复性与证据链完整性</w:t>
            </w:r>
          </w:p>
        </w:tc>
      </w:tr>
      <w:tr w14:paraId="75070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FBA184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540D97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FAF604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  <w:t>促进创新药源头创新能力提升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AC9928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增强靶点发现、分子设计、生物分子优化等上游环节自主创新能力</w:t>
            </w:r>
          </w:p>
        </w:tc>
      </w:tr>
      <w:tr w14:paraId="1818D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712D84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A0F4FC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932915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  <w:t>促进产学研用协同创新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F3E946">
            <w:pPr>
              <w:widowControl/>
              <w:jc w:val="left"/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推动联合体协同攻关与产业化验证机制形成</w:t>
            </w:r>
          </w:p>
        </w:tc>
      </w:tr>
      <w:tr w14:paraId="57F92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A93C85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FF8692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3C1B17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  <w:t>促进研发知识沉淀与组织能力提升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46BA11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将文献、专利、实验数据、模型决策等知识结构化沉淀，支撑持续迭代</w:t>
            </w:r>
          </w:p>
        </w:tc>
      </w:tr>
      <w:tr w14:paraId="174EE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715B13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BDF2E7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AC156A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  <w:t>促进平台成果可复制推广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5E45CD">
            <w:pPr>
              <w:widowControl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形成可推广的工程化示范路径、工作流模板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等</w:t>
            </w:r>
          </w:p>
        </w:tc>
      </w:tr>
      <w:tr w14:paraId="57946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7438E5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47F8A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E16801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  <w:t>促进区域生物医药产业集群高质量发展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0EFEC3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打造具有示范效应的AI生物医药全栈研发平台</w:t>
            </w:r>
          </w:p>
        </w:tc>
      </w:tr>
      <w:tr w14:paraId="6EAD8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4B2E2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15ECCB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72D206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  <w:t>推动AI赋能生物医药标准体系完善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887F82">
            <w:pPr>
              <w:widowControl/>
              <w:jc w:val="left"/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</w:rPr>
              <w:t>通过国家标准/团体标准研制，推动数据治理、智能体与评测方法规范化</w:t>
            </w: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等</w:t>
            </w:r>
          </w:p>
        </w:tc>
      </w:tr>
      <w:tr w14:paraId="61FE8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8446D3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60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26086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7FDC51B8">
            <w:pPr>
              <w:widowControl/>
              <w:jc w:val="left"/>
              <w:rPr>
                <w:rFonts w:hint="default" w:eastAsia="仿宋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仿宋"/>
                <w:kern w:val="0"/>
                <w:sz w:val="20"/>
                <w:szCs w:val="20"/>
                <w:highlight w:val="none"/>
                <w:lang w:val="en-US" w:eastAsia="zh-CN"/>
              </w:rPr>
              <w:t>...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13DCE21">
            <w:pPr>
              <w:widowControl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</w:p>
        </w:tc>
      </w:tr>
      <w:tr w14:paraId="2CBF4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1" w:hRule="atLeast"/>
          <w:jc w:val="center"/>
        </w:trPr>
        <w:tc>
          <w:tcPr>
            <w:tcW w:w="96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E5705D">
            <w:pPr>
              <w:widowControl/>
              <w:spacing w:after="240"/>
              <w:jc w:val="left"/>
              <w:rPr>
                <w:rFonts w:eastAsia="仿宋"/>
                <w:kern w:val="0"/>
                <w:sz w:val="20"/>
                <w:szCs w:val="20"/>
                <w:highlight w:val="none"/>
              </w:rPr>
            </w:pPr>
            <w:r>
              <w:rPr>
                <w:rFonts w:eastAsia="仿宋"/>
                <w:kern w:val="0"/>
                <w:sz w:val="20"/>
                <w:szCs w:val="20"/>
                <w:highlight w:val="yellow"/>
              </w:rPr>
              <w:t>注： 1.绩效指标分为定量指标和定性指标两类。</w:t>
            </w:r>
            <w:r>
              <w:rPr>
                <w:rFonts w:eastAsia="黑体"/>
                <w:b/>
                <w:bCs/>
                <w:kern w:val="0"/>
                <w:sz w:val="20"/>
                <w:szCs w:val="20"/>
                <w:highlight w:val="yellow"/>
              </w:rPr>
              <w:t>其中定量指标包括核心技术指标、</w:t>
            </w:r>
            <w:r>
              <w:rPr>
                <w:rFonts w:hint="eastAsia" w:eastAsia="黑体"/>
                <w:b/>
                <w:bCs/>
                <w:kern w:val="0"/>
                <w:sz w:val="20"/>
                <w:szCs w:val="20"/>
                <w:highlight w:val="yellow"/>
              </w:rPr>
              <w:t>产业</w:t>
            </w:r>
            <w:r>
              <w:rPr>
                <w:rFonts w:eastAsia="黑体"/>
                <w:b/>
                <w:bCs/>
                <w:kern w:val="0"/>
                <w:sz w:val="20"/>
                <w:szCs w:val="20"/>
                <w:highlight w:val="yellow"/>
              </w:rPr>
              <w:t>化</w:t>
            </w:r>
            <w:r>
              <w:rPr>
                <w:rFonts w:hint="eastAsia" w:eastAsia="黑体"/>
                <w:b/>
                <w:bCs/>
                <w:kern w:val="0"/>
                <w:sz w:val="20"/>
                <w:szCs w:val="20"/>
                <w:highlight w:val="yellow"/>
              </w:rPr>
              <w:t>指标（产能/产量等）</w:t>
            </w:r>
            <w:r>
              <w:rPr>
                <w:rFonts w:eastAsia="黑体"/>
                <w:b/>
                <w:bCs/>
                <w:kern w:val="0"/>
                <w:sz w:val="20"/>
                <w:szCs w:val="20"/>
                <w:highlight w:val="yellow"/>
              </w:rPr>
              <w:t>、应用目标、对外提供服务、技术成果转化等方面（指标名称），相关指标值须量化可考核。定性指标主要包括促进产业转型升级、促进智能化、绿色化发展、提升质量安全、推动产业升级等社会效益方面（指标名称）。</w:t>
            </w:r>
            <w:r>
              <w:rPr>
                <w:rFonts w:eastAsia="仿宋"/>
                <w:kern w:val="0"/>
                <w:sz w:val="20"/>
                <w:szCs w:val="20"/>
                <w:highlight w:val="yellow"/>
              </w:rPr>
              <w:t>项目申报单位应结合项目实际情况填写。</w:t>
            </w:r>
            <w:r>
              <w:rPr>
                <w:rFonts w:eastAsia="仿宋"/>
                <w:kern w:val="0"/>
                <w:sz w:val="20"/>
                <w:szCs w:val="20"/>
                <w:highlight w:val="yellow"/>
              </w:rPr>
              <w:br w:type="textWrapping"/>
            </w:r>
            <w:r>
              <w:rPr>
                <w:rFonts w:eastAsia="仿宋"/>
                <w:kern w:val="0"/>
                <w:sz w:val="20"/>
                <w:szCs w:val="20"/>
                <w:highlight w:val="yellow"/>
              </w:rPr>
              <w:t xml:space="preserve">     2.项目绩效目标将作为绩效评价和验收考核的重要依据之一，请按要求认真填写。</w:t>
            </w:r>
          </w:p>
        </w:tc>
      </w:tr>
    </w:tbl>
    <w:p w14:paraId="2D230F53">
      <w:pPr>
        <w:rPr>
          <w:rFonts w:eastAsia="仿宋"/>
          <w:b/>
          <w:sz w:val="24"/>
          <w:highlight w:val="none"/>
        </w:rPr>
      </w:pPr>
    </w:p>
    <w:p w14:paraId="6EF2A141">
      <w:pPr>
        <w:wordWrap w:val="0"/>
        <w:spacing w:before="120" w:beforeLines="50" w:line="276" w:lineRule="auto"/>
        <w:ind w:left="-137" w:leftChars="-49" w:firstLine="15"/>
        <w:jc w:val="right"/>
        <w:rPr>
          <w:rFonts w:eastAsia="仿宋"/>
          <w:b/>
          <w:sz w:val="24"/>
          <w:highlight w:val="none"/>
        </w:rPr>
      </w:pPr>
      <w:r>
        <w:rPr>
          <w:rFonts w:eastAsia="仿宋"/>
          <w:b/>
          <w:sz w:val="24"/>
          <w:highlight w:val="none"/>
        </w:rPr>
        <w:t>投标人名称（公章）： （联合体全称）</w:t>
      </w:r>
      <w:r>
        <w:rPr>
          <w:rFonts w:hint="eastAsia" w:eastAsia="仿宋"/>
          <w:b/>
          <w:sz w:val="24"/>
          <w:highlight w:val="none"/>
        </w:rPr>
        <w:t xml:space="preserve"> </w:t>
      </w:r>
      <w:r>
        <w:rPr>
          <w:rFonts w:eastAsia="仿宋"/>
          <w:b/>
          <w:sz w:val="24"/>
          <w:highlight w:val="none"/>
        </w:rPr>
        <w:t xml:space="preserve">                       </w:t>
      </w:r>
    </w:p>
    <w:p w14:paraId="58F5E97F">
      <w:pPr>
        <w:wordWrap w:val="0"/>
        <w:spacing w:before="120" w:beforeLines="50" w:line="276" w:lineRule="auto"/>
        <w:ind w:left="-137" w:leftChars="-49" w:firstLine="15"/>
        <w:jc w:val="right"/>
        <w:rPr>
          <w:rFonts w:eastAsia="仿宋"/>
          <w:b/>
          <w:sz w:val="24"/>
          <w:highlight w:val="none"/>
        </w:rPr>
      </w:pPr>
      <w:r>
        <w:rPr>
          <w:rFonts w:eastAsia="仿宋"/>
          <w:b/>
          <w:sz w:val="24"/>
          <w:highlight w:val="none"/>
        </w:rPr>
        <w:t>法定代表人或其授权代表（签字或盖章）：</w:t>
      </w:r>
      <w:r>
        <w:rPr>
          <w:rFonts w:hint="eastAsia" w:eastAsia="仿宋"/>
          <w:b/>
          <w:sz w:val="24"/>
          <w:highlight w:val="none"/>
        </w:rPr>
        <w:t xml:space="preserve"> </w:t>
      </w:r>
      <w:r>
        <w:rPr>
          <w:rFonts w:eastAsia="仿宋"/>
          <w:b/>
          <w:sz w:val="24"/>
          <w:highlight w:val="none"/>
        </w:rPr>
        <w:t xml:space="preserve">                </w:t>
      </w:r>
    </w:p>
    <w:p w14:paraId="6CD5E63E">
      <w:pPr>
        <w:spacing w:before="120" w:beforeLines="50" w:line="276" w:lineRule="auto"/>
        <w:ind w:left="-137" w:leftChars="-49"/>
        <w:jc w:val="right"/>
        <w:rPr>
          <w:rFonts w:eastAsia="仿宋"/>
          <w:bCs/>
          <w:sz w:val="24"/>
          <w:highlight w:val="none"/>
        </w:rPr>
      </w:pPr>
      <w:r>
        <w:rPr>
          <w:rFonts w:eastAsia="仿宋"/>
          <w:bCs/>
          <w:sz w:val="24"/>
          <w:highlight w:val="none"/>
        </w:rPr>
        <w:t>日    期：</w:t>
      </w:r>
      <w:r>
        <w:rPr>
          <w:rFonts w:hint="eastAsia" w:eastAsia="仿宋"/>
          <w:bCs/>
          <w:sz w:val="24"/>
          <w:highlight w:val="none"/>
        </w:rPr>
        <w:t>2026</w:t>
      </w:r>
      <w:r>
        <w:rPr>
          <w:rFonts w:eastAsia="仿宋"/>
          <w:bCs/>
          <w:sz w:val="24"/>
          <w:highlight w:val="none"/>
        </w:rPr>
        <w:t>年     月     日</w:t>
      </w:r>
    </w:p>
    <w:p w14:paraId="578675F2">
      <w:pPr>
        <w:widowControl/>
        <w:jc w:val="left"/>
        <w:rPr>
          <w:rFonts w:eastAsia="仿宋"/>
          <w:b/>
          <w:sz w:val="21"/>
          <w:szCs w:val="21"/>
          <w:highlight w:val="none"/>
        </w:rPr>
      </w:pPr>
    </w:p>
    <w:p w14:paraId="5280DE8C">
      <w:pPr>
        <w:widowControl/>
        <w:jc w:val="left"/>
        <w:rPr>
          <w:rFonts w:eastAsia="仿宋"/>
          <w:b/>
          <w:sz w:val="21"/>
          <w:szCs w:val="21"/>
          <w:highlight w:val="none"/>
        </w:rPr>
      </w:pPr>
    </w:p>
    <w:p w14:paraId="41B39113">
      <w:pPr>
        <w:widowControl/>
        <w:jc w:val="left"/>
        <w:rPr>
          <w:rFonts w:hint="eastAsia" w:eastAsia="仿宋"/>
          <w:b/>
          <w:sz w:val="21"/>
          <w:szCs w:val="21"/>
          <w:highlight w:val="none"/>
          <w:lang w:eastAsia="zh-CN"/>
        </w:rPr>
      </w:pPr>
      <w:r>
        <w:rPr>
          <w:rFonts w:eastAsia="仿宋"/>
          <w:b/>
          <w:sz w:val="21"/>
          <w:szCs w:val="21"/>
          <w:highlight w:val="none"/>
        </w:rPr>
        <w:t>说明：联合体投标的由联合体牵头人提供，加盖联合体牵头人公章，由联合体牵头人法定代表人或其授权代表签字或盖章</w:t>
      </w:r>
      <w:r>
        <w:rPr>
          <w:rFonts w:hint="eastAsia" w:eastAsia="仿宋"/>
          <w:b/>
          <w:sz w:val="21"/>
          <w:szCs w:val="21"/>
          <w:highlight w:val="none"/>
          <w:lang w:eastAsia="zh-CN"/>
        </w:rPr>
        <w:t>。</w:t>
      </w:r>
    </w:p>
    <w:p w14:paraId="624E2EA9">
      <w:pPr>
        <w:pStyle w:val="2"/>
        <w:rPr>
          <w:rFonts w:hint="eastAsia" w:eastAsia="仿宋"/>
          <w:b/>
          <w:sz w:val="21"/>
          <w:szCs w:val="21"/>
          <w:highlight w:val="none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4913A69">
      <w:pPr>
        <w:spacing w:line="360" w:lineRule="auto"/>
        <w:ind w:firstLine="482" w:firstLineChars="200"/>
        <w:jc w:val="left"/>
        <w:rPr>
          <w:rFonts w:eastAsia="仿宋"/>
          <w:b/>
          <w:sz w:val="24"/>
          <w:highlight w:val="none"/>
        </w:rPr>
      </w:pPr>
      <w:r>
        <w:rPr>
          <w:rFonts w:eastAsia="仿宋"/>
          <w:b/>
          <w:sz w:val="24"/>
          <w:highlight w:val="none"/>
        </w:rPr>
        <w:t>附：项目主要内容和主要指标</w:t>
      </w:r>
    </w:p>
    <w:tbl>
      <w:tblPr>
        <w:tblStyle w:val="6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265"/>
        <w:gridCol w:w="4528"/>
        <w:gridCol w:w="5721"/>
        <w:gridCol w:w="1357"/>
      </w:tblGrid>
      <w:tr w14:paraId="224CA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566908">
            <w:pPr>
              <w:spacing w:line="360" w:lineRule="auto"/>
              <w:ind w:firstLine="0" w:firstLineChars="0"/>
              <w:jc w:val="center"/>
              <w:rPr>
                <w:rFonts w:eastAsia="仿宋"/>
                <w:b/>
                <w:sz w:val="24"/>
                <w:highlight w:val="none"/>
              </w:rPr>
            </w:pPr>
            <w:r>
              <w:rPr>
                <w:rFonts w:eastAsia="仿宋"/>
                <w:b/>
                <w:sz w:val="24"/>
                <w:highlight w:val="none"/>
              </w:rPr>
              <w:t>任务号</w:t>
            </w:r>
          </w:p>
        </w:tc>
        <w:tc>
          <w:tcPr>
            <w:tcW w:w="4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37550B">
            <w:pPr>
              <w:spacing w:line="360" w:lineRule="auto"/>
              <w:ind w:firstLine="0" w:firstLineChars="0"/>
              <w:jc w:val="center"/>
              <w:rPr>
                <w:rFonts w:eastAsia="仿宋"/>
                <w:b/>
                <w:sz w:val="24"/>
                <w:highlight w:val="none"/>
              </w:rPr>
            </w:pPr>
            <w:r>
              <w:rPr>
                <w:rFonts w:eastAsia="仿宋"/>
                <w:b/>
                <w:sz w:val="24"/>
                <w:highlight w:val="none"/>
              </w:rPr>
              <w:t>重点任务</w:t>
            </w:r>
          </w:p>
        </w:tc>
        <w:tc>
          <w:tcPr>
            <w:tcW w:w="16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4EA45E">
            <w:pPr>
              <w:spacing w:line="360" w:lineRule="auto"/>
              <w:ind w:firstLine="0" w:firstLineChars="0"/>
              <w:jc w:val="center"/>
              <w:rPr>
                <w:rFonts w:eastAsia="仿宋"/>
                <w:b/>
                <w:sz w:val="24"/>
                <w:highlight w:val="none"/>
              </w:rPr>
            </w:pPr>
            <w:r>
              <w:rPr>
                <w:rFonts w:eastAsia="仿宋"/>
                <w:b/>
                <w:sz w:val="24"/>
                <w:highlight w:val="none"/>
              </w:rPr>
              <w:t>主要建设内容（主要攻关内容）</w:t>
            </w:r>
          </w:p>
        </w:tc>
        <w:tc>
          <w:tcPr>
            <w:tcW w:w="2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0CEE4">
            <w:pPr>
              <w:spacing w:line="360" w:lineRule="auto"/>
              <w:ind w:firstLine="0" w:firstLineChars="0"/>
              <w:jc w:val="center"/>
              <w:rPr>
                <w:rFonts w:eastAsia="仿宋"/>
                <w:b/>
                <w:sz w:val="24"/>
                <w:highlight w:val="none"/>
              </w:rPr>
            </w:pPr>
            <w:r>
              <w:rPr>
                <w:rFonts w:eastAsia="仿宋"/>
                <w:b/>
                <w:sz w:val="24"/>
                <w:highlight w:val="none"/>
              </w:rPr>
              <w:t>主要指标（主要攻关指标）</w:t>
            </w: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7454F">
            <w:pPr>
              <w:spacing w:line="360" w:lineRule="auto"/>
              <w:ind w:firstLine="0" w:firstLineChars="0"/>
              <w:jc w:val="center"/>
              <w:rPr>
                <w:rFonts w:eastAsia="仿宋"/>
                <w:b/>
                <w:sz w:val="24"/>
                <w:highlight w:val="none"/>
              </w:rPr>
            </w:pPr>
            <w:r>
              <w:rPr>
                <w:rFonts w:eastAsia="仿宋"/>
                <w:b/>
                <w:sz w:val="24"/>
                <w:highlight w:val="none"/>
              </w:rPr>
              <w:t>项目实施期限</w:t>
            </w:r>
          </w:p>
        </w:tc>
      </w:tr>
      <w:tr w14:paraId="5AACF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EB90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auto"/>
              <w:rPr>
                <w:rFonts w:eastAsia="仿宋"/>
                <w:sz w:val="24"/>
                <w:highlight w:val="none"/>
              </w:rPr>
            </w:pPr>
            <w:r>
              <w:rPr>
                <w:rFonts w:hint="eastAsia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t>213</w:t>
            </w:r>
          </w:p>
        </w:tc>
        <w:tc>
          <w:tcPr>
            <w:tcW w:w="4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2CF80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auto"/>
              <w:rPr>
                <w:rFonts w:eastAsia="仿宋"/>
                <w:sz w:val="24"/>
                <w:highlight w:val="none"/>
              </w:rPr>
            </w:pPr>
            <w:r>
              <w:rPr>
                <w:rFonts w:hint="eastAsia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t>人工智能赋能生物医药关键技术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A205A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auto"/>
              <w:rPr>
                <w:rFonts w:hint="eastAsia" w:eastAsia="仿宋"/>
                <w:sz w:val="24"/>
                <w:highlight w:val="none"/>
                <w:u w:val="none"/>
                <w:lang w:bidi="ar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t>1.AI+生物医药研发工具链：构建覆盖研发全流程的智能化工具链体系，解决数据类型复杂、工具异构等问题，支持生物序列、分子结构、实验表型等多源数据的统一管理与标准化调用，实现模型、算法、计算工具与实验接口的模块化封装与自动化调度。通过构建可配置、可复用的科研工作流，降低对单一工具和人工经验的依赖，为研发智能化提供底座支撑。</w:t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t>2.AI+生物医药研发大模型：研发面向小分子、核酸药物、多肽等对象的领域大模型，推动其在靶点识别、分子生成、性质预测等任务中的泛化应用。</w:t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t>3.AI+生物医药研发智能体：构建面向抗体设计、酶工程优化、多肽筛选等任务的科研智能体，能够自主调用数据、模型和计算工具，完成假设生成、方案设计与结果评估，支撑复杂科研任务自动化执行，提升跨工具、跨模型协同能力。</w:t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t>4.AI+生物医药研发场景应用：聚焦小分子、难成药靶点发现、先导分子设计等典型场景，形成“模型预测—实验验证—结果反馈”的闭环应用模式，推动AI能力工程化、产业化落地，加速成果转化。</w:t>
            </w:r>
          </w:p>
        </w:tc>
        <w:tc>
          <w:tcPr>
            <w:tcW w:w="5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54F0FE">
            <w:pPr>
              <w:keepNext w:val="0"/>
              <w:keepLines w:val="0"/>
              <w:widowControl/>
              <w:suppressLineNumbers w:val="0"/>
              <w:spacing w:after="0" w:afterAutospacing="0" w:line="360" w:lineRule="auto"/>
              <w:jc w:val="left"/>
              <w:textAlignment w:val="auto"/>
              <w:rPr>
                <w:rFonts w:hint="eastAsia" w:eastAsia="仿宋"/>
                <w:sz w:val="24"/>
                <w:highlight w:val="none"/>
                <w:u w:val="none"/>
                <w:lang w:bidi="ar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t>技术指标：</w:t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t>1.AI+生物医药研发工具链：建成覆盖研发全流程的智能化工具链，支持不少于3类生物医药数据的统一管理与标准化调用；预置或适配不少于5个相关模型或算法组件，实现模型、计算工具与实验接口的模块化封装与自动化调度；集成或对接不少于10个计算或仿真工具，支持多工具协同的科研工作流编排与执行；</w:t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t>2.AI+生物医药研发大模型：构建不少于2类典型研发对象（如小分子、核酸、多肽）的领域数据集；研发不少于2个领域大模型或核心能力模块；</w:t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t>3.AI+生物医药研发智能体：研发不少于3个面向靶点发现、分子设计或生物分子优化等任务的科研智能体，支持跨数据、模型与工具的自主调用，实现多步骤科研任务自动化执行，在典型场景中人工干预减少50%以上；</w:t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t>4.AI+生物医药研发场景应用：支撑不少于3类典型应用场景，包括新药研发、生物制品优化及生物制造工艺改进。</w:t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t>工程化/产业化指标：</w:t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t>1.支撑不少于5家生物医药或生物制造企业开展应用；</w:t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t>2.实现研发效率提升不低于40%；</w:t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仿宋" w:cs="Times New Roman"/>
                <w:i w:val="0"/>
                <w:iCs w:val="0"/>
                <w:kern w:val="2"/>
                <w:sz w:val="24"/>
                <w:szCs w:val="24"/>
                <w:highlight w:val="none"/>
                <w:u w:val="none"/>
                <w:lang w:val="en-US" w:eastAsia="zh-CN" w:bidi="ar"/>
              </w:rPr>
              <w:t>3.牵头或参与制定不少于3项相关国家标准。</w:t>
            </w: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EB5ACC">
            <w:pPr>
              <w:spacing w:line="360" w:lineRule="auto"/>
              <w:ind w:firstLine="0" w:firstLineChars="0"/>
              <w:jc w:val="center"/>
              <w:rPr>
                <w:rFonts w:eastAsia="仿宋"/>
                <w:sz w:val="24"/>
                <w:highlight w:val="none"/>
              </w:rPr>
            </w:pPr>
            <w:r>
              <w:rPr>
                <w:rFonts w:eastAsia="仿宋"/>
                <w:sz w:val="24"/>
                <w:highlight w:val="none"/>
              </w:rPr>
              <w:t>最多不超过</w:t>
            </w:r>
            <w:r>
              <w:rPr>
                <w:rFonts w:hint="eastAsia" w:eastAsia="仿宋"/>
                <w:sz w:val="24"/>
                <w:highlight w:val="none"/>
                <w:lang w:val="en-US" w:eastAsia="zh-CN"/>
              </w:rPr>
              <w:t>2</w:t>
            </w:r>
            <w:r>
              <w:rPr>
                <w:rFonts w:eastAsia="仿宋"/>
                <w:sz w:val="24"/>
                <w:highlight w:val="none"/>
              </w:rPr>
              <w:t>年</w:t>
            </w:r>
          </w:p>
        </w:tc>
      </w:tr>
    </w:tbl>
    <w:p w14:paraId="76A96FD3">
      <w:pPr>
        <w:spacing w:line="560" w:lineRule="exact"/>
        <w:rPr>
          <w:rFonts w:hint="eastAsia" w:eastAsia="仿宋"/>
          <w:b/>
          <w:sz w:val="24"/>
          <w:highlight w:val="none"/>
        </w:rPr>
        <w:sectPr>
          <w:pgSz w:w="16781" w:h="11849" w:orient="landscape"/>
          <w:pgMar w:top="1985" w:right="1588" w:bottom="2098" w:left="1474" w:header="1418" w:footer="992" w:gutter="0"/>
          <w:cols w:space="720" w:num="1"/>
          <w:docGrid w:linePitch="451" w:charSpace="0"/>
        </w:sectPr>
      </w:pPr>
    </w:p>
    <w:p w14:paraId="519953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3CDDD1"/>
    <w:multiLevelType w:val="singleLevel"/>
    <w:tmpl w:val="103CDDD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02934D0"/>
    <w:multiLevelType w:val="singleLevel"/>
    <w:tmpl w:val="302934D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6685C"/>
    <w:rsid w:val="002C2D23"/>
    <w:rsid w:val="00BD02F5"/>
    <w:rsid w:val="039C5442"/>
    <w:rsid w:val="03FF6922"/>
    <w:rsid w:val="080B6AB8"/>
    <w:rsid w:val="0AE00324"/>
    <w:rsid w:val="0D270472"/>
    <w:rsid w:val="107462EF"/>
    <w:rsid w:val="11435D86"/>
    <w:rsid w:val="11515553"/>
    <w:rsid w:val="1252783C"/>
    <w:rsid w:val="12DF1E11"/>
    <w:rsid w:val="13253165"/>
    <w:rsid w:val="150A637D"/>
    <w:rsid w:val="16927D9B"/>
    <w:rsid w:val="16EB49D1"/>
    <w:rsid w:val="17470051"/>
    <w:rsid w:val="17AB40CA"/>
    <w:rsid w:val="18A83216"/>
    <w:rsid w:val="19722A75"/>
    <w:rsid w:val="1BBE4B7E"/>
    <w:rsid w:val="1C8B0B60"/>
    <w:rsid w:val="1EA94ACF"/>
    <w:rsid w:val="1F4612E0"/>
    <w:rsid w:val="204851B4"/>
    <w:rsid w:val="24213A15"/>
    <w:rsid w:val="24D91E5B"/>
    <w:rsid w:val="25CB3927"/>
    <w:rsid w:val="265E07A1"/>
    <w:rsid w:val="27BC3249"/>
    <w:rsid w:val="27E73ADA"/>
    <w:rsid w:val="284335FE"/>
    <w:rsid w:val="2D410C84"/>
    <w:rsid w:val="2EC87C28"/>
    <w:rsid w:val="31C02DBE"/>
    <w:rsid w:val="35267D16"/>
    <w:rsid w:val="35D22DC1"/>
    <w:rsid w:val="36D560D8"/>
    <w:rsid w:val="37671737"/>
    <w:rsid w:val="377B7D18"/>
    <w:rsid w:val="38734563"/>
    <w:rsid w:val="3894610C"/>
    <w:rsid w:val="38C961D9"/>
    <w:rsid w:val="3E3D2DA2"/>
    <w:rsid w:val="40DE7A63"/>
    <w:rsid w:val="42AB42DE"/>
    <w:rsid w:val="446A73A6"/>
    <w:rsid w:val="45F83A10"/>
    <w:rsid w:val="46AE7B35"/>
    <w:rsid w:val="4ACF2AAF"/>
    <w:rsid w:val="4C1B1639"/>
    <w:rsid w:val="4D291361"/>
    <w:rsid w:val="4D692048"/>
    <w:rsid w:val="51FF3663"/>
    <w:rsid w:val="5445603F"/>
    <w:rsid w:val="55A04AF4"/>
    <w:rsid w:val="56833BAA"/>
    <w:rsid w:val="58363C5B"/>
    <w:rsid w:val="58374AE4"/>
    <w:rsid w:val="59831C2A"/>
    <w:rsid w:val="5C617EBD"/>
    <w:rsid w:val="60087388"/>
    <w:rsid w:val="603308B1"/>
    <w:rsid w:val="624D5485"/>
    <w:rsid w:val="625A20E9"/>
    <w:rsid w:val="69D56819"/>
    <w:rsid w:val="6D265DE3"/>
    <w:rsid w:val="6DD83511"/>
    <w:rsid w:val="6EF24CFD"/>
    <w:rsid w:val="71D260B4"/>
    <w:rsid w:val="729222CB"/>
    <w:rsid w:val="7611343A"/>
    <w:rsid w:val="79263294"/>
    <w:rsid w:val="7ACF0C4A"/>
    <w:rsid w:val="7AE15EB4"/>
    <w:rsid w:val="7B6C7305"/>
    <w:rsid w:val="7B823047"/>
    <w:rsid w:val="7CA86399"/>
    <w:rsid w:val="7DB10718"/>
    <w:rsid w:val="7E5A57E9"/>
    <w:rsid w:val="7F1B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keepNext/>
      <w:spacing w:line="460" w:lineRule="exact"/>
      <w:outlineLvl w:val="0"/>
    </w:pPr>
    <w:rPr>
      <w:szCs w:val="2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tabs>
        <w:tab w:val="left" w:pos="567"/>
      </w:tabs>
      <w:spacing w:before="120" w:line="22" w:lineRule="atLeast"/>
    </w:pPr>
    <w:rPr>
      <w:rFonts w:ascii="宋体" w:hAnsi="宋体" w:eastAsia="宋体" w:cs="Times New Roman"/>
      <w:sz w:val="24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2637</Words>
  <Characters>2752</Characters>
  <Lines>0</Lines>
  <Paragraphs>0</Paragraphs>
  <TotalTime>12</TotalTime>
  <ScaleCrop>false</ScaleCrop>
  <LinksUpToDate>false</LinksUpToDate>
  <CharactersWithSpaces>2818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2026-06-12T07:26:00Z</dcterms:created>
  <dc:creator>Matwings</dc:creator>
  <cp:lastModifiedBy>WPS_1618378173</cp:lastModifiedBy>
  <dcterms:modified xsi:type="dcterms:W3CDTF">2026-06-17T04:33:10Z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eyJoZGlkIjoiMDY1YTIxZjExOWYxMWQyN2Y0MmY3OWYwYWFjOTcwMDciLCJ1c2VySWQiOiIxMjAwMzY4OTcwIn0=</vt:lpwstr>
  </property>
  <property fmtid="{D5CDD505-2E9C-101B-9397-08002B2CF9AE}" pid="4" name="ICV">
    <vt:lpwstr>E5CD965A8E8B4CB69F24A41208147361_12</vt:lpwstr>
  </property>
  <property fmtid="{D5CDD505-2E9C-101B-9397-08002B2CF9AE}" pid="5" name="_IPGFID">
    <vt:lpwstr>[DocID]=276E70F5-9E1D-477F-8E1F-7C84FC2A8CF0</vt:lpwstr>
  </property>
  <property fmtid="{D5CDD505-2E9C-101B-9397-08002B2CF9AE}" pid="6" name="_IPGFLOW_P-CB6C_E-1_FP-1_SP-1_CV-C734A4A1_CN-C370EB56">
    <vt:lpwstr>LYgdtUYHpNmDwZozdPktcKmNIG1uHELT+BGwdR/THyPKQrb60zT59RwzG/IyjPaGmhIBSgDVVmpWLWkTHW4P0mtbBuQQpdisroaC5Zm+KtcgOeAhArgcwIG7d5cOBD9pNB/4x2p6jLfJQ8ppNbGvZ/QtWogJ+6A7xuJKUz21LXXNgFe/4P4NaZGxckhLhlCwKbkMAGOAjOcZBcfxUiSj+X8mN9fBOPap15tjZ/fg0bY6nQSEX1gqfHXOjTIRQjp</vt:lpwstr>
  </property>
  <property fmtid="{D5CDD505-2E9C-101B-9397-08002B2CF9AE}" pid="7" name="_IPGFLOW_P-CB6C_E-1_FP-1_SP-2_CV-48E8F259_CN-EA3E1CEE">
    <vt:lpwstr>/IYcjoSEyzRfUi8Jg4QIy93crjJDfbwEfMChj4LzhZwCJnw+vFtpBA7iIERcdhjOZsErjCQHWlTsaiJDr/HDu1WktyIdM8cJTZwHeuaB64JrobcPytUTZqTokbCbvHzsr</vt:lpwstr>
  </property>
  <property fmtid="{D5CDD505-2E9C-101B-9397-08002B2CF9AE}" pid="8" name="_IPGFLOW_P-CB6C_E-0_FP-1_CV-1748F583_CN-F8CAE00">
    <vt:lpwstr>DPSPMK|3|384|2|0</vt:lpwstr>
  </property>
  <property fmtid="{D5CDD505-2E9C-101B-9397-08002B2CF9AE}" pid="9" name="_IPGFLOW_P-CB6C_E-1_FP-2_SP-1_CV-8C0AC9FC_CN-24D68FD4">
    <vt:lpwstr>LYgdtUYHpNmDwZozdPktcFkiXWMEFkeVdw14YpemFtz3nSGIh4O32rHEtMGgAEIYORh1dn2AU/PDrzS7DdCf7hiZk7CqRZhVZ1w5DKesOUGLUVavmZ6V8RhSKSnKkV6WkqrAw0yL7ez0a2UiqrQBhsOVUsqwzrKoTjGBQYilDSY3WCLNPsm2Z9jUQ1XGOpubLk+YWqlQQcOD4wi0LAZ2da2Ep1nftSESCQaxqh04uwETUtP30+ZcWANlYdYhMTj</vt:lpwstr>
  </property>
  <property fmtid="{D5CDD505-2E9C-101B-9397-08002B2CF9AE}" pid="10" name="_IPGFLOW_P-CB6C_E-1_FP-2_SP-2_CV-5A5FFF3B_CN-3A57C83B">
    <vt:lpwstr>snEnoA3n5AHz4wERBiec4dQ78HhzHvbwwPe5+lHFumqfQFyaQyoC9ytHAIBh7xijIwFNFPflUlX0axXq1q/BZc7IDHuRX0wI2uD8zdinJC2liRe/Ua4MxOF2sZ7hS8cah0TSQC/VUJhcmqTw+XxGQvokHUCynRP3BFQF0WjHpcNjEkFwdSDZ70e7bBzgtgPWGGbenM7SFpOn1uvh9vGPTUQQMo9OWuVHhmW9QOthb7Ho=</vt:lpwstr>
  </property>
  <property fmtid="{D5CDD505-2E9C-101B-9397-08002B2CF9AE}" pid="11" name="_IPGFLOW_P-CB6C_E-0_FP-2_CV-96F3ED08_CN-EE63B11D">
    <vt:lpwstr>DPSPMK|3|492|2|0</vt:lpwstr>
  </property>
  <property fmtid="{D5CDD505-2E9C-101B-9397-08002B2CF9AE}" pid="12" name="_IPGFLOW_P-CB6C_E-1_FP-3_SP-1_CV-FF695CC8_CN-920F9314">
    <vt:lpwstr>LYgdtUYHpNmDwZozdPktcDgMj7nuOUT4iY1u7B3P3s0cORrTOYi/bAi35OSKP/ocNnkyOBD4wdJHf9TZOqoSssJrvvqG28TOinypQ8JMz/FcN7ZtICgPXCMPkmHVSRzjx/tFoURl3JkCsMBKOHlA0BAXf8L54zoRPnVZpv0XipDCtFe97c3BIDGrKhGJuFWrVKoOZ5PkM0Gxn3DZNJ8lwLb+zzPtTDUhnyv9XwBZjin3Kgub06viirr+xSYDQUY</vt:lpwstr>
  </property>
  <property fmtid="{D5CDD505-2E9C-101B-9397-08002B2CF9AE}" pid="13" name="_IPGFLOW_P-CB6C_E-1_FP-3_SP-2_CV-AF3E9539_CN-B7D8884">
    <vt:lpwstr>CmOK8A9jUqwrOzEds9dLqqwFgbdnKWnl/ocrDmpteEyvryl/HEESR/Yx37BGO8cQMXZERNeKMFKjjkUk1GWv8mWEpyMUmLJ+OssFE2eybDFM=</vt:lpwstr>
  </property>
  <property fmtid="{D5CDD505-2E9C-101B-9397-08002B2CF9AE}" pid="14" name="_IPGFLOW_P-CB6C_E-0_FP-3_CV-2D4294F3_CN-F54D403A">
    <vt:lpwstr>DPSPMK|3|364|2|0</vt:lpwstr>
  </property>
  <property fmtid="{D5CDD505-2E9C-101B-9397-08002B2CF9AE}" pid="15" name="_IPGFLOW_P-CB6C_E-1_FP-4_SP-1_CV-277E21C1_CN-55243FCD">
    <vt:lpwstr>LYgdtUYHpNmDwZozdPktcCOkimC9fMxIT7BMOKAxpD0CSe8QVmOBOrXJpNJUJuj+lJRPiOL/ahvl0vbGZvCirsUb0XfgyIuiV89d7QKxYtO+fuJer93sETcZ4WV6F1LLmFdCWNGny0x/v6qba17oK3pMRZYDyhXHumht29imF5n8K7qn1ZYe5trVUyh+r0MBLD+0lKCchDvUUgzX8q0lz+m/fAptcAsSlyuUyHgvl1N34Mj1Q85+wanCkitJAVd</vt:lpwstr>
  </property>
  <property fmtid="{D5CDD505-2E9C-101B-9397-08002B2CF9AE}" pid="16" name="_IPGFLOW_P-CB6C_E-1_FP-4_SP-2_CV-77954C26_CN-B988E22E">
    <vt:lpwstr>EfpoW01bKDnA6mXiaYLsJWeOEFQ1gcLnU8xVAKVk/N9lJl87X2dyzJlcugtCRbaHpe80HonGQ/0ly8N3M7GoxVgdspmxq8fduXyOMWoIfae8=</vt:lpwstr>
  </property>
  <property fmtid="{D5CDD505-2E9C-101B-9397-08002B2CF9AE}" pid="17" name="_IPGFLOW_P-CB6C_E-0_FP-4_CV-2D4294F3_CN-883E4662">
    <vt:lpwstr>DPSPMK|3|364|2|0</vt:lpwstr>
  </property>
  <property fmtid="{D5CDD505-2E9C-101B-9397-08002B2CF9AE}" pid="18" name="_IPGFLOW_P-CB6C_E-1_FP-5_SP-1_CV-22E8508F_CN-31593813">
    <vt:lpwstr>LYgdtUYHpNmDwZozdPktcCO2D0uZzSBH2pvMdB/BbdCGkRn1rw8jliOTQvQVVLp+NScEoFwCHD7xkjCHHBu/z0C3sez5NAxdeogslzMKRWGa2lqa/q5VzsE4EzpOe1euxcS3vJhAQ7RVwIjh2EYvksKclUPNdQ5EGrXenQgy6J1tqiOUlyVi1oDnaj15SCkQHCpaN4OuWZQV4nDxd5C6Fun0Mkbp3aiPVju+gJQrM3vuGUC/YhSzi3eblnklJK2</vt:lpwstr>
  </property>
  <property fmtid="{D5CDD505-2E9C-101B-9397-08002B2CF9AE}" pid="19" name="_IPGFLOW_P-CB6C_E-1_FP-5_SP-2_CV-E9F75780_CN-90ECBF5D">
    <vt:lpwstr>Q+IxXwwx4Kqt1k1xrypc7pJ2/b+3pQYdskvAC6MLUSHiaLtcp609B5XzeP31gHug8h2tN+akzBOZMtqwKBFCKguOYpVTD9UIZd+vMWD7CPAG8kZyxkLmjg2rjia0ETZj2</vt:lpwstr>
  </property>
  <property fmtid="{D5CDD505-2E9C-101B-9397-08002B2CF9AE}" pid="20" name="_IPGFLOW_P-CB6C_E-0_FP-5_CV-1748F583_CN-CF35C496">
    <vt:lpwstr>DPSPMK|3|384|2|0</vt:lpwstr>
  </property>
  <property fmtid="{D5CDD505-2E9C-101B-9397-08002B2CF9AE}" pid="21" name="_IPGFLOW_P-CB6C_E-0_CV-8D1D1A69_CN-57FDB6F6">
    <vt:lpwstr>DPFPMK|3|50|6|0</vt:lpwstr>
  </property>
  <property fmtid="{D5CDD505-2E9C-101B-9397-08002B2CF9AE}" pid="22" name="_IPGFLOW_P-CB6C_E-1_FP-6_SP-1_CV-8FDAEFC2_CN-CD46FDFC">
    <vt:lpwstr>LYgdtUYHpNmDwZozdPktcEYF6ou6E8DJ/aMHU0OdhuOgh/fiVzK0WggnZtNFdvjrr0wiecnsxJ3QjBmWSSpuzO/2TGSEsgv7sI5lepo27c8KCmHjok2EcWIBEF58zq9dGUGdur2D8riK2ptiyK0G/Cfp5JpXo0XAwML3OMSkzGf+h5Fete+7lVO/lsnRPYlNyUPepJY5VFNHHotKWVuDln+lUQsLLxCoHBbLncQNjTCWKUlYP8eCVA7gqdOhAp/</vt:lpwstr>
  </property>
  <property fmtid="{D5CDD505-2E9C-101B-9397-08002B2CF9AE}" pid="23" name="_IPGFLOW_P-CB6C_E-1_FP-6_SP-2_CV-3A8B5801_CN-7B4A9AC9">
    <vt:lpwstr>8jwETVF9dIYD4C76s/c1nbDJDeyx10WAKToDoTaSk7jwD8ZuO8bP3SCwSRJxQ0pIxbyjBKVKYQye9yHfmqxdUsNUjk5Pp3wiiJ5dfo+1CW9On4NM+icZ0QJpA3wb4P3d5</vt:lpwstr>
  </property>
  <property fmtid="{D5CDD505-2E9C-101B-9397-08002B2CF9AE}" pid="24" name="_IPGFLOW_P-CB6C_E-0_FP-6_CV-1748F583_CN-72FFA858">
    <vt:lpwstr>DPSPMK|3|384|2|0</vt:lpwstr>
  </property>
  <property fmtid="{D5CDD505-2E9C-101B-9397-08002B2CF9AE}" pid="25" name="_IPGLAB_P-CB6C_E-1_CV-23831AD7_CN-60349835">
    <vt:lpwstr>2/9pRhkMLT9lUnzf3TDNw0eNs0i2Y/2UybrgcgxbAc3kULue+s149KSqngD9SoJzUuafr/P6VS+lsUgklvWGZr/0Md3Uw4duP+4umVwljldt7HhLzmZsgXhGL0/4j9/nN7D+nlxTf9tkS5MBmU8U2Q==</vt:lpwstr>
  </property>
</Properties>
</file>