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4500"/>
        <w:gridCol w:w="4860"/>
      </w:tblGrid>
      <w:tr>
        <w:tc>
          <w:tcPr>
            <w:tcW w:type="dxa" w:w="4500"/>
            <w:tcMar>
              <w:top w:w="0" w:type="dxa"/>
              <w:start w:w="0" w:type="dxa"/>
              <w:bottom w:w="20" w:type="dxa"/>
              <w:end w:w="80" w:type="dxa"/>
            </w:tcMar>
          </w:tcPr>
          <w:p>
            <w:pPr>
              <w:spacing w:after="0"/>
            </w:pPr>
            <w:r>
              <w:drawing>
                <wp:inline xmlns:a="http://schemas.openxmlformats.org/drawingml/2006/main" xmlns:pic="http://schemas.openxmlformats.org/drawingml/2006/picture">
                  <wp:extent cx="1508760" cy="649769"/>
                  <wp:docPr id="1" name="Picture 1"/>
                  <wp:cNvGraphicFramePr>
                    <a:graphicFrameLocks noChangeAspect="1"/>
                  </wp:cNvGraphicFramePr>
                  <a:graphic>
                    <a:graphicData uri="http://schemas.openxmlformats.org/drawingml/2006/picture">
                      <pic:pic>
                        <pic:nvPicPr>
                          <pic:cNvPr id="0" name="luxury evermore.png"/>
                          <pic:cNvPicPr/>
                        </pic:nvPicPr>
                        <pic:blipFill>
                          <a:blip r:embed="rId9"/>
                          <a:stretch>
                            <a:fillRect/>
                          </a:stretch>
                        </pic:blipFill>
                        <pic:spPr>
                          <a:xfrm>
                            <a:off x="0" y="0"/>
                            <a:ext cx="1508760" cy="649769"/>
                          </a:xfrm>
                          <a:prstGeom prst="rect"/>
                        </pic:spPr>
                      </pic:pic>
                    </a:graphicData>
                  </a:graphic>
                </wp:inline>
              </w:drawing>
            </w:r>
          </w:p>
        </w:tc>
        <w:tc>
          <w:tcPr>
            <w:tcW w:type="dxa" w:w="4860"/>
            <w:tcMar>
              <w:top w:w="0" w:type="dxa"/>
              <w:start w:w="0" w:type="dxa"/>
              <w:bottom w:w="20" w:type="dxa"/>
              <w:end w:w="0" w:type="dxa"/>
            </w:tcMar>
          </w:tcPr>
          <w:p>
            <w:pPr>
              <w:spacing w:after="0"/>
              <w:jc w:val="right"/>
            </w:pPr>
            <w:r>
              <w:rPr>
                <w:rFonts w:ascii="Arial" w:hAnsi="Arial"/>
                <w:b/>
                <w:i w:val="0"/>
                <w:color w:val="606060"/>
                <w:sz w:val="16"/>
              </w:rPr>
              <w:t>LUXURY EVERMORE PTE LTD</w:t>
              <w:br/>
            </w:r>
            <w:r>
              <w:rPr>
                <w:rFonts w:ascii="Arial" w:hAnsi="Arial"/>
                <w:b w:val="0"/>
                <w:i w:val="0"/>
                <w:color w:val="606060"/>
                <w:sz w:val="16"/>
              </w:rPr>
              <w:t>CONSIGNMENT SETTLEMENT</w:t>
              <w:br/>
            </w:r>
            <w:r>
              <w:rPr>
                <w:rFonts w:ascii="Arial" w:hAnsi="Arial"/>
                <w:b w:val="0"/>
                <w:i w:val="0"/>
                <w:color w:val="606060"/>
                <w:sz w:val="15"/>
              </w:rPr>
              <w:t>Singapore | luxuryevermore.com</w:t>
            </w:r>
          </w:p>
        </w:tc>
      </w:tr>
    </w:tbl>
    <w:p>
      <w:pPr>
        <w:spacing w:before="40" w:after="200"/>
        <w:pBdr>
          <w:bottom w:val="single" w:sz="8" w:space="3" w:color="9A8068"/>
        </w:pBdr>
      </w:pPr>
    </w:p>
    <w:p>
      <w:pPr>
        <w:spacing w:before="0" w:after="220"/>
      </w:pPr>
      <w:r>
        <w:rPr>
          <w:rFonts w:ascii="Georgia" w:hAnsi="Georgia"/>
          <w:b w:val="0"/>
          <w:i w:val="0"/>
          <w:color w:val="1A1A1A"/>
          <w:sz w:val="40"/>
        </w:rPr>
        <w:t>Consignment Settlement</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4680"/>
        <w:gridCol w:w="4680"/>
      </w:tblGrid>
      <w:tr>
        <w:tc>
          <w:tcPr>
            <w:tcW w:type="dxa" w:w="4680"/>
            <w:vAlign w:val="center"/>
            <w:tcMar>
              <w:top w:w="70" w:type="dxa"/>
              <w:start w:w="0" w:type="dxa"/>
              <w:bottom w:w="90" w:type="dxa"/>
              <w:end w:w="0" w:type="dxa"/>
            </w:tcMar>
          </w:tcPr>
          <w:p>
            <w:pPr>
              <w:spacing w:before="0" w:after="0" w:line="240" w:lineRule="auto"/>
            </w:pPr>
            <w:r>
              <w:rPr>
                <w:rFonts w:ascii="Arial" w:hAnsi="Arial"/>
                <w:b/>
                <w:i w:val="0"/>
                <w:color w:val="606060"/>
                <w:sz w:val="14"/>
              </w:rPr>
              <w:t>SETTLEMENT RECEIPT ID</w:t>
              <w:br/>
            </w:r>
            <w:r>
              <w:rPr>
                <w:rFonts w:ascii="Arial" w:hAnsi="Arial"/>
                <w:b w:val="0"/>
                <w:i w:val="0"/>
                <w:color w:val="1A1A1A"/>
                <w:sz w:val="21"/>
              </w:rPr>
              <w:t>[SETTLEMENT RECEIPT ID]</w:t>
            </w:r>
          </w:p>
        </w:tc>
        <w:tc>
          <w:tcPr>
            <w:tcW w:type="dxa" w:w="4680"/>
            <w:vAlign w:val="center"/>
            <w:tcMar>
              <w:top w:w="70" w:type="dxa"/>
              <w:start w:w="0" w:type="dxa"/>
              <w:bottom w:w="90" w:type="dxa"/>
              <w:end w:w="0" w:type="dxa"/>
            </w:tcMar>
          </w:tcPr>
          <w:p>
            <w:pPr>
              <w:spacing w:before="0" w:after="0" w:line="240" w:lineRule="auto"/>
            </w:pPr>
            <w:r>
              <w:rPr>
                <w:rFonts w:ascii="Arial" w:hAnsi="Arial"/>
                <w:b/>
                <w:i w:val="0"/>
                <w:color w:val="606060"/>
                <w:sz w:val="14"/>
              </w:rPr>
              <w:t>SOURCE SALES RECEIPT</w:t>
              <w:br/>
            </w:r>
            <w:r>
              <w:rPr>
                <w:rFonts w:ascii="Arial" w:hAnsi="Arial"/>
                <w:b w:val="0"/>
                <w:i w:val="0"/>
                <w:color w:val="1A1A1A"/>
                <w:sz w:val="21"/>
              </w:rPr>
              <w:t>[SOURCE SALES RECEIPT]</w:t>
            </w:r>
          </w:p>
        </w:tc>
      </w:tr>
    </w:tbl>
    <w:p>
      <w:pPr>
        <w:spacing w:before="160" w:after="40"/>
      </w:pPr>
      <w:r>
        <w:rPr>
          <w:rFonts w:ascii="Arial" w:hAnsi="Arial"/>
          <w:b/>
          <w:i w:val="0"/>
          <w:color w:val="606060"/>
          <w:sz w:val="14"/>
        </w:rPr>
        <w:t>ITEM</w:t>
      </w:r>
    </w:p>
    <w:p>
      <w:pPr>
        <w:keepLines/>
        <w:spacing w:before="0" w:after="180" w:line="252" w:lineRule="auto"/>
        <w:pBdr>
          <w:bottom w:val="single" w:sz="6" w:space="6" w:color="CFCFCF"/>
        </w:pBdr>
      </w:pPr>
      <w:r>
        <w:rPr>
          <w:rFonts w:ascii="Georgia" w:hAnsi="Georgia"/>
          <w:b/>
          <w:i w:val="0"/>
          <w:color w:val="1A1A1A"/>
          <w:sz w:val="22"/>
        </w:rPr>
        <w:t>[ITEM NAME AND DESCRIPTION]</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100"/>
        <w:gridCol w:w="3260"/>
      </w:tblGrid>
      <w:tr>
        <w:tc>
          <w:tcPr>
            <w:tcW w:type="dxa" w:w="6100"/>
            <w:vAlign w:val="center"/>
            <w:tcMar>
              <w:top w:w="105" w:type="dxa"/>
              <w:start w:w="0" w:type="dxa"/>
              <w:bottom w:w="105" w:type="dxa"/>
              <w:end w:w="0" w:type="dxa"/>
            </w:tcMar>
            <w:tcBorders>
              <w:top w:val="nil"/>
              <w:bottom w:val="single" w:sz="5" w:color="CFCFCF"/>
            </w:tcBorders>
          </w:tcPr>
          <w:p>
            <w:pPr>
              <w:spacing w:after="0"/>
            </w:pPr>
            <w:r>
              <w:rPr>
                <w:rFonts w:ascii="Arial" w:hAnsi="Arial"/>
                <w:b w:val="0"/>
                <w:i w:val="0"/>
                <w:color w:val="606060"/>
                <w:sz w:val="19"/>
              </w:rPr>
              <w:t>Sale Price</w:t>
            </w:r>
          </w:p>
        </w:tc>
        <w:tc>
          <w:tcPr>
            <w:tcW w:type="dxa" w:w="3260"/>
            <w:vAlign w:val="center"/>
            <w:tcMar>
              <w:top w:w="105" w:type="dxa"/>
              <w:start w:w="0" w:type="dxa"/>
              <w:bottom w:w="105" w:type="dxa"/>
              <w:end w:w="0" w:type="dxa"/>
            </w:tcMar>
            <w:tcBorders>
              <w:top w:val="nil"/>
              <w:bottom w:val="single" w:sz="5" w:color="CFCFCF"/>
            </w:tcBorders>
          </w:tcPr>
          <w:p>
            <w:pPr>
              <w:spacing w:after="0"/>
              <w:jc w:val="right"/>
            </w:pPr>
            <w:r>
              <w:rPr>
                <w:rFonts w:ascii="Georgia" w:hAnsi="Georgia"/>
                <w:b w:val="0"/>
                <w:i w:val="0"/>
                <w:color w:val="1A1A1A"/>
                <w:sz w:val="21"/>
              </w:rPr>
              <w:t>[SALE PRICE]</w:t>
            </w:r>
          </w:p>
        </w:tc>
      </w:tr>
      <w:tr>
        <w:tc>
          <w:tcPr>
            <w:tcW w:type="dxa" w:w="6100"/>
            <w:vAlign w:val="center"/>
            <w:tcMar>
              <w:top w:w="105" w:type="dxa"/>
              <w:start w:w="0" w:type="dxa"/>
              <w:bottom w:w="105" w:type="dxa"/>
              <w:end w:w="0" w:type="dxa"/>
            </w:tcMar>
            <w:tcBorders>
              <w:top w:val="nil"/>
              <w:bottom w:val="single" w:sz="5" w:color="CFCFCF"/>
            </w:tcBorders>
          </w:tcPr>
          <w:p>
            <w:pPr>
              <w:spacing w:after="0"/>
            </w:pPr>
            <w:r>
              <w:rPr>
                <w:rFonts w:ascii="Arial" w:hAnsi="Arial"/>
                <w:b w:val="0"/>
                <w:i w:val="0"/>
                <w:color w:val="606060"/>
                <w:sz w:val="19"/>
              </w:rPr>
              <w:t>Less: LE Commission / Adjustment</w:t>
            </w:r>
          </w:p>
        </w:tc>
        <w:tc>
          <w:tcPr>
            <w:tcW w:type="dxa" w:w="3260"/>
            <w:vAlign w:val="center"/>
            <w:tcMar>
              <w:top w:w="105" w:type="dxa"/>
              <w:start w:w="0" w:type="dxa"/>
              <w:bottom w:w="105" w:type="dxa"/>
              <w:end w:w="0" w:type="dxa"/>
            </w:tcMar>
            <w:tcBorders>
              <w:top w:val="nil"/>
              <w:bottom w:val="single" w:sz="5" w:color="CFCFCF"/>
            </w:tcBorders>
          </w:tcPr>
          <w:p>
            <w:pPr>
              <w:spacing w:after="0"/>
              <w:jc w:val="right"/>
            </w:pPr>
            <w:r>
              <w:rPr>
                <w:rFonts w:ascii="Georgia" w:hAnsi="Georgia"/>
                <w:b w:val="0"/>
                <w:i w:val="0"/>
                <w:color w:val="1A1A1A"/>
                <w:sz w:val="21"/>
              </w:rPr>
              <w:t>[CONSIGNMENT FEE]</w:t>
            </w:r>
          </w:p>
        </w:tc>
      </w:tr>
      <w:tr>
        <w:tc>
          <w:tcPr>
            <w:tcW w:type="dxa" w:w="6100"/>
            <w:vAlign w:val="center"/>
            <w:tcMar>
              <w:top w:w="105" w:type="dxa"/>
              <w:start w:w="0" w:type="dxa"/>
              <w:bottom w:w="105" w:type="dxa"/>
              <w:end w:w="0" w:type="dxa"/>
            </w:tcMar>
            <w:tcBorders>
              <w:top w:val="nil"/>
              <w:bottom w:val="single" w:sz="12" w:color="1A1A1A"/>
            </w:tcBorders>
          </w:tcPr>
          <w:p>
            <w:pPr>
              <w:spacing w:after="0"/>
            </w:pPr>
            <w:r>
              <w:rPr>
                <w:rFonts w:ascii="Arial" w:hAnsi="Arial"/>
                <w:b/>
                <w:i w:val="0"/>
                <w:color w:val="1A1A1A"/>
                <w:sz w:val="19"/>
              </w:rPr>
              <w:t>Amount Due to Consignor</w:t>
            </w:r>
          </w:p>
        </w:tc>
        <w:tc>
          <w:tcPr>
            <w:tcW w:type="dxa" w:w="3260"/>
            <w:vAlign w:val="center"/>
            <w:tcMar>
              <w:top w:w="105" w:type="dxa"/>
              <w:start w:w="0" w:type="dxa"/>
              <w:bottom w:w="105" w:type="dxa"/>
              <w:end w:w="0" w:type="dxa"/>
            </w:tcMar>
            <w:tcBorders>
              <w:top w:val="nil"/>
              <w:bottom w:val="single" w:sz="12" w:color="1A1A1A"/>
            </w:tcBorders>
          </w:tcPr>
          <w:p>
            <w:pPr>
              <w:spacing w:after="0"/>
              <w:jc w:val="right"/>
            </w:pPr>
            <w:r>
              <w:rPr>
                <w:rFonts w:ascii="Georgia" w:hAnsi="Georgia"/>
                <w:b/>
                <w:i w:val="0"/>
                <w:color w:val="1A1A1A"/>
                <w:sz w:val="24"/>
              </w:rPr>
              <w:t>[AMOUNT DUE]</w:t>
            </w:r>
          </w:p>
        </w:tc>
      </w:tr>
    </w:tbl>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850"/>
        <w:gridCol w:w="2850"/>
        <w:gridCol w:w="3660"/>
      </w:tblGrid>
      <w:tr>
        <w:tc>
          <w:tcPr>
            <w:tcW w:type="dxa" w:w="2850"/>
            <w:vAlign w:val="center"/>
            <w:tcMar>
              <w:top w:w="70" w:type="dxa"/>
              <w:start w:w="0" w:type="dxa"/>
              <w:bottom w:w="90" w:type="dxa"/>
              <w:end w:w="0" w:type="dxa"/>
            </w:tcMar>
          </w:tcPr>
          <w:p>
            <w:pPr>
              <w:spacing w:before="0" w:after="0" w:line="240" w:lineRule="auto"/>
            </w:pPr>
            <w:r>
              <w:rPr>
                <w:rFonts w:ascii="Arial" w:hAnsi="Arial"/>
                <w:b/>
                <w:i w:val="0"/>
                <w:color w:val="606060"/>
                <w:sz w:val="14"/>
              </w:rPr>
              <w:t>SALE DATE</w:t>
              <w:br/>
            </w:r>
            <w:r>
              <w:rPr>
                <w:rFonts w:ascii="Arial" w:hAnsi="Arial"/>
                <w:b w:val="0"/>
                <w:i w:val="0"/>
                <w:color w:val="1A1A1A"/>
                <w:sz w:val="18"/>
              </w:rPr>
              <w:t>[SALE DATE]</w:t>
            </w:r>
          </w:p>
        </w:tc>
        <w:tc>
          <w:tcPr>
            <w:tcW w:type="dxa" w:w="2850"/>
            <w:vAlign w:val="center"/>
            <w:tcMar>
              <w:top w:w="70" w:type="dxa"/>
              <w:start w:w="0" w:type="dxa"/>
              <w:bottom w:w="90" w:type="dxa"/>
              <w:end w:w="0" w:type="dxa"/>
            </w:tcMar>
          </w:tcPr>
          <w:p>
            <w:pPr>
              <w:spacing w:before="0" w:after="0" w:line="240" w:lineRule="auto"/>
            </w:pPr>
            <w:r>
              <w:rPr>
                <w:rFonts w:ascii="Arial" w:hAnsi="Arial"/>
                <w:b/>
                <w:i w:val="0"/>
                <w:color w:val="606060"/>
                <w:sz w:val="14"/>
              </w:rPr>
              <w:t>SETTLEMENT DATE</w:t>
              <w:br/>
            </w:r>
            <w:r>
              <w:rPr>
                <w:rFonts w:ascii="Arial" w:hAnsi="Arial"/>
                <w:b w:val="0"/>
                <w:i w:val="0"/>
                <w:color w:val="1A1A1A"/>
                <w:sz w:val="18"/>
              </w:rPr>
              <w:t>[SETTLEMENT DATE]</w:t>
            </w:r>
          </w:p>
        </w:tc>
        <w:tc>
          <w:tcPr>
            <w:tcW w:type="dxa" w:w="3660"/>
            <w:vAlign w:val="center"/>
            <w:tcMar>
              <w:top w:w="70" w:type="dxa"/>
              <w:start w:w="0" w:type="dxa"/>
              <w:bottom w:w="90" w:type="dxa"/>
              <w:end w:w="0" w:type="dxa"/>
            </w:tcMar>
          </w:tcPr>
          <w:p>
            <w:pPr>
              <w:spacing w:before="0" w:after="0" w:line="240" w:lineRule="auto"/>
            </w:pPr>
            <w:r>
              <w:rPr>
                <w:rFonts w:ascii="Arial" w:hAnsi="Arial"/>
                <w:b/>
                <w:i w:val="0"/>
                <w:color w:val="606060"/>
                <w:sz w:val="14"/>
              </w:rPr>
              <w:t>PAYOUT REFERENCE</w:t>
              <w:br/>
            </w:r>
            <w:r>
              <w:rPr>
                <w:rFonts w:ascii="Arial" w:hAnsi="Arial"/>
                <w:b w:val="0"/>
                <w:i w:val="0"/>
                <w:color w:val="1A1A1A"/>
                <w:sz w:val="17"/>
              </w:rPr>
              <w:t>[PAYOUT REFERENCE]</w:t>
            </w:r>
          </w:p>
        </w:tc>
      </w:tr>
    </w:tbl>
    <w:p>
      <w:pPr>
        <w:pStyle w:val="Heading2"/>
        <w:keepNext/>
        <w:spacing w:before="200" w:after="80"/>
      </w:pPr>
      <w:r>
        <w:t>Settlement Notes</w:t>
      </w:r>
    </w:p>
    <w:p>
      <w:pPr>
        <w:spacing w:before="0" w:after="50" w:line="240" w:lineRule="auto"/>
        <w:ind w:left="85" w:hanging="85"/>
      </w:pPr>
      <w:r>
        <w:rPr>
          <w:rFonts w:ascii="Arial" w:hAnsi="Arial"/>
          <w:b/>
          <w:i w:val="0"/>
          <w:color w:val="1A1A1A"/>
          <w:sz w:val="18"/>
        </w:rPr>
        <w:t xml:space="preserve">Statement purpose: </w:t>
      </w:r>
      <w:r>
        <w:rPr>
          <w:rFonts w:ascii="Arial" w:hAnsi="Arial"/>
          <w:b w:val="0"/>
          <w:i w:val="0"/>
          <w:color w:val="606060"/>
          <w:sz w:val="18"/>
        </w:rPr>
        <w:t>This statement records settlement for the consigned item identified above and is not the original customer sales receipt.</w:t>
      </w:r>
    </w:p>
    <w:p>
      <w:pPr>
        <w:spacing w:before="0" w:after="50" w:line="240" w:lineRule="auto"/>
        <w:ind w:left="85" w:hanging="85"/>
      </w:pPr>
      <w:r>
        <w:rPr>
          <w:rFonts w:ascii="Arial" w:hAnsi="Arial"/>
          <w:b/>
          <w:i w:val="0"/>
          <w:color w:val="1A1A1A"/>
          <w:sz w:val="18"/>
        </w:rPr>
        <w:t xml:space="preserve">Calculation: </w:t>
      </w:r>
      <w:r>
        <w:rPr>
          <w:rFonts w:ascii="Arial" w:hAnsi="Arial"/>
          <w:b w:val="0"/>
          <w:i w:val="0"/>
          <w:color w:val="606060"/>
          <w:sz w:val="18"/>
        </w:rPr>
        <w:t>Sale Price is the amount recorded as received for the item. The commission or adjustment shown follows the applicable consignment arrangement; Amount Due is Sale Price less that amount.</w:t>
      </w:r>
    </w:p>
    <w:p>
      <w:pPr>
        <w:spacing w:before="0" w:after="50" w:line="240" w:lineRule="auto"/>
        <w:ind w:left="85" w:hanging="85"/>
      </w:pPr>
      <w:r>
        <w:rPr>
          <w:rFonts w:ascii="Arial" w:hAnsi="Arial"/>
          <w:b/>
          <w:i w:val="0"/>
          <w:color w:val="1A1A1A"/>
          <w:sz w:val="18"/>
        </w:rPr>
        <w:t xml:space="preserve">Settlement timing: </w:t>
      </w:r>
      <w:r>
        <w:rPr>
          <w:rFonts w:ascii="Arial" w:hAnsi="Arial"/>
          <w:b w:val="0"/>
          <w:i w:val="0"/>
          <w:color w:val="606060"/>
          <w:sz w:val="18"/>
        </w:rPr>
        <w:t>Settlement is recorded on the date shown. Bank processing time may affect when funds become available to the recipient.</w:t>
      </w:r>
    </w:p>
    <w:p>
      <w:pPr>
        <w:spacing w:before="0" w:after="50" w:line="240" w:lineRule="auto"/>
        <w:ind w:left="85" w:hanging="85"/>
      </w:pPr>
      <w:r>
        <w:rPr>
          <w:rFonts w:ascii="Arial" w:hAnsi="Arial"/>
          <w:b/>
          <w:i w:val="0"/>
          <w:color w:val="1A1A1A"/>
          <w:sz w:val="18"/>
        </w:rPr>
        <w:t xml:space="preserve">Discrepancies: </w:t>
      </w:r>
      <w:r>
        <w:rPr>
          <w:rFonts w:ascii="Arial" w:hAnsi="Arial"/>
          <w:b w:val="0"/>
          <w:i w:val="0"/>
          <w:color w:val="606060"/>
          <w:sz w:val="18"/>
        </w:rPr>
        <w:t>Please report any discrepancy within 7 calendar days of receipt, quoting both reference numbers above.</w:t>
      </w:r>
    </w:p>
    <w:p>
      <w:pPr>
        <w:spacing w:before="0" w:after="50" w:line="240" w:lineRule="auto"/>
        <w:ind w:left="85" w:hanging="85"/>
      </w:pPr>
      <w:r>
        <w:rPr>
          <w:rFonts w:ascii="Arial" w:hAnsi="Arial"/>
          <w:b/>
          <w:i w:val="0"/>
          <w:color w:val="1A1A1A"/>
          <w:sz w:val="18"/>
        </w:rPr>
        <w:t xml:space="preserve">Singapore GST treatment: </w:t>
      </w:r>
      <w:r>
        <w:rPr>
          <w:rFonts w:ascii="Arial" w:hAnsi="Arial"/>
          <w:b w:val="0"/>
          <w:i w:val="0"/>
          <w:color w:val="606060"/>
          <w:sz w:val="18"/>
        </w:rPr>
        <w:t>Luxury Evermore records Amount Due as sale proceeds payable to the consignor and the retained LE Commission as consideration for its consignment or agency service. Where Luxury Evermore acts as a disclosed agent, any applicable GST is accounted for on the commission or service fee, not on the amount remitted to the consignor. Separately, where Luxury Evermore acts as principal and an eligible second-hand-goods sale is accounted for under the IRAS Gross Margin Scheme, GST is computed on the positive gross margin (selling price less qualifying purchase price), rather than on the full selling price. The applicable treatment depends on the actual contractual relationship and satisfaction of IRAS eligibility and record-keeping requirements. This settlement does not separately state GST; any required tax invoice for the agency commission is issued separately.</w:t>
      </w:r>
    </w:p>
    <w:sectPr w:rsidR="00FC693F" w:rsidRPr="0006063C" w:rsidSect="00034616">
      <w:footerReference w:type="default" r:id="rId10"/>
      <w:pgSz w:w="11906" w:h="16838"/>
      <w:pgMar w:top="822" w:right="1276" w:bottom="794"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3760"/>
    </w:tblGrid>
    <w:tr>
      <w:tc>
        <w:tcPr>
          <w:tcW w:type="dxa" w:w="5600"/>
          <w:tcMar>
            <w:top w:w="30" w:type="dxa"/>
            <w:start w:w="0" w:type="dxa"/>
            <w:bottom w:w="0" w:type="dxa"/>
            <w:end w:w="0" w:type="dxa"/>
          </w:tcMar>
          <w:tcBorders>
            <w:top w:val="single" w:sz="5" w:color="CFCFCF"/>
            <w:bottom w:val="nil"/>
          </w:tcBorders>
        </w:tcPr>
        <w:p>
          <w:pPr>
            <w:spacing w:after="0"/>
          </w:pPr>
          <w:r>
            <w:rPr>
              <w:rFonts w:ascii="Arial" w:hAnsi="Arial"/>
              <w:b w:val="0"/>
              <w:i w:val="0"/>
              <w:color w:val="606060"/>
              <w:sz w:val="14"/>
            </w:rPr>
            <w:t>contact@luxuryevermore.com | +65 8402 3748 | @luxuryevermore</w:t>
          </w:r>
        </w:p>
      </w:tc>
      <w:tc>
        <w:tcPr>
          <w:tcW w:type="dxa" w:w="3760"/>
          <w:tcMar>
            <w:top w:w="30" w:type="dxa"/>
            <w:start w:w="0" w:type="dxa"/>
            <w:bottom w:w="0" w:type="dxa"/>
            <w:end w:w="0" w:type="dxa"/>
          </w:tcMar>
          <w:tcBorders>
            <w:top w:val="single" w:sz="5" w:color="CFCFCF"/>
            <w:bottom w:val="nil"/>
          </w:tcBorders>
        </w:tcPr>
        <w:p>
          <w:pPr>
            <w:spacing w:after="0"/>
            <w:jc w:val="right"/>
          </w:pPr>
          <w:r>
            <w:rPr>
              <w:rFonts w:ascii="Arial" w:hAnsi="Arial"/>
              <w:b w:val="0"/>
              <w:i w:val="0"/>
              <w:color w:val="606060"/>
              <w:sz w:val="14"/>
            </w:rPr>
            <w:t>System-generated | No signature required</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Consignment Settlement LE-2026-01892</dc:title>
  <dc:subject>Consignment settlement statement</dc:subject>
  <dc:creator>Luxury Evermore Pte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