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CF" w:rsidRPr="008F1672" w:rsidRDefault="000873CF" w:rsidP="000873CF">
      <w:pPr>
        <w:rPr>
          <w:rFonts w:cs="Calibri"/>
          <w:b/>
          <w:lang w:val="en-US"/>
        </w:rPr>
      </w:pPr>
      <w:r w:rsidRPr="008F1672">
        <w:rPr>
          <w:rFonts w:cs="Calibri"/>
          <w:b/>
          <w:lang w:val="en-US"/>
        </w:rPr>
        <w:t xml:space="preserve">Table </w:t>
      </w:r>
      <w:r>
        <w:rPr>
          <w:rFonts w:cs="Calibri"/>
          <w:b/>
          <w:lang w:val="en-US"/>
        </w:rPr>
        <w:t>S</w:t>
      </w:r>
      <w:r w:rsidRPr="008F1672">
        <w:rPr>
          <w:rFonts w:cs="Calibri"/>
          <w:b/>
          <w:lang w:val="en-US"/>
        </w:rPr>
        <w:t>1. The top most synergistic drug pairs based on the TIMMA model predictions in MCF-7 breast cancer cells.</w:t>
      </w:r>
    </w:p>
    <w:tbl>
      <w:tblPr>
        <w:tblW w:w="8256" w:type="dxa"/>
        <w:tblBorders>
          <w:top w:val="single" w:sz="8" w:space="0" w:color="000000"/>
          <w:bottom w:val="single" w:sz="8" w:space="0" w:color="000000"/>
        </w:tblBorders>
        <w:tblLook w:val="04A0" w:firstRow="1" w:lastRow="0" w:firstColumn="1" w:lastColumn="0" w:noHBand="0" w:noVBand="1"/>
      </w:tblPr>
      <w:tblGrid>
        <w:gridCol w:w="2943"/>
        <w:gridCol w:w="993"/>
        <w:gridCol w:w="1134"/>
        <w:gridCol w:w="1769"/>
        <w:gridCol w:w="1417"/>
      </w:tblGrid>
      <w:tr w:rsidR="000873CF" w:rsidRPr="0016085D" w:rsidTr="006E28D2">
        <w:trPr>
          <w:trHeight w:hRule="exact" w:val="340"/>
        </w:trPr>
        <w:tc>
          <w:tcPr>
            <w:tcW w:w="2943" w:type="dxa"/>
            <w:tcBorders>
              <w:top w:val="single" w:sz="8" w:space="0" w:color="000000"/>
              <w:left w:val="nil"/>
              <w:bottom w:val="single" w:sz="8" w:space="0" w:color="000000"/>
              <w:right w:val="nil"/>
            </w:tcBorders>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
                <w:bCs/>
                <w:color w:val="000000"/>
                <w:sz w:val="16"/>
                <w:szCs w:val="16"/>
              </w:rPr>
              <w:t>Drug</w:t>
            </w:r>
            <w:proofErr w:type="spellEnd"/>
            <w:r w:rsidRPr="0016085D">
              <w:rPr>
                <w:rFonts w:cs="Calibri"/>
                <w:b/>
                <w:bCs/>
                <w:color w:val="000000"/>
                <w:sz w:val="16"/>
                <w:szCs w:val="16"/>
              </w:rPr>
              <w:t xml:space="preserve"> </w:t>
            </w:r>
            <w:proofErr w:type="spellStart"/>
            <w:r w:rsidRPr="0016085D">
              <w:rPr>
                <w:rFonts w:cs="Calibri"/>
                <w:b/>
                <w:bCs/>
                <w:color w:val="000000"/>
                <w:sz w:val="16"/>
                <w:szCs w:val="16"/>
              </w:rPr>
              <w:t>pair</w:t>
            </w:r>
            <w:proofErr w:type="spellEnd"/>
          </w:p>
        </w:tc>
        <w:tc>
          <w:tcPr>
            <w:tcW w:w="993" w:type="dxa"/>
            <w:tcBorders>
              <w:top w:val="single" w:sz="8" w:space="0" w:color="000000"/>
              <w:left w:val="nil"/>
              <w:bottom w:val="single" w:sz="8" w:space="0" w:color="000000"/>
              <w:right w:val="nil"/>
            </w:tcBorders>
            <w:shd w:val="clear" w:color="auto" w:fill="auto"/>
            <w:noWrap/>
            <w:hideMark/>
          </w:tcPr>
          <w:p w:rsidR="000873CF" w:rsidRPr="0016085D" w:rsidRDefault="000873CF" w:rsidP="006E28D2">
            <w:pPr>
              <w:rPr>
                <w:rFonts w:cs="Calibri"/>
                <w:b/>
                <w:bCs/>
                <w:color w:val="000000"/>
                <w:sz w:val="16"/>
                <w:szCs w:val="16"/>
              </w:rPr>
            </w:pPr>
            <w:r w:rsidRPr="0016085D">
              <w:rPr>
                <w:rFonts w:cs="Calibri"/>
                <w:b/>
                <w:bCs/>
                <w:color w:val="000000"/>
                <w:sz w:val="16"/>
                <w:szCs w:val="16"/>
              </w:rPr>
              <w:t>AA</w:t>
            </w:r>
            <w:r w:rsidRPr="0016085D">
              <w:rPr>
                <w:rFonts w:cs="Calibri"/>
                <w:b/>
                <w:bCs/>
                <w:color w:val="000000"/>
                <w:sz w:val="16"/>
                <w:szCs w:val="16"/>
                <w:vertAlign w:val="subscript"/>
              </w:rPr>
              <w:t>1</w:t>
            </w:r>
          </w:p>
        </w:tc>
        <w:tc>
          <w:tcPr>
            <w:tcW w:w="1134" w:type="dxa"/>
            <w:tcBorders>
              <w:top w:val="single" w:sz="8" w:space="0" w:color="000000"/>
              <w:left w:val="nil"/>
              <w:bottom w:val="single" w:sz="8" w:space="0" w:color="000000"/>
              <w:right w:val="nil"/>
            </w:tcBorders>
            <w:shd w:val="clear" w:color="auto" w:fill="auto"/>
            <w:noWrap/>
            <w:hideMark/>
          </w:tcPr>
          <w:p w:rsidR="000873CF" w:rsidRPr="0016085D" w:rsidRDefault="000873CF" w:rsidP="006E28D2">
            <w:pPr>
              <w:rPr>
                <w:rFonts w:cs="Calibri"/>
                <w:b/>
                <w:bCs/>
                <w:color w:val="000000"/>
                <w:sz w:val="16"/>
                <w:szCs w:val="16"/>
              </w:rPr>
            </w:pPr>
            <w:r w:rsidRPr="0016085D">
              <w:rPr>
                <w:rFonts w:cs="Calibri"/>
                <w:b/>
                <w:bCs/>
                <w:color w:val="000000"/>
                <w:sz w:val="16"/>
                <w:szCs w:val="16"/>
              </w:rPr>
              <w:t>AA</w:t>
            </w:r>
            <w:r w:rsidRPr="0016085D">
              <w:rPr>
                <w:rFonts w:cs="Calibri"/>
                <w:b/>
                <w:bCs/>
                <w:color w:val="000000"/>
                <w:sz w:val="16"/>
                <w:szCs w:val="16"/>
                <w:vertAlign w:val="subscript"/>
              </w:rPr>
              <w:t>2</w:t>
            </w:r>
          </w:p>
        </w:tc>
        <w:tc>
          <w:tcPr>
            <w:tcW w:w="1769" w:type="dxa"/>
            <w:tcBorders>
              <w:top w:val="single" w:sz="8" w:space="0" w:color="000000"/>
              <w:left w:val="nil"/>
              <w:bottom w:val="single" w:sz="8" w:space="0" w:color="000000"/>
              <w:right w:val="nil"/>
            </w:tcBorders>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
                <w:bCs/>
                <w:color w:val="000000"/>
                <w:sz w:val="16"/>
                <w:szCs w:val="16"/>
              </w:rPr>
              <w:t>Predicted</w:t>
            </w:r>
            <w:proofErr w:type="spellEnd"/>
            <w:r w:rsidRPr="0016085D">
              <w:rPr>
                <w:rFonts w:cs="Calibri"/>
                <w:b/>
                <w:bCs/>
                <w:color w:val="000000"/>
                <w:sz w:val="16"/>
                <w:szCs w:val="16"/>
              </w:rPr>
              <w:t xml:space="preserve"> </w:t>
            </w:r>
            <w:proofErr w:type="spellStart"/>
            <w:r w:rsidRPr="0016085D">
              <w:rPr>
                <w:rFonts w:cs="Calibri"/>
                <w:b/>
                <w:bCs/>
                <w:color w:val="000000"/>
                <w:sz w:val="16"/>
                <w:szCs w:val="16"/>
              </w:rPr>
              <w:t>efficacy</w:t>
            </w:r>
            <w:proofErr w:type="spellEnd"/>
          </w:p>
        </w:tc>
        <w:tc>
          <w:tcPr>
            <w:tcW w:w="1417" w:type="dxa"/>
            <w:tcBorders>
              <w:top w:val="single" w:sz="8" w:space="0" w:color="000000"/>
              <w:left w:val="nil"/>
              <w:bottom w:val="single" w:sz="8" w:space="0" w:color="000000"/>
              <w:right w:val="nil"/>
            </w:tcBorders>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
                <w:bCs/>
                <w:color w:val="000000"/>
                <w:sz w:val="16"/>
                <w:szCs w:val="16"/>
              </w:rPr>
              <w:t>Synergy</w:t>
            </w:r>
            <w:proofErr w:type="spellEnd"/>
            <w:r w:rsidRPr="0016085D">
              <w:rPr>
                <w:rFonts w:cs="Calibri"/>
                <w:b/>
                <w:bCs/>
                <w:color w:val="000000"/>
                <w:sz w:val="16"/>
                <w:szCs w:val="16"/>
              </w:rPr>
              <w:t xml:space="preserve"> </w:t>
            </w:r>
            <w:proofErr w:type="spellStart"/>
            <w:r w:rsidRPr="0016085D">
              <w:rPr>
                <w:rFonts w:cs="Calibri"/>
                <w:b/>
                <w:bCs/>
                <w:color w:val="000000"/>
                <w:sz w:val="16"/>
                <w:szCs w:val="16"/>
              </w:rPr>
              <w:t>score</w:t>
            </w:r>
            <w:proofErr w:type="spellEnd"/>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Crizotinib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Erlotinib</w:t>
            </w:r>
            <w:proofErr w:type="spell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0.357</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1.000</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0.928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Crizotinib</w:t>
            </w:r>
            <w:proofErr w:type="spellEnd"/>
            <w:r w:rsidRPr="0016085D">
              <w:rPr>
                <w:rFonts w:cs="Calibri"/>
                <w:bCs/>
                <w:color w:val="000000"/>
                <w:sz w:val="16"/>
                <w:szCs w:val="16"/>
              </w:rPr>
              <w:t xml:space="preserve"> TAE-684</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1.578</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1.000</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0.928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Erlotinib</w:t>
            </w:r>
            <w:proofErr w:type="spellEnd"/>
            <w:r w:rsidRPr="0016085D">
              <w:rPr>
                <w:rFonts w:cs="Calibri"/>
                <w:bCs/>
                <w:color w:val="000000"/>
                <w:sz w:val="16"/>
                <w:szCs w:val="16"/>
              </w:rPr>
              <w:t xml:space="preserve"> TAE-684</w:t>
            </w:r>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0.357</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1.578</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1.000</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0.928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Crizotinib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Vandetanib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0.216</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0.545</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0.478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 xml:space="preserve">TAE-684 </w:t>
            </w:r>
            <w:proofErr w:type="spellStart"/>
            <w:r w:rsidRPr="0016085D">
              <w:rPr>
                <w:rFonts w:cs="Calibri"/>
                <w:bCs/>
                <w:color w:val="000000"/>
                <w:sz w:val="16"/>
                <w:szCs w:val="16"/>
              </w:rPr>
              <w:t>Vandetanib</w:t>
            </w:r>
            <w:proofErr w:type="spell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0.761</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1.033</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0.404</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0.345</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Dovitinib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Vemurafenib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0.581</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0.372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0.368</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0.336</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CHIR</w:t>
            </w:r>
            <w:proofErr w:type="gramEnd"/>
            <w:r w:rsidRPr="0016085D">
              <w:rPr>
                <w:rFonts w:cs="Calibri"/>
                <w:bCs/>
                <w:color w:val="000000"/>
                <w:sz w:val="16"/>
                <w:szCs w:val="16"/>
              </w:rPr>
              <w:t>-265/RAF-265</w:t>
            </w:r>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0.015</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0.328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Sorafenib</w:t>
            </w:r>
            <w:proofErr w:type="spellEnd"/>
            <w:proofErr w:type="gram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0.000</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0.328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CHIR-265/RAF-265 PD-0325901</w:t>
            </w:r>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0.015</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0.328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 xml:space="preserve">PD-0325901 </w:t>
            </w:r>
            <w:proofErr w:type="spellStart"/>
            <w:r w:rsidRPr="0016085D">
              <w:rPr>
                <w:rFonts w:cs="Calibri"/>
                <w:bCs/>
                <w:color w:val="000000"/>
                <w:sz w:val="16"/>
                <w:szCs w:val="16"/>
              </w:rPr>
              <w:t>Sorafenib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0.000</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0.328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Nilotinib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0.124</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0.324</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Nilotinib</w:t>
            </w:r>
            <w:proofErr w:type="spellEnd"/>
            <w:r w:rsidRPr="0016085D">
              <w:rPr>
                <w:rFonts w:cs="Calibri"/>
                <w:bCs/>
                <w:color w:val="000000"/>
                <w:sz w:val="16"/>
                <w:szCs w:val="16"/>
              </w:rPr>
              <w:t xml:space="preserve"> PD-0325901</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0.124</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0.324</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Vemurafenib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0.581</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0.313</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 xml:space="preserve">PD-0325901 </w:t>
            </w:r>
            <w:proofErr w:type="spellStart"/>
            <w:r w:rsidRPr="0016085D">
              <w:rPr>
                <w:rFonts w:cs="Calibri"/>
                <w:bCs/>
                <w:color w:val="000000"/>
                <w:sz w:val="16"/>
                <w:szCs w:val="16"/>
              </w:rPr>
              <w:t>Vemurafenib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0.581</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0.313</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Vandetanib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0.216</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0.305</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 xml:space="preserve">PD-0325901 </w:t>
            </w:r>
            <w:proofErr w:type="spellStart"/>
            <w:r w:rsidRPr="0016085D">
              <w:rPr>
                <w:rFonts w:cs="Calibri"/>
                <w:bCs/>
                <w:color w:val="000000"/>
                <w:sz w:val="16"/>
                <w:szCs w:val="16"/>
              </w:rPr>
              <w:t>Vandetanib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0.216</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0.305</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Erlotinib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0.357</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0.301</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Erlotinib</w:t>
            </w:r>
            <w:proofErr w:type="spellEnd"/>
            <w:r w:rsidRPr="0016085D">
              <w:rPr>
                <w:rFonts w:cs="Calibri"/>
                <w:bCs/>
                <w:color w:val="000000"/>
                <w:sz w:val="16"/>
                <w:szCs w:val="16"/>
              </w:rPr>
              <w:t xml:space="preserve"> PD-0325901</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0.357</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0.301</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Dovitinib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0.372</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0.298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Dovitinib</w:t>
            </w:r>
            <w:proofErr w:type="spellEnd"/>
            <w:r w:rsidRPr="0016085D">
              <w:rPr>
                <w:rFonts w:cs="Calibri"/>
                <w:bCs/>
                <w:color w:val="000000"/>
                <w:sz w:val="16"/>
                <w:szCs w:val="16"/>
              </w:rPr>
              <w:t xml:space="preserve"> PD-0325901</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0.372</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0.298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TAE</w:t>
            </w:r>
            <w:proofErr w:type="gramEnd"/>
            <w:r w:rsidRPr="0016085D">
              <w:rPr>
                <w:rFonts w:cs="Calibri"/>
                <w:bCs/>
                <w:color w:val="000000"/>
                <w:sz w:val="16"/>
                <w:szCs w:val="16"/>
              </w:rPr>
              <w:t>-684</w:t>
            </w:r>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1.578</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0.287</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PD-0325901 TAE-684</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1.578</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0.287</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Dovitinib</w:t>
            </w:r>
            <w:proofErr w:type="spellEnd"/>
            <w:r w:rsidRPr="0016085D">
              <w:rPr>
                <w:rFonts w:cs="Calibri"/>
                <w:bCs/>
                <w:color w:val="000000"/>
                <w:sz w:val="16"/>
                <w:szCs w:val="16"/>
              </w:rPr>
              <w:t xml:space="preserve"> CHIR-265/RAF-265</w:t>
            </w:r>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0.015</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0.372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0.310</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0.278</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Dovitinib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Sorafenib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0.000</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0.372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0.310</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0.278</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r w:rsidRPr="0016085D">
              <w:rPr>
                <w:rFonts w:cs="Calibri"/>
                <w:bCs/>
                <w:color w:val="000000"/>
                <w:sz w:val="16"/>
                <w:szCs w:val="16"/>
              </w:rPr>
              <w:t xml:space="preserve">CHIR-265/RAF-265 </w:t>
            </w:r>
            <w:proofErr w:type="spellStart"/>
            <w:r w:rsidRPr="0016085D">
              <w:rPr>
                <w:rFonts w:cs="Calibri"/>
                <w:bCs/>
                <w:color w:val="000000"/>
                <w:sz w:val="16"/>
                <w:szCs w:val="16"/>
              </w:rPr>
              <w:t>Crizotinib</w:t>
            </w:r>
            <w:proofErr w:type="spell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0.015</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0.318</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0.275</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Crizotinib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Sorafenib</w:t>
            </w:r>
            <w:proofErr w:type="spellEnd"/>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0.000</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0.318</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0.275</w:t>
            </w:r>
          </w:p>
        </w:tc>
      </w:tr>
      <w:tr w:rsidR="000873CF" w:rsidRPr="0016085D" w:rsidTr="006E28D2">
        <w:trPr>
          <w:trHeight w:hRule="exact" w:val="340"/>
        </w:trPr>
        <w:tc>
          <w:tcPr>
            <w:tcW w:w="2943" w:type="dxa"/>
            <w:tcBorders>
              <w:left w:val="nil"/>
              <w:right w:val="nil"/>
            </w:tcBorders>
            <w:shd w:val="clear" w:color="auto" w:fill="C0C0C0"/>
            <w:noWrap/>
            <w:hideMark/>
          </w:tcPr>
          <w:p w:rsidR="000873CF" w:rsidRPr="0016085D" w:rsidRDefault="000873CF" w:rsidP="006E28D2">
            <w:pPr>
              <w:rPr>
                <w:rFonts w:cs="Calibri"/>
                <w:b/>
                <w:bCs/>
                <w:color w:val="000000"/>
                <w:sz w:val="16"/>
                <w:szCs w:val="16"/>
              </w:rPr>
            </w:pPr>
            <w:proofErr w:type="spellStart"/>
            <w:proofErr w:type="gramStart"/>
            <w:r w:rsidRPr="0016085D">
              <w:rPr>
                <w:rFonts w:cs="Calibri"/>
                <w:bCs/>
                <w:color w:val="000000"/>
                <w:sz w:val="16"/>
                <w:szCs w:val="16"/>
              </w:rPr>
              <w:t>Selumetinib</w:t>
            </w:r>
            <w:proofErr w:type="spellEnd"/>
            <w:r w:rsidRPr="0016085D">
              <w:rPr>
                <w:rFonts w:cs="Calibri"/>
                <w:bCs/>
                <w:color w:val="000000"/>
                <w:sz w:val="16"/>
                <w:szCs w:val="16"/>
              </w:rPr>
              <w:t xml:space="preserve">  </w:t>
            </w:r>
            <w:proofErr w:type="spellStart"/>
            <w:r w:rsidRPr="0016085D">
              <w:rPr>
                <w:rFonts w:cs="Calibri"/>
                <w:bCs/>
                <w:color w:val="000000"/>
                <w:sz w:val="16"/>
                <w:szCs w:val="16"/>
              </w:rPr>
              <w:t>Crizotinib</w:t>
            </w:r>
            <w:proofErr w:type="spellEnd"/>
            <w:proofErr w:type="gramEnd"/>
          </w:p>
        </w:tc>
        <w:tc>
          <w:tcPr>
            <w:tcW w:w="993"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134"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0.582</w:t>
            </w:r>
          </w:p>
        </w:tc>
        <w:tc>
          <w:tcPr>
            <w:tcW w:w="1769"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tcBorders>
              <w:left w:val="nil"/>
              <w:right w:val="nil"/>
            </w:tcBorders>
            <w:shd w:val="clear" w:color="auto" w:fill="C0C0C0"/>
            <w:noWrap/>
            <w:hideMark/>
          </w:tcPr>
          <w:p w:rsidR="000873CF" w:rsidRPr="0016085D" w:rsidRDefault="000873CF" w:rsidP="006E28D2">
            <w:pPr>
              <w:rPr>
                <w:rFonts w:cs="Calibri"/>
                <w:color w:val="000000"/>
                <w:sz w:val="16"/>
                <w:szCs w:val="16"/>
              </w:rPr>
            </w:pPr>
            <w:r w:rsidRPr="0016085D">
              <w:rPr>
                <w:rFonts w:cs="Calibri"/>
                <w:color w:val="000000"/>
                <w:sz w:val="16"/>
                <w:szCs w:val="16"/>
              </w:rPr>
              <w:t>0.273</w:t>
            </w:r>
          </w:p>
        </w:tc>
      </w:tr>
      <w:tr w:rsidR="000873CF" w:rsidRPr="0016085D" w:rsidTr="006E28D2">
        <w:trPr>
          <w:trHeight w:hRule="exact" w:val="340"/>
        </w:trPr>
        <w:tc>
          <w:tcPr>
            <w:tcW w:w="2943" w:type="dxa"/>
            <w:shd w:val="clear" w:color="auto" w:fill="auto"/>
            <w:noWrap/>
            <w:hideMark/>
          </w:tcPr>
          <w:p w:rsidR="000873CF" w:rsidRPr="0016085D" w:rsidRDefault="000873CF" w:rsidP="006E28D2">
            <w:pPr>
              <w:rPr>
                <w:rFonts w:cs="Calibri"/>
                <w:b/>
                <w:bCs/>
                <w:color w:val="000000"/>
                <w:sz w:val="16"/>
                <w:szCs w:val="16"/>
              </w:rPr>
            </w:pPr>
            <w:proofErr w:type="spellStart"/>
            <w:r w:rsidRPr="0016085D">
              <w:rPr>
                <w:rFonts w:cs="Calibri"/>
                <w:bCs/>
                <w:color w:val="000000"/>
                <w:sz w:val="16"/>
                <w:szCs w:val="16"/>
              </w:rPr>
              <w:t>Crizotinib</w:t>
            </w:r>
            <w:proofErr w:type="spellEnd"/>
            <w:r w:rsidRPr="0016085D">
              <w:rPr>
                <w:rFonts w:cs="Calibri"/>
                <w:bCs/>
                <w:color w:val="000000"/>
                <w:sz w:val="16"/>
                <w:szCs w:val="16"/>
              </w:rPr>
              <w:t xml:space="preserve"> PD-0325901</w:t>
            </w:r>
          </w:p>
        </w:tc>
        <w:tc>
          <w:tcPr>
            <w:tcW w:w="993"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0.502</w:t>
            </w:r>
          </w:p>
        </w:tc>
        <w:tc>
          <w:tcPr>
            <w:tcW w:w="1134"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0.362</w:t>
            </w:r>
          </w:p>
        </w:tc>
        <w:tc>
          <w:tcPr>
            <w:tcW w:w="1769"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0.369</w:t>
            </w:r>
          </w:p>
        </w:tc>
        <w:tc>
          <w:tcPr>
            <w:tcW w:w="1417" w:type="dxa"/>
            <w:shd w:val="clear" w:color="auto" w:fill="auto"/>
            <w:noWrap/>
            <w:hideMark/>
          </w:tcPr>
          <w:p w:rsidR="000873CF" w:rsidRPr="0016085D" w:rsidRDefault="000873CF" w:rsidP="006E28D2">
            <w:pPr>
              <w:rPr>
                <w:rFonts w:cs="Calibri"/>
                <w:color w:val="000000"/>
                <w:sz w:val="16"/>
                <w:szCs w:val="16"/>
              </w:rPr>
            </w:pPr>
            <w:r w:rsidRPr="0016085D">
              <w:rPr>
                <w:rFonts w:cs="Calibri"/>
                <w:color w:val="000000"/>
                <w:sz w:val="16"/>
                <w:szCs w:val="16"/>
              </w:rPr>
              <w:t>0.273</w:t>
            </w:r>
          </w:p>
        </w:tc>
      </w:tr>
    </w:tbl>
    <w:p w:rsidR="000873CF" w:rsidRPr="0016085D" w:rsidRDefault="000873CF" w:rsidP="000873CF">
      <w:pPr>
        <w:rPr>
          <w:rFonts w:cs="Calibri"/>
          <w:sz w:val="16"/>
          <w:szCs w:val="16"/>
          <w:lang w:val="en-US"/>
        </w:rPr>
      </w:pPr>
      <w:r w:rsidRPr="0016085D">
        <w:rPr>
          <w:rFonts w:cs="Calibri"/>
          <w:sz w:val="16"/>
          <w:szCs w:val="16"/>
          <w:lang w:val="en-US"/>
        </w:rPr>
        <w:t>AA</w:t>
      </w:r>
      <w:r w:rsidRPr="0016085D">
        <w:rPr>
          <w:rFonts w:cs="Calibri"/>
          <w:sz w:val="16"/>
          <w:szCs w:val="16"/>
          <w:vertAlign w:val="subscript"/>
          <w:lang w:val="en-US"/>
        </w:rPr>
        <w:t>1/2</w:t>
      </w:r>
      <w:r w:rsidRPr="0016085D">
        <w:rPr>
          <w:rFonts w:cs="Calibri"/>
          <w:sz w:val="16"/>
          <w:szCs w:val="16"/>
          <w:lang w:val="en-US"/>
        </w:rPr>
        <w:t>, measured treatment efficacy (activity area) when using either of the drugs alone; Predicted efficacy, predicted treatment efficacy by the TIMMA model. Synergy score, drug synergy score calculated by (Eq. 10). The table lists the drug pairs with synergy scores higher than the median (0.272) of the total population (n=60).</w:t>
      </w:r>
    </w:p>
    <w:p w:rsidR="007029FC" w:rsidRPr="000873CF" w:rsidRDefault="007029FC">
      <w:pPr>
        <w:rPr>
          <w:lang w:val="en-US"/>
        </w:rPr>
      </w:pPr>
      <w:bookmarkStart w:id="0" w:name="_GoBack"/>
      <w:bookmarkEnd w:id="0"/>
    </w:p>
    <w:sectPr w:rsidR="007029FC" w:rsidRPr="000873C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CF"/>
    <w:rsid w:val="000873CF"/>
    <w:rsid w:val="005F771F"/>
    <w:rsid w:val="007029FC"/>
    <w:rsid w:val="00B96CF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CF"/>
    <w:pPr>
      <w:suppressAutoHyphens/>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CF"/>
    <w:pPr>
      <w:suppressAutoHyphens/>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1627</Characters>
  <Application>Microsoft Office Word</Application>
  <DocSecurity>0</DocSecurity>
  <Lines>13</Lines>
  <Paragraphs>3</Paragraphs>
  <ScaleCrop>false</ScaleCrop>
  <Company>University of Helsinki</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localadmin_jtang</dc:creator>
  <cp:lastModifiedBy>localadmin_jtang</cp:lastModifiedBy>
  <cp:revision>1</cp:revision>
  <dcterms:created xsi:type="dcterms:W3CDTF">2013-08-05T14:51:00Z</dcterms:created>
  <dcterms:modified xsi:type="dcterms:W3CDTF">2013-08-05T14:51:00Z</dcterms:modified>
</cp:coreProperties>
</file>