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Quarterly Report Q3 2024</w:t>
      </w:r>
    </w:p>
    <w:p>
      <w:r>
        <w:t>This report summarizes Q3 2024 performance for Acme Corporation.</w:t>
      </w:r>
    </w:p>
    <w:p>
      <w:pPr>
        <w:pStyle w:val="Heading2"/>
      </w:pPr>
      <w:r>
        <w:t>Financial Summary</w:t>
      </w:r>
    </w:p>
    <w:p>
      <w:r>
        <w:t>Total Revenue: $1,250,000</w:t>
      </w:r>
    </w:p>
    <w:p>
      <w:r>
        <w:t>Operating Expenses: $875,000</w:t>
      </w:r>
    </w:p>
    <w:p>
      <w:r>
        <w:t>Net Profit: $375,000</w:t>
      </w:r>
    </w:p>
    <w:p>
      <w:pPr>
        <w:pStyle w:val="Heading2"/>
      </w:pPr>
      <w:r>
        <w:t>Key Metrics</w:t>
      </w:r>
    </w:p>
    <w:p>
      <w:r>
        <w:t>Customer Acquisition: 1,200 new customers</w:t>
      </w:r>
    </w:p>
    <w:p>
      <w:r>
        <w:t>Churn Rate: 2.3%</w:t>
      </w:r>
    </w:p>
    <w:p>
      <w:r>
        <w:t>Average Revenue Per User: $104.17</w:t>
      </w:r>
    </w:p>
    <w:p>
      <w:pPr>
        <w:pStyle w:val="Heading2"/>
      </w:pPr>
      <w:r>
        <w:t>Regional Breakdown</w:t>
      </w:r>
    </w:p>
    <w:p>
      <w:r>
        <w:t>North America: $625,000 (50%)</w:t>
      </w:r>
    </w:p>
    <w:p>
      <w:r>
        <w:t>Europe: $375,000 (30%)</w:t>
      </w:r>
    </w:p>
    <w:p>
      <w:r>
        <w:t>Asia Pacific: $250,000 (20%)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