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C1FE0" w14:textId="77777777" w:rsidR="00853ADC" w:rsidRDefault="001308A4">
      <w:r>
        <w:rPr>
          <w:noProof/>
        </w:rPr>
        <w:drawing>
          <wp:anchor distT="0" distB="0" distL="0" distR="0" simplePos="0" relativeHeight="10696575" behindDoc="1" locked="1" layoutInCell="1" allowOverlap="1" wp14:anchorId="10FC203D" wp14:editId="10FC203E">
            <wp:simplePos x="0" y="0"/>
            <wp:positionH relativeFrom="page">
              <wp:posOffset>0</wp:posOffset>
            </wp:positionH>
            <wp:positionV relativeFrom="page">
              <wp:posOffset>0</wp:posOffset>
            </wp:positionV>
            <wp:extent cx="7562850" cy="1069657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7562850" cy="10696575"/>
                    </a:xfrm>
                    <a:prstGeom prst="rect">
                      <a:avLst/>
                    </a:prstGeom>
                  </pic:spPr>
                </pic:pic>
              </a:graphicData>
            </a:graphic>
          </wp:anchor>
        </w:drawing>
      </w:r>
    </w:p>
    <w:p w14:paraId="10FC1FE1" w14:textId="77777777" w:rsidR="00853ADC" w:rsidRDefault="001308A4">
      <w:pPr>
        <w:spacing w:before="453"/>
      </w:pPr>
      <w:r>
        <w:rPr>
          <w:noProof/>
        </w:rPr>
        <w:drawing>
          <wp:inline distT="0" distB="0" distL="0" distR="0" wp14:anchorId="10FC203F" wp14:editId="10FC2040">
            <wp:extent cx="1619250" cy="447675"/>
            <wp:effectExtent l="0" t="0" r="0" b="0"/>
            <wp:docPr id="1892096236" name="Picture 1892096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619250" cy="447675"/>
                    </a:xfrm>
                    <a:prstGeom prst="rect">
                      <a:avLst/>
                    </a:prstGeom>
                  </pic:spPr>
                </pic:pic>
              </a:graphicData>
            </a:graphic>
          </wp:inline>
        </w:drawing>
      </w:r>
    </w:p>
    <w:p w14:paraId="10FC1FE2" w14:textId="77777777" w:rsidR="00853ADC" w:rsidRDefault="00853ADC">
      <w:pPr>
        <w:spacing w:before="6236"/>
      </w:pPr>
    </w:p>
    <w:p w14:paraId="10FC1FE3" w14:textId="77777777" w:rsidR="00853ADC" w:rsidRDefault="001308A4">
      <w:pPr>
        <w:spacing w:after="283"/>
      </w:pPr>
      <w:r>
        <w:rPr>
          <w:rFonts w:ascii="Saans" w:eastAsia="Saans" w:hAnsi="Saans" w:cs="Saans"/>
          <w:b/>
          <w:bCs/>
          <w:sz w:val="72"/>
          <w:szCs w:val="72"/>
        </w:rPr>
        <w:t>Document Title</w:t>
      </w:r>
    </w:p>
    <w:p w14:paraId="10FC1FE4" w14:textId="77777777" w:rsidR="00853ADC" w:rsidRDefault="001308A4">
      <w:pPr>
        <w:spacing w:after="170"/>
      </w:pPr>
      <w:r>
        <w:rPr>
          <w:rFonts w:ascii="Saans" w:eastAsia="Saans" w:hAnsi="Saans" w:cs="Saans"/>
          <w:color w:val="0E4533"/>
          <w:sz w:val="32"/>
          <w:szCs w:val="32"/>
        </w:rPr>
        <w:t>Subtitle or Brief Description</w:t>
      </w:r>
    </w:p>
    <w:p w14:paraId="10FC1FE5" w14:textId="77777777" w:rsidR="00853ADC" w:rsidRDefault="001308A4">
      <w:pPr>
        <w:spacing w:after="566"/>
      </w:pPr>
      <w:r>
        <w:rPr>
          <w:color w:val="0E4533"/>
        </w:rPr>
        <w:t>Month Year</w:t>
      </w:r>
    </w:p>
    <w:p w14:paraId="10FC1FE8" w14:textId="77777777" w:rsidR="00853ADC" w:rsidRDefault="001308A4">
      <w:r>
        <w:br w:type="page"/>
      </w:r>
    </w:p>
    <w:p w14:paraId="10FC1FE9" w14:textId="77777777" w:rsidR="00853ADC" w:rsidRDefault="001308A4">
      <w:pPr>
        <w:pStyle w:val="Heading1"/>
      </w:pPr>
      <w:r>
        <w:lastRenderedPageBreak/>
        <w:t>1. Executive Summary</w:t>
      </w:r>
    </w:p>
    <w:p w14:paraId="10FC1FEA" w14:textId="77777777" w:rsidR="00853ADC" w:rsidRDefault="001308A4">
      <w:pPr>
        <w:pStyle w:val="BodyText"/>
      </w:pPr>
      <w:r>
        <w:t>Abound delivered strong performance in FY2025, growing its active borrower base by 34% year-on-year while maintaining a credit loss rate well below sector benchmarks. This report summarises origination volumes, customer outcomes, and strategic priorities for the year ahead.</w:t>
      </w:r>
    </w:p>
    <w:p w14:paraId="10FC1FEB" w14:textId="77777777" w:rsidR="00853ADC" w:rsidRDefault="001308A4">
      <w:pPr>
        <w:pStyle w:val="BodyText"/>
      </w:pPr>
      <w:r>
        <w:t>The business continues to benefit from its proprietary open-banking underwriting model, which enables faster, fairer credit decisions for borrowers traditionally underserved by high-street lenders.</w:t>
      </w:r>
    </w:p>
    <w:p w14:paraId="10FC1FEC" w14:textId="77777777" w:rsidR="00853ADC" w:rsidRDefault="00853ADC">
      <w:pPr>
        <w:spacing w:before="226"/>
      </w:pPr>
    </w:p>
    <w:tbl>
      <w:tblPr>
        <w:tblW w:w="9072"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43"/>
        <w:gridCol w:w="3629"/>
      </w:tblGrid>
      <w:tr w:rsidR="00853ADC" w14:paraId="10FC1FEF" w14:textId="77777777">
        <w:tc>
          <w:tcPr>
            <w:tcW w:w="5443" w:type="dxa"/>
            <w:shd w:val="clear" w:color="auto" w:fill="FFFFFF"/>
            <w:tcMar>
              <w:top w:w="80" w:type="dxa"/>
              <w:left w:w="80" w:type="dxa"/>
              <w:bottom w:w="80" w:type="dxa"/>
              <w:right w:w="120" w:type="dxa"/>
            </w:tcMar>
          </w:tcPr>
          <w:p w14:paraId="10FC1FED" w14:textId="77777777" w:rsidR="00853ADC" w:rsidRDefault="001308A4">
            <w:r>
              <w:rPr>
                <w:color w:val="667085"/>
                <w:sz w:val="20"/>
                <w:szCs w:val="20"/>
              </w:rPr>
              <w:t>Total loan originations</w:t>
            </w:r>
          </w:p>
        </w:tc>
        <w:tc>
          <w:tcPr>
            <w:tcW w:w="3629" w:type="dxa"/>
            <w:shd w:val="clear" w:color="auto" w:fill="FFFFFF"/>
            <w:tcMar>
              <w:top w:w="80" w:type="dxa"/>
              <w:left w:w="120" w:type="dxa"/>
              <w:bottom w:w="80" w:type="dxa"/>
              <w:right w:w="80" w:type="dxa"/>
            </w:tcMar>
          </w:tcPr>
          <w:p w14:paraId="10FC1FEE" w14:textId="77777777" w:rsidR="00853ADC" w:rsidRDefault="001308A4">
            <w:r>
              <w:rPr>
                <w:b/>
                <w:bCs/>
                <w:sz w:val="20"/>
                <w:szCs w:val="20"/>
              </w:rPr>
              <w:t>£312M</w:t>
            </w:r>
          </w:p>
        </w:tc>
      </w:tr>
      <w:tr w:rsidR="00853ADC" w14:paraId="10FC1FF2" w14:textId="77777777">
        <w:tc>
          <w:tcPr>
            <w:tcW w:w="5443" w:type="dxa"/>
            <w:shd w:val="clear" w:color="auto" w:fill="F4F8F3"/>
            <w:tcMar>
              <w:top w:w="80" w:type="dxa"/>
              <w:left w:w="80" w:type="dxa"/>
              <w:bottom w:w="80" w:type="dxa"/>
              <w:right w:w="120" w:type="dxa"/>
            </w:tcMar>
          </w:tcPr>
          <w:p w14:paraId="10FC1FF0" w14:textId="77777777" w:rsidR="00853ADC" w:rsidRDefault="001308A4">
            <w:r>
              <w:rPr>
                <w:color w:val="667085"/>
                <w:sz w:val="20"/>
                <w:szCs w:val="20"/>
              </w:rPr>
              <w:t>Active borrowers (</w:t>
            </w:r>
            <w:proofErr w:type="spellStart"/>
            <w:r>
              <w:rPr>
                <w:color w:val="667085"/>
                <w:sz w:val="20"/>
                <w:szCs w:val="20"/>
              </w:rPr>
              <w:t>year end</w:t>
            </w:r>
            <w:proofErr w:type="spellEnd"/>
            <w:r>
              <w:rPr>
                <w:color w:val="667085"/>
                <w:sz w:val="20"/>
                <w:szCs w:val="20"/>
              </w:rPr>
              <w:t>)</w:t>
            </w:r>
          </w:p>
        </w:tc>
        <w:tc>
          <w:tcPr>
            <w:tcW w:w="3629" w:type="dxa"/>
            <w:shd w:val="clear" w:color="auto" w:fill="F4F8F3"/>
            <w:tcMar>
              <w:top w:w="80" w:type="dxa"/>
              <w:left w:w="120" w:type="dxa"/>
              <w:bottom w:w="80" w:type="dxa"/>
              <w:right w:w="80" w:type="dxa"/>
            </w:tcMar>
          </w:tcPr>
          <w:p w14:paraId="10FC1FF1" w14:textId="77777777" w:rsidR="00853ADC" w:rsidRDefault="001308A4">
            <w:r>
              <w:rPr>
                <w:b/>
                <w:bCs/>
                <w:sz w:val="20"/>
                <w:szCs w:val="20"/>
              </w:rPr>
              <w:t>48,200</w:t>
            </w:r>
          </w:p>
        </w:tc>
      </w:tr>
      <w:tr w:rsidR="00853ADC" w14:paraId="10FC1FF5" w14:textId="77777777">
        <w:tc>
          <w:tcPr>
            <w:tcW w:w="5443" w:type="dxa"/>
            <w:shd w:val="clear" w:color="auto" w:fill="FFFFFF"/>
            <w:tcMar>
              <w:top w:w="80" w:type="dxa"/>
              <w:left w:w="80" w:type="dxa"/>
              <w:bottom w:w="80" w:type="dxa"/>
              <w:right w:w="120" w:type="dxa"/>
            </w:tcMar>
          </w:tcPr>
          <w:p w14:paraId="10FC1FF3" w14:textId="77777777" w:rsidR="00853ADC" w:rsidRDefault="001308A4">
            <w:r>
              <w:rPr>
                <w:color w:val="667085"/>
                <w:sz w:val="20"/>
                <w:szCs w:val="20"/>
              </w:rPr>
              <w:t>Average loan size</w:t>
            </w:r>
          </w:p>
        </w:tc>
        <w:tc>
          <w:tcPr>
            <w:tcW w:w="3629" w:type="dxa"/>
            <w:shd w:val="clear" w:color="auto" w:fill="FFFFFF"/>
            <w:tcMar>
              <w:top w:w="80" w:type="dxa"/>
              <w:left w:w="120" w:type="dxa"/>
              <w:bottom w:w="80" w:type="dxa"/>
              <w:right w:w="80" w:type="dxa"/>
            </w:tcMar>
          </w:tcPr>
          <w:p w14:paraId="10FC1FF4" w14:textId="77777777" w:rsidR="00853ADC" w:rsidRDefault="001308A4">
            <w:r>
              <w:rPr>
                <w:b/>
                <w:bCs/>
                <w:sz w:val="20"/>
                <w:szCs w:val="20"/>
              </w:rPr>
              <w:t>£6,470</w:t>
            </w:r>
          </w:p>
        </w:tc>
      </w:tr>
      <w:tr w:rsidR="00853ADC" w14:paraId="10FC1FF8" w14:textId="77777777">
        <w:tc>
          <w:tcPr>
            <w:tcW w:w="5443" w:type="dxa"/>
            <w:shd w:val="clear" w:color="auto" w:fill="F4F8F3"/>
            <w:tcMar>
              <w:top w:w="80" w:type="dxa"/>
              <w:left w:w="80" w:type="dxa"/>
              <w:bottom w:w="80" w:type="dxa"/>
              <w:right w:w="120" w:type="dxa"/>
            </w:tcMar>
          </w:tcPr>
          <w:p w14:paraId="10FC1FF6" w14:textId="77777777" w:rsidR="00853ADC" w:rsidRDefault="001308A4">
            <w:r>
              <w:rPr>
                <w:color w:val="667085"/>
                <w:sz w:val="20"/>
                <w:szCs w:val="20"/>
              </w:rPr>
              <w:t>Net Promoter Score</w:t>
            </w:r>
          </w:p>
        </w:tc>
        <w:tc>
          <w:tcPr>
            <w:tcW w:w="3629" w:type="dxa"/>
            <w:shd w:val="clear" w:color="auto" w:fill="F4F8F3"/>
            <w:tcMar>
              <w:top w:w="80" w:type="dxa"/>
              <w:left w:w="120" w:type="dxa"/>
              <w:bottom w:w="80" w:type="dxa"/>
              <w:right w:w="80" w:type="dxa"/>
            </w:tcMar>
          </w:tcPr>
          <w:p w14:paraId="10FC1FF7" w14:textId="77777777" w:rsidR="00853ADC" w:rsidRDefault="001308A4">
            <w:r>
              <w:rPr>
                <w:b/>
                <w:bCs/>
                <w:sz w:val="20"/>
                <w:szCs w:val="20"/>
              </w:rPr>
              <w:t>72</w:t>
            </w:r>
          </w:p>
        </w:tc>
      </w:tr>
      <w:tr w:rsidR="00853ADC" w14:paraId="10FC1FFB" w14:textId="77777777">
        <w:tc>
          <w:tcPr>
            <w:tcW w:w="5443" w:type="dxa"/>
            <w:shd w:val="clear" w:color="auto" w:fill="FFFFFF"/>
            <w:tcMar>
              <w:top w:w="80" w:type="dxa"/>
              <w:left w:w="80" w:type="dxa"/>
              <w:bottom w:w="80" w:type="dxa"/>
              <w:right w:w="120" w:type="dxa"/>
            </w:tcMar>
          </w:tcPr>
          <w:p w14:paraId="10FC1FF9" w14:textId="77777777" w:rsidR="00853ADC" w:rsidRDefault="001308A4">
            <w:r>
              <w:rPr>
                <w:color w:val="667085"/>
                <w:sz w:val="20"/>
                <w:szCs w:val="20"/>
              </w:rPr>
              <w:t>Credit loss rate</w:t>
            </w:r>
          </w:p>
        </w:tc>
        <w:tc>
          <w:tcPr>
            <w:tcW w:w="3629" w:type="dxa"/>
            <w:shd w:val="clear" w:color="auto" w:fill="FFFFFF"/>
            <w:tcMar>
              <w:top w:w="80" w:type="dxa"/>
              <w:left w:w="120" w:type="dxa"/>
              <w:bottom w:w="80" w:type="dxa"/>
              <w:right w:w="80" w:type="dxa"/>
            </w:tcMar>
          </w:tcPr>
          <w:p w14:paraId="10FC1FFA" w14:textId="77777777" w:rsidR="00853ADC" w:rsidRDefault="001308A4">
            <w:r>
              <w:rPr>
                <w:b/>
                <w:bCs/>
                <w:sz w:val="20"/>
                <w:szCs w:val="20"/>
              </w:rPr>
              <w:t>1.8%</w:t>
            </w:r>
          </w:p>
        </w:tc>
      </w:tr>
      <w:tr w:rsidR="00853ADC" w14:paraId="10FC1FFE" w14:textId="77777777">
        <w:tc>
          <w:tcPr>
            <w:tcW w:w="5443" w:type="dxa"/>
            <w:shd w:val="clear" w:color="auto" w:fill="F4F8F3"/>
            <w:tcMar>
              <w:top w:w="80" w:type="dxa"/>
              <w:left w:w="80" w:type="dxa"/>
              <w:bottom w:w="80" w:type="dxa"/>
              <w:right w:w="120" w:type="dxa"/>
            </w:tcMar>
          </w:tcPr>
          <w:p w14:paraId="10FC1FFC" w14:textId="77777777" w:rsidR="00853ADC" w:rsidRDefault="001308A4">
            <w:r>
              <w:rPr>
                <w:color w:val="667085"/>
                <w:sz w:val="20"/>
                <w:szCs w:val="20"/>
              </w:rPr>
              <w:t>Employee headcount</w:t>
            </w:r>
          </w:p>
        </w:tc>
        <w:tc>
          <w:tcPr>
            <w:tcW w:w="3629" w:type="dxa"/>
            <w:shd w:val="clear" w:color="auto" w:fill="F4F8F3"/>
            <w:tcMar>
              <w:top w:w="80" w:type="dxa"/>
              <w:left w:w="120" w:type="dxa"/>
              <w:bottom w:w="80" w:type="dxa"/>
              <w:right w:w="80" w:type="dxa"/>
            </w:tcMar>
          </w:tcPr>
          <w:p w14:paraId="10FC1FFD" w14:textId="77777777" w:rsidR="00853ADC" w:rsidRDefault="001308A4">
            <w:r>
              <w:rPr>
                <w:b/>
                <w:bCs/>
                <w:sz w:val="20"/>
                <w:szCs w:val="20"/>
              </w:rPr>
              <w:t>184</w:t>
            </w:r>
          </w:p>
        </w:tc>
      </w:tr>
    </w:tbl>
    <w:p w14:paraId="10FC1FFF" w14:textId="77777777" w:rsidR="00853ADC" w:rsidRDefault="00853ADC">
      <w:pPr>
        <w:spacing w:before="340"/>
      </w:pPr>
    </w:p>
    <w:p w14:paraId="10FC2000" w14:textId="77777777" w:rsidR="00853ADC" w:rsidRDefault="001308A4">
      <w:pPr>
        <w:pStyle w:val="PullQuote"/>
      </w:pPr>
      <w:r>
        <w:t>“Our model proves that responsible lending and strong returns are not in conflict — they are the same goal.”</w:t>
      </w:r>
    </w:p>
    <w:p w14:paraId="10FC2001" w14:textId="77777777" w:rsidR="00853ADC" w:rsidRDefault="001308A4">
      <w:pPr>
        <w:pStyle w:val="Heading2"/>
      </w:pPr>
      <w:r>
        <w:t>1.1 Background</w:t>
      </w:r>
    </w:p>
    <w:p w14:paraId="10FC2002" w14:textId="77777777" w:rsidR="00853ADC" w:rsidRDefault="001308A4">
      <w:pPr>
        <w:pStyle w:val="BodyText"/>
      </w:pPr>
      <w:r>
        <w:t>Abound was founded on the insight that traditional credit scoring systematically excludes creditworthy borrowers. By analysing real income and expenditure patterns via open banking, Abound can extend affordable credit to individuals who would otherwise be declined or overcharged elsewhere.</w:t>
      </w:r>
    </w:p>
    <w:p w14:paraId="10FC2003" w14:textId="77777777" w:rsidR="00853ADC" w:rsidRDefault="001308A4">
      <w:pPr>
        <w:pStyle w:val="Callout"/>
      </w:pPr>
      <w:r>
        <w:rPr>
          <w:b/>
          <w:bCs/>
        </w:rPr>
        <w:t xml:space="preserve">Note:  </w:t>
      </w:r>
      <w:r>
        <w:t>This section provides background for new stakeholders. Existing readers may skip to Section 2.</w:t>
      </w:r>
    </w:p>
    <w:p w14:paraId="10FC2004" w14:textId="77777777" w:rsidR="00853ADC" w:rsidRDefault="001308A4">
      <w:pPr>
        <w:pStyle w:val="Heading3"/>
      </w:pPr>
      <w:r>
        <w:t>1.1.1 Market Opportunity</w:t>
      </w:r>
    </w:p>
    <w:p w14:paraId="10FC2005" w14:textId="77777777" w:rsidR="00853ADC" w:rsidRDefault="001308A4">
      <w:pPr>
        <w:pStyle w:val="BodyText"/>
      </w:pPr>
      <w:r>
        <w:t>An estimated 12 million UK adults are underserved by mainstream lenders — either declined outright or offered rates that do not reflect their actual financial behaviour. Abound targets this segment with personalised, data-driven offers.</w:t>
      </w:r>
    </w:p>
    <w:p w14:paraId="10FC2006" w14:textId="77777777" w:rsidR="00853ADC" w:rsidRDefault="001308A4">
      <w:pPr>
        <w:pStyle w:val="BodyText"/>
        <w:numPr>
          <w:ilvl w:val="0"/>
          <w:numId w:val="1"/>
        </w:numPr>
      </w:pPr>
      <w:r>
        <w:t>Open-banking data covers 12+ months of verified income and spending</w:t>
      </w:r>
    </w:p>
    <w:p w14:paraId="10FC2007" w14:textId="77777777" w:rsidR="00853ADC" w:rsidRDefault="001308A4">
      <w:pPr>
        <w:pStyle w:val="BodyText"/>
        <w:numPr>
          <w:ilvl w:val="0"/>
          <w:numId w:val="1"/>
        </w:numPr>
      </w:pPr>
      <w:r>
        <w:lastRenderedPageBreak/>
        <w:t>Approval decisions made in under 60 seconds for 94% of applicants</w:t>
      </w:r>
    </w:p>
    <w:p w14:paraId="10FC2008" w14:textId="77777777" w:rsidR="00853ADC" w:rsidRDefault="001308A4">
      <w:pPr>
        <w:pStyle w:val="BodyText"/>
        <w:numPr>
          <w:ilvl w:val="0"/>
          <w:numId w:val="1"/>
        </w:numPr>
      </w:pPr>
      <w:r>
        <w:t>Average approved APR is 23% below comparable high-street alternatives</w:t>
      </w:r>
    </w:p>
    <w:p w14:paraId="10FC2009" w14:textId="77777777" w:rsidR="00853ADC" w:rsidRDefault="001308A4">
      <w:pPr>
        <w:pStyle w:val="BodyText"/>
        <w:numPr>
          <w:ilvl w:val="0"/>
          <w:numId w:val="1"/>
        </w:numPr>
      </w:pPr>
      <w:r>
        <w:t>No hard credit search until the customer accepts an offer</w:t>
      </w:r>
    </w:p>
    <w:p w14:paraId="10FC200A" w14:textId="77777777" w:rsidR="00853ADC" w:rsidRDefault="001308A4">
      <w:r>
        <w:br w:type="page"/>
      </w:r>
    </w:p>
    <w:p w14:paraId="10FC200B" w14:textId="77777777" w:rsidR="00853ADC" w:rsidRDefault="001308A4">
      <w:pPr>
        <w:pStyle w:val="Heading1"/>
      </w:pPr>
      <w:r>
        <w:lastRenderedPageBreak/>
        <w:t>2. Key Findings</w:t>
      </w:r>
    </w:p>
    <w:p w14:paraId="10FC200C" w14:textId="77777777" w:rsidR="00853ADC" w:rsidRDefault="001308A4">
      <w:pPr>
        <w:pStyle w:val="BodyText"/>
      </w:pPr>
      <w:r>
        <w:t>The following section presents the primary findings from the FY2025 annual review. Data is drawn from internal origination systems, customer satisfaction surveys, and third-party credit bureau reporting.</w:t>
      </w:r>
    </w:p>
    <w:p w14:paraId="10FC200D" w14:textId="77777777" w:rsidR="00853ADC" w:rsidRDefault="001308A4">
      <w:pPr>
        <w:pStyle w:val="Heading2"/>
      </w:pPr>
      <w:r>
        <w:t>2.1 Origination Performance</w:t>
      </w:r>
    </w:p>
    <w:p w14:paraId="10FC200E" w14:textId="77777777" w:rsidR="00853ADC" w:rsidRDefault="001308A4">
      <w:pPr>
        <w:pStyle w:val="BodyText"/>
      </w:pPr>
      <w:r>
        <w:t>Loan originations grew across all product lines. Personal loans remained the largest category by volume, while home improvement loans saw the highest growth rate at 61% year-on-year, driven by the new partnership with three major retail chains.</w:t>
      </w:r>
    </w:p>
    <w:p w14:paraId="10FC200F" w14:textId="77777777" w:rsidR="00853ADC" w:rsidRDefault="00853ADC">
      <w:pPr>
        <w:spacing w:before="113"/>
      </w:pPr>
    </w:p>
    <w:tbl>
      <w:tblPr>
        <w:tblW w:w="9072"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8"/>
        <w:gridCol w:w="2268"/>
        <w:gridCol w:w="2268"/>
        <w:gridCol w:w="2268"/>
      </w:tblGrid>
      <w:tr w:rsidR="00853ADC" w14:paraId="10FC2014" w14:textId="77777777">
        <w:trPr>
          <w:tblHeader/>
        </w:trPr>
        <w:tc>
          <w:tcPr>
            <w:tcW w:w="2268" w:type="dxa"/>
            <w:shd w:val="clear" w:color="auto" w:fill="0E4533"/>
            <w:tcMar>
              <w:top w:w="80" w:type="dxa"/>
              <w:left w:w="120" w:type="dxa"/>
              <w:bottom w:w="80" w:type="dxa"/>
              <w:right w:w="120" w:type="dxa"/>
            </w:tcMar>
          </w:tcPr>
          <w:p w14:paraId="10FC2010" w14:textId="77777777" w:rsidR="00853ADC" w:rsidRDefault="001308A4">
            <w:r>
              <w:rPr>
                <w:b/>
                <w:bCs/>
                <w:color w:val="FFFFFF"/>
                <w:sz w:val="20"/>
                <w:szCs w:val="20"/>
              </w:rPr>
              <w:t>Product</w:t>
            </w:r>
          </w:p>
        </w:tc>
        <w:tc>
          <w:tcPr>
            <w:tcW w:w="2268" w:type="dxa"/>
            <w:shd w:val="clear" w:color="auto" w:fill="0E4533"/>
            <w:tcMar>
              <w:top w:w="80" w:type="dxa"/>
              <w:left w:w="120" w:type="dxa"/>
              <w:bottom w:w="80" w:type="dxa"/>
              <w:right w:w="120" w:type="dxa"/>
            </w:tcMar>
          </w:tcPr>
          <w:p w14:paraId="10FC2011" w14:textId="77777777" w:rsidR="00853ADC" w:rsidRDefault="001308A4">
            <w:r>
              <w:rPr>
                <w:b/>
                <w:bCs/>
                <w:color w:val="FFFFFF"/>
                <w:sz w:val="20"/>
                <w:szCs w:val="20"/>
              </w:rPr>
              <w:t>FY2024 Volume</w:t>
            </w:r>
          </w:p>
        </w:tc>
        <w:tc>
          <w:tcPr>
            <w:tcW w:w="2268" w:type="dxa"/>
            <w:shd w:val="clear" w:color="auto" w:fill="0E4533"/>
            <w:tcMar>
              <w:top w:w="80" w:type="dxa"/>
              <w:left w:w="120" w:type="dxa"/>
              <w:bottom w:w="80" w:type="dxa"/>
              <w:right w:w="120" w:type="dxa"/>
            </w:tcMar>
          </w:tcPr>
          <w:p w14:paraId="10FC2012" w14:textId="77777777" w:rsidR="00853ADC" w:rsidRDefault="001308A4">
            <w:r>
              <w:rPr>
                <w:b/>
                <w:bCs/>
                <w:color w:val="FFFFFF"/>
                <w:sz w:val="20"/>
                <w:szCs w:val="20"/>
              </w:rPr>
              <w:t>FY2025 Volume</w:t>
            </w:r>
          </w:p>
        </w:tc>
        <w:tc>
          <w:tcPr>
            <w:tcW w:w="2268" w:type="dxa"/>
            <w:shd w:val="clear" w:color="auto" w:fill="0E4533"/>
            <w:tcMar>
              <w:top w:w="80" w:type="dxa"/>
              <w:left w:w="120" w:type="dxa"/>
              <w:bottom w:w="80" w:type="dxa"/>
              <w:right w:w="120" w:type="dxa"/>
            </w:tcMar>
          </w:tcPr>
          <w:p w14:paraId="10FC2013" w14:textId="77777777" w:rsidR="00853ADC" w:rsidRDefault="001308A4">
            <w:r>
              <w:rPr>
                <w:b/>
                <w:bCs/>
                <w:color w:val="FFFFFF"/>
                <w:sz w:val="20"/>
                <w:szCs w:val="20"/>
              </w:rPr>
              <w:t>Growth</w:t>
            </w:r>
          </w:p>
        </w:tc>
      </w:tr>
      <w:tr w:rsidR="00853ADC" w14:paraId="10FC2019" w14:textId="77777777">
        <w:tc>
          <w:tcPr>
            <w:tcW w:w="2268" w:type="dxa"/>
            <w:shd w:val="clear" w:color="auto" w:fill="FFFFFF"/>
            <w:tcMar>
              <w:top w:w="80" w:type="dxa"/>
              <w:left w:w="120" w:type="dxa"/>
              <w:bottom w:w="80" w:type="dxa"/>
              <w:right w:w="120" w:type="dxa"/>
            </w:tcMar>
          </w:tcPr>
          <w:p w14:paraId="10FC2015" w14:textId="77777777" w:rsidR="00853ADC" w:rsidRDefault="001308A4">
            <w:r>
              <w:rPr>
                <w:sz w:val="20"/>
                <w:szCs w:val="20"/>
              </w:rPr>
              <w:t>Personal Loan</w:t>
            </w:r>
          </w:p>
        </w:tc>
        <w:tc>
          <w:tcPr>
            <w:tcW w:w="2268" w:type="dxa"/>
            <w:shd w:val="clear" w:color="auto" w:fill="FFFFFF"/>
            <w:tcMar>
              <w:top w:w="80" w:type="dxa"/>
              <w:left w:w="120" w:type="dxa"/>
              <w:bottom w:w="80" w:type="dxa"/>
              <w:right w:w="120" w:type="dxa"/>
            </w:tcMar>
          </w:tcPr>
          <w:p w14:paraId="10FC2016" w14:textId="77777777" w:rsidR="00853ADC" w:rsidRDefault="001308A4">
            <w:r>
              <w:rPr>
                <w:sz w:val="20"/>
                <w:szCs w:val="20"/>
              </w:rPr>
              <w:t>£148M</w:t>
            </w:r>
          </w:p>
        </w:tc>
        <w:tc>
          <w:tcPr>
            <w:tcW w:w="2268" w:type="dxa"/>
            <w:shd w:val="clear" w:color="auto" w:fill="FFFFFF"/>
            <w:tcMar>
              <w:top w:w="80" w:type="dxa"/>
              <w:left w:w="120" w:type="dxa"/>
              <w:bottom w:w="80" w:type="dxa"/>
              <w:right w:w="120" w:type="dxa"/>
            </w:tcMar>
          </w:tcPr>
          <w:p w14:paraId="10FC2017" w14:textId="77777777" w:rsidR="00853ADC" w:rsidRDefault="001308A4">
            <w:r>
              <w:rPr>
                <w:sz w:val="20"/>
                <w:szCs w:val="20"/>
              </w:rPr>
              <w:t>£189M</w:t>
            </w:r>
          </w:p>
        </w:tc>
        <w:tc>
          <w:tcPr>
            <w:tcW w:w="2268" w:type="dxa"/>
            <w:shd w:val="clear" w:color="auto" w:fill="FFFFFF"/>
            <w:tcMar>
              <w:top w:w="80" w:type="dxa"/>
              <w:left w:w="120" w:type="dxa"/>
              <w:bottom w:w="80" w:type="dxa"/>
              <w:right w:w="120" w:type="dxa"/>
            </w:tcMar>
          </w:tcPr>
          <w:p w14:paraId="10FC2018" w14:textId="77777777" w:rsidR="00853ADC" w:rsidRDefault="001308A4">
            <w:r>
              <w:rPr>
                <w:sz w:val="20"/>
                <w:szCs w:val="20"/>
              </w:rPr>
              <w:t>+28%</w:t>
            </w:r>
          </w:p>
        </w:tc>
      </w:tr>
      <w:tr w:rsidR="00853ADC" w14:paraId="10FC201E" w14:textId="77777777">
        <w:tc>
          <w:tcPr>
            <w:tcW w:w="2268" w:type="dxa"/>
            <w:shd w:val="clear" w:color="auto" w:fill="F4F8F3"/>
            <w:tcMar>
              <w:top w:w="80" w:type="dxa"/>
              <w:left w:w="120" w:type="dxa"/>
              <w:bottom w:w="80" w:type="dxa"/>
              <w:right w:w="120" w:type="dxa"/>
            </w:tcMar>
          </w:tcPr>
          <w:p w14:paraId="10FC201A" w14:textId="77777777" w:rsidR="00853ADC" w:rsidRDefault="001308A4">
            <w:r>
              <w:rPr>
                <w:sz w:val="20"/>
                <w:szCs w:val="20"/>
              </w:rPr>
              <w:t>Debt Consolidation</w:t>
            </w:r>
          </w:p>
        </w:tc>
        <w:tc>
          <w:tcPr>
            <w:tcW w:w="2268" w:type="dxa"/>
            <w:shd w:val="clear" w:color="auto" w:fill="F4F8F3"/>
            <w:tcMar>
              <w:top w:w="80" w:type="dxa"/>
              <w:left w:w="120" w:type="dxa"/>
              <w:bottom w:w="80" w:type="dxa"/>
              <w:right w:w="120" w:type="dxa"/>
            </w:tcMar>
          </w:tcPr>
          <w:p w14:paraId="10FC201B" w14:textId="77777777" w:rsidR="00853ADC" w:rsidRDefault="001308A4">
            <w:r>
              <w:rPr>
                <w:sz w:val="20"/>
                <w:szCs w:val="20"/>
              </w:rPr>
              <w:t>£72M</w:t>
            </w:r>
          </w:p>
        </w:tc>
        <w:tc>
          <w:tcPr>
            <w:tcW w:w="2268" w:type="dxa"/>
            <w:shd w:val="clear" w:color="auto" w:fill="F4F8F3"/>
            <w:tcMar>
              <w:top w:w="80" w:type="dxa"/>
              <w:left w:w="120" w:type="dxa"/>
              <w:bottom w:w="80" w:type="dxa"/>
              <w:right w:w="120" w:type="dxa"/>
            </w:tcMar>
          </w:tcPr>
          <w:p w14:paraId="10FC201C" w14:textId="77777777" w:rsidR="00853ADC" w:rsidRDefault="001308A4">
            <w:r>
              <w:rPr>
                <w:sz w:val="20"/>
                <w:szCs w:val="20"/>
              </w:rPr>
              <w:t>£91M</w:t>
            </w:r>
          </w:p>
        </w:tc>
        <w:tc>
          <w:tcPr>
            <w:tcW w:w="2268" w:type="dxa"/>
            <w:shd w:val="clear" w:color="auto" w:fill="F4F8F3"/>
            <w:tcMar>
              <w:top w:w="80" w:type="dxa"/>
              <w:left w:w="120" w:type="dxa"/>
              <w:bottom w:w="80" w:type="dxa"/>
              <w:right w:w="120" w:type="dxa"/>
            </w:tcMar>
          </w:tcPr>
          <w:p w14:paraId="10FC201D" w14:textId="77777777" w:rsidR="00853ADC" w:rsidRDefault="001308A4">
            <w:r>
              <w:rPr>
                <w:sz w:val="20"/>
                <w:szCs w:val="20"/>
              </w:rPr>
              <w:t>+26%</w:t>
            </w:r>
          </w:p>
        </w:tc>
      </w:tr>
      <w:tr w:rsidR="00853ADC" w14:paraId="10FC2023" w14:textId="77777777">
        <w:tc>
          <w:tcPr>
            <w:tcW w:w="2268" w:type="dxa"/>
            <w:shd w:val="clear" w:color="auto" w:fill="FFFFFF"/>
            <w:tcMar>
              <w:top w:w="80" w:type="dxa"/>
              <w:left w:w="120" w:type="dxa"/>
              <w:bottom w:w="80" w:type="dxa"/>
              <w:right w:w="120" w:type="dxa"/>
            </w:tcMar>
          </w:tcPr>
          <w:p w14:paraId="10FC201F" w14:textId="77777777" w:rsidR="00853ADC" w:rsidRDefault="001308A4">
            <w:r>
              <w:rPr>
                <w:sz w:val="20"/>
                <w:szCs w:val="20"/>
              </w:rPr>
              <w:t>Home Improvement</w:t>
            </w:r>
          </w:p>
        </w:tc>
        <w:tc>
          <w:tcPr>
            <w:tcW w:w="2268" w:type="dxa"/>
            <w:shd w:val="clear" w:color="auto" w:fill="FFFFFF"/>
            <w:tcMar>
              <w:top w:w="80" w:type="dxa"/>
              <w:left w:w="120" w:type="dxa"/>
              <w:bottom w:w="80" w:type="dxa"/>
              <w:right w:w="120" w:type="dxa"/>
            </w:tcMar>
          </w:tcPr>
          <w:p w14:paraId="10FC2020" w14:textId="77777777" w:rsidR="00853ADC" w:rsidRDefault="001308A4">
            <w:r>
              <w:rPr>
                <w:sz w:val="20"/>
                <w:szCs w:val="20"/>
              </w:rPr>
              <w:t>£31M</w:t>
            </w:r>
          </w:p>
        </w:tc>
        <w:tc>
          <w:tcPr>
            <w:tcW w:w="2268" w:type="dxa"/>
            <w:shd w:val="clear" w:color="auto" w:fill="FFFFFF"/>
            <w:tcMar>
              <w:top w:w="80" w:type="dxa"/>
              <w:left w:w="120" w:type="dxa"/>
              <w:bottom w:w="80" w:type="dxa"/>
              <w:right w:w="120" w:type="dxa"/>
            </w:tcMar>
          </w:tcPr>
          <w:p w14:paraId="10FC2021" w14:textId="77777777" w:rsidR="00853ADC" w:rsidRDefault="001308A4">
            <w:r>
              <w:rPr>
                <w:sz w:val="20"/>
                <w:szCs w:val="20"/>
              </w:rPr>
              <w:t>£50M</w:t>
            </w:r>
          </w:p>
        </w:tc>
        <w:tc>
          <w:tcPr>
            <w:tcW w:w="2268" w:type="dxa"/>
            <w:shd w:val="clear" w:color="auto" w:fill="FFFFFF"/>
            <w:tcMar>
              <w:top w:w="80" w:type="dxa"/>
              <w:left w:w="120" w:type="dxa"/>
              <w:bottom w:w="80" w:type="dxa"/>
              <w:right w:w="120" w:type="dxa"/>
            </w:tcMar>
          </w:tcPr>
          <w:p w14:paraId="10FC2022" w14:textId="77777777" w:rsidR="00853ADC" w:rsidRDefault="001308A4">
            <w:r>
              <w:rPr>
                <w:sz w:val="20"/>
                <w:szCs w:val="20"/>
              </w:rPr>
              <w:t>+61%</w:t>
            </w:r>
          </w:p>
        </w:tc>
      </w:tr>
      <w:tr w:rsidR="00853ADC" w14:paraId="10FC2028" w14:textId="77777777">
        <w:tc>
          <w:tcPr>
            <w:tcW w:w="2268" w:type="dxa"/>
            <w:shd w:val="clear" w:color="auto" w:fill="F4F8F3"/>
            <w:tcMar>
              <w:top w:w="80" w:type="dxa"/>
              <w:left w:w="120" w:type="dxa"/>
              <w:bottom w:w="80" w:type="dxa"/>
              <w:right w:w="120" w:type="dxa"/>
            </w:tcMar>
          </w:tcPr>
          <w:p w14:paraId="10FC2024" w14:textId="77777777" w:rsidR="00853ADC" w:rsidRDefault="001308A4">
            <w:r>
              <w:rPr>
                <w:sz w:val="20"/>
                <w:szCs w:val="20"/>
              </w:rPr>
              <w:t>Vehicle Finance</w:t>
            </w:r>
          </w:p>
        </w:tc>
        <w:tc>
          <w:tcPr>
            <w:tcW w:w="2268" w:type="dxa"/>
            <w:shd w:val="clear" w:color="auto" w:fill="F4F8F3"/>
            <w:tcMar>
              <w:top w:w="80" w:type="dxa"/>
              <w:left w:w="120" w:type="dxa"/>
              <w:bottom w:w="80" w:type="dxa"/>
              <w:right w:w="120" w:type="dxa"/>
            </w:tcMar>
          </w:tcPr>
          <w:p w14:paraId="10FC2025" w14:textId="77777777" w:rsidR="00853ADC" w:rsidRDefault="001308A4">
            <w:r>
              <w:rPr>
                <w:sz w:val="20"/>
                <w:szCs w:val="20"/>
              </w:rPr>
              <w:t>£18M</w:t>
            </w:r>
          </w:p>
        </w:tc>
        <w:tc>
          <w:tcPr>
            <w:tcW w:w="2268" w:type="dxa"/>
            <w:shd w:val="clear" w:color="auto" w:fill="F4F8F3"/>
            <w:tcMar>
              <w:top w:w="80" w:type="dxa"/>
              <w:left w:w="120" w:type="dxa"/>
              <w:bottom w:w="80" w:type="dxa"/>
              <w:right w:w="120" w:type="dxa"/>
            </w:tcMar>
          </w:tcPr>
          <w:p w14:paraId="10FC2026" w14:textId="77777777" w:rsidR="00853ADC" w:rsidRDefault="001308A4">
            <w:r>
              <w:rPr>
                <w:sz w:val="20"/>
                <w:szCs w:val="20"/>
              </w:rPr>
              <w:t>£22M</w:t>
            </w:r>
          </w:p>
        </w:tc>
        <w:tc>
          <w:tcPr>
            <w:tcW w:w="2268" w:type="dxa"/>
            <w:shd w:val="clear" w:color="auto" w:fill="F4F8F3"/>
            <w:tcMar>
              <w:top w:w="80" w:type="dxa"/>
              <w:left w:w="120" w:type="dxa"/>
              <w:bottom w:w="80" w:type="dxa"/>
              <w:right w:w="120" w:type="dxa"/>
            </w:tcMar>
          </w:tcPr>
          <w:p w14:paraId="10FC2027" w14:textId="77777777" w:rsidR="00853ADC" w:rsidRDefault="001308A4">
            <w:r>
              <w:rPr>
                <w:sz w:val="20"/>
                <w:szCs w:val="20"/>
              </w:rPr>
              <w:t>+22%</w:t>
            </w:r>
          </w:p>
        </w:tc>
      </w:tr>
    </w:tbl>
    <w:p w14:paraId="10FC2029" w14:textId="77777777" w:rsidR="00853ADC" w:rsidRDefault="001308A4">
      <w:pPr>
        <w:pStyle w:val="CaptionText"/>
      </w:pPr>
      <w:r>
        <w:t>Table 1: Loan originations by product, FY2024 vs FY2025.</w:t>
      </w:r>
    </w:p>
    <w:p w14:paraId="10FC202A" w14:textId="77777777" w:rsidR="00853ADC" w:rsidRDefault="00853ADC">
      <w:pPr>
        <w:spacing w:before="226"/>
      </w:pPr>
    </w:p>
    <w:p w14:paraId="10FC202B" w14:textId="77777777" w:rsidR="00853ADC" w:rsidRDefault="001308A4">
      <w:pPr>
        <w:pStyle w:val="Heading2"/>
      </w:pPr>
      <w:r>
        <w:t>2.2 Customer Outcomes</w:t>
      </w:r>
    </w:p>
    <w:p w14:paraId="10FC202C" w14:textId="77777777" w:rsidR="00853ADC" w:rsidRDefault="001308A4">
      <w:pPr>
        <w:pStyle w:val="BodyText"/>
      </w:pPr>
      <w:r>
        <w:t>Customer satisfaction remained high throughout the year. Exit surveys indicate that 81% of borrowers reported a meaningful improvement in financial confidence after taking an Abound loan, up from 74% in the prior year.</w:t>
      </w:r>
    </w:p>
    <w:p w14:paraId="10FC202D" w14:textId="77777777" w:rsidR="00853ADC" w:rsidRDefault="001308A4">
      <w:pPr>
        <w:pStyle w:val="Callout"/>
      </w:pPr>
      <w:r>
        <w:rPr>
          <w:b/>
          <w:bCs/>
        </w:rPr>
        <w:t xml:space="preserve">Key Insight:  </w:t>
      </w:r>
      <w:r>
        <w:t>Borrowers who engaged with the Abound financial wellness tools had a 40% lower early repayment stress indicator compared to those who did not.</w:t>
      </w:r>
    </w:p>
    <w:p w14:paraId="10FC202E" w14:textId="77777777" w:rsidR="00853ADC" w:rsidRDefault="001308A4">
      <w:pPr>
        <w:pStyle w:val="BodyText"/>
      </w:pPr>
      <w:r>
        <w:t>Default rates continued to track well below the FCA's sector average of 3.2%, demonstrating the effectiveness of the open-banking underwriting approach even as the portfolio scaled.</w:t>
      </w:r>
    </w:p>
    <w:p w14:paraId="10FC202F" w14:textId="77777777" w:rsidR="00853ADC" w:rsidRDefault="001308A4">
      <w:r>
        <w:br w:type="page"/>
      </w:r>
    </w:p>
    <w:p w14:paraId="10FC2030" w14:textId="77777777" w:rsidR="00853ADC" w:rsidRDefault="001308A4">
      <w:pPr>
        <w:pStyle w:val="Heading1"/>
      </w:pPr>
      <w:r>
        <w:lastRenderedPageBreak/>
        <w:t>Appendix — Style Reference</w:t>
      </w:r>
    </w:p>
    <w:p w14:paraId="10FC2031" w14:textId="77777777" w:rsidR="00853ADC" w:rsidRDefault="001308A4">
      <w:pPr>
        <w:pStyle w:val="BodyText"/>
      </w:pPr>
      <w:r>
        <w:t>Apply styles from the Styles pane (Home tab). The examples below show each style and its intended use.</w:t>
      </w:r>
    </w:p>
    <w:p w14:paraId="10FC2032" w14:textId="77777777" w:rsidR="00853ADC" w:rsidRDefault="00853ADC">
      <w:pPr>
        <w:spacing w:before="340"/>
      </w:pPr>
    </w:p>
    <w:p w14:paraId="10FC2033" w14:textId="77777777" w:rsidR="00853ADC" w:rsidRDefault="001308A4">
      <w:pPr>
        <w:pStyle w:val="BodyText"/>
      </w:pPr>
      <w:r>
        <w:rPr>
          <w:b/>
          <w:bCs/>
          <w:color w:val="0E4533"/>
        </w:rPr>
        <w:t>Heading 1:</w:t>
      </w:r>
      <w:r>
        <w:t xml:space="preserve">  Major sections — </w:t>
      </w:r>
      <w:proofErr w:type="spellStart"/>
      <w:r>
        <w:t>Saans</w:t>
      </w:r>
      <w:proofErr w:type="spellEnd"/>
      <w:r>
        <w:t xml:space="preserve"> </w:t>
      </w:r>
      <w:proofErr w:type="spellStart"/>
      <w:r>
        <w:t>SemiBold</w:t>
      </w:r>
      <w:proofErr w:type="spellEnd"/>
      <w:r>
        <w:t xml:space="preserve"> 24pt, Forest Green, teal underline rule.</w:t>
      </w:r>
    </w:p>
    <w:p w14:paraId="10FC2034" w14:textId="77777777" w:rsidR="00853ADC" w:rsidRDefault="001308A4">
      <w:pPr>
        <w:pStyle w:val="BodyText"/>
      </w:pPr>
      <w:r>
        <w:rPr>
          <w:b/>
          <w:bCs/>
        </w:rPr>
        <w:t>Heading 2:</w:t>
      </w:r>
      <w:r>
        <w:t xml:space="preserve">  Subsections — </w:t>
      </w:r>
      <w:proofErr w:type="spellStart"/>
      <w:r>
        <w:t>Saans</w:t>
      </w:r>
      <w:proofErr w:type="spellEnd"/>
      <w:r>
        <w:t xml:space="preserve"> </w:t>
      </w:r>
      <w:proofErr w:type="spellStart"/>
      <w:r>
        <w:t>SemiBold</w:t>
      </w:r>
      <w:proofErr w:type="spellEnd"/>
      <w:r>
        <w:t xml:space="preserve"> 18pt, Charcoal.</w:t>
      </w:r>
    </w:p>
    <w:p w14:paraId="10FC2035" w14:textId="77777777" w:rsidR="00853ADC" w:rsidRDefault="001308A4">
      <w:pPr>
        <w:pStyle w:val="BodyText"/>
      </w:pPr>
      <w:r>
        <w:rPr>
          <w:b/>
          <w:bCs/>
        </w:rPr>
        <w:t>Heading 3:</w:t>
      </w:r>
      <w:r>
        <w:t xml:space="preserve">  Sub-subsections — </w:t>
      </w:r>
      <w:proofErr w:type="spellStart"/>
      <w:r>
        <w:t>Saans</w:t>
      </w:r>
      <w:proofErr w:type="spellEnd"/>
      <w:r>
        <w:t xml:space="preserve"> 14pt, Charcoal.</w:t>
      </w:r>
    </w:p>
    <w:p w14:paraId="10FC2036" w14:textId="77777777" w:rsidR="00853ADC" w:rsidRDefault="001308A4">
      <w:pPr>
        <w:pStyle w:val="BodyText"/>
      </w:pPr>
      <w:r>
        <w:rPr>
          <w:b/>
          <w:bCs/>
        </w:rPr>
        <w:t>Body Text:</w:t>
      </w:r>
      <w:r>
        <w:t xml:space="preserve">  Default paragraphs — Calibri 11pt, Charcoal, 1.4× line spacing.</w:t>
      </w:r>
    </w:p>
    <w:p w14:paraId="10FC2037" w14:textId="77777777" w:rsidR="00853ADC" w:rsidRDefault="001308A4">
      <w:pPr>
        <w:pStyle w:val="BodyText"/>
      </w:pPr>
      <w:r>
        <w:rPr>
          <w:b/>
          <w:bCs/>
          <w:color w:val="667085"/>
        </w:rPr>
        <w:t>Caption Text:</w:t>
      </w:r>
      <w:r>
        <w:rPr>
          <w:i/>
          <w:iCs/>
          <w:color w:val="667085"/>
          <w:sz w:val="18"/>
          <w:szCs w:val="18"/>
        </w:rPr>
        <w:t xml:space="preserve">  Below tables and images — Calibri 9pt italic, Grey.</w:t>
      </w:r>
    </w:p>
    <w:p w14:paraId="10FC2038" w14:textId="77777777" w:rsidR="00853ADC" w:rsidRDefault="00853ADC">
      <w:pPr>
        <w:spacing w:before="226"/>
      </w:pPr>
    </w:p>
    <w:p w14:paraId="10FC2039" w14:textId="77777777" w:rsidR="00853ADC" w:rsidRDefault="001308A4">
      <w:pPr>
        <w:pStyle w:val="Callout"/>
      </w:pPr>
      <w:r>
        <w:rPr>
          <w:b/>
          <w:bCs/>
        </w:rPr>
        <w:t xml:space="preserve">Callout style:  </w:t>
      </w:r>
      <w:r>
        <w:t>Highlighted guidance, tips, or warnings. Teal left border, off-white background. Use at most once per section.</w:t>
      </w:r>
    </w:p>
    <w:p w14:paraId="10FC203A" w14:textId="77777777" w:rsidR="00853ADC" w:rsidRDefault="001308A4">
      <w:pPr>
        <w:pStyle w:val="PullQuote"/>
      </w:pPr>
      <w:r>
        <w:t>“Pull Quote style — one strong statement per section, italicised, Forest Green.”</w:t>
      </w:r>
    </w:p>
    <w:p w14:paraId="10FC203B" w14:textId="77777777" w:rsidR="00853ADC" w:rsidRDefault="00853ADC">
      <w:pPr>
        <w:spacing w:before="113"/>
      </w:pPr>
    </w:p>
    <w:p w14:paraId="10FC203C" w14:textId="77777777" w:rsidR="00853ADC" w:rsidRDefault="001308A4">
      <w:pPr>
        <w:pStyle w:val="CaptionText"/>
      </w:pPr>
      <w:r>
        <w:t>Caption Text style — directly below a table or image, brief and descriptive.</w:t>
      </w:r>
    </w:p>
    <w:sectPr w:rsidR="00853ADC">
      <w:headerReference w:type="default" r:id="rId9"/>
      <w:footerReference w:type="default" r:id="rId10"/>
      <w:pgSz w:w="11906" w:h="16838"/>
      <w:pgMar w:top="1417" w:right="1417" w:bottom="1417" w:left="1417" w:header="680" w:footer="68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6D13EF" w14:textId="77777777" w:rsidR="00301CAB" w:rsidRDefault="00301CAB">
      <w:pPr>
        <w:spacing w:line="240" w:lineRule="auto"/>
      </w:pPr>
      <w:r>
        <w:separator/>
      </w:r>
    </w:p>
  </w:endnote>
  <w:endnote w:type="continuationSeparator" w:id="0">
    <w:p w14:paraId="25B58FB6" w14:textId="77777777" w:rsidR="00301CAB" w:rsidRDefault="00301CA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B961E17B-42A0-437A-B63A-2E8CEA673A5A}"/>
    <w:embedBold r:id="rId2" w:fontKey="{28558E63-EB97-4F00-9D1E-2EA30195E3F6}"/>
    <w:embedItalic r:id="rId3" w:fontKey="{257C7760-8862-486F-8539-20A9B73194AC}"/>
  </w:font>
  <w:font w:name="Saans">
    <w:panose1 w:val="020B0504030103020203"/>
    <w:charset w:val="00"/>
    <w:family w:val="swiss"/>
    <w:notTrueType/>
    <w:pitch w:val="variable"/>
    <w:sig w:usb0="A10000FF" w:usb1="5001A47B" w:usb2="00000000" w:usb3="00000000" w:csb0="00000193" w:csb1="00000000"/>
  </w:font>
  <w:font w:name="Times New Roman">
    <w:panose1 w:val="02020603050405020304"/>
    <w:charset w:val="00"/>
    <w:family w:val="roman"/>
    <w:pitch w:val="variable"/>
    <w:sig w:usb0="E0002EFF" w:usb1="C000785B" w:usb2="00000009" w:usb3="00000000" w:csb0="000001FF" w:csb1="00000000"/>
    <w:embedRegular r:id="rId4" w:fontKey="{0CB96B98-2BDB-4A3F-802C-3E7AE1CC78B7}"/>
  </w:font>
  <w:font w:name="PMingLiU">
    <w:altName w:val="新細明體"/>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embedRegular r:id="rId5" w:fontKey="{01DDB6A4-4646-48F9-94F4-316E6F3DB682}"/>
  </w:font>
  <w:font w:name="Aptos">
    <w:charset w:val="00"/>
    <w:family w:val="swiss"/>
    <w:pitch w:val="variable"/>
    <w:sig w:usb0="20000287" w:usb1="00000003" w:usb2="00000000" w:usb3="00000000" w:csb0="0000019F" w:csb1="00000000"/>
    <w:embedRegular r:id="rId6" w:fontKey="{A55B93F5-70C4-4212-B0B4-173B3FAE025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C2042" w14:textId="6C66E43E" w:rsidR="00853ADC" w:rsidRDefault="001308A4">
    <w:pPr>
      <w:pBdr>
        <w:top w:val="single" w:sz="4" w:space="4" w:color="B8DCD2"/>
      </w:pBdr>
      <w:tabs>
        <w:tab w:val="right" w:pos="9072"/>
      </w:tabs>
    </w:pPr>
    <w:r>
      <w:rPr>
        <w:color w:val="667085"/>
        <w:sz w:val="18"/>
        <w:szCs w:val="18"/>
      </w:rPr>
      <w:t>[Document Name]</w:t>
    </w:r>
    <w:r>
      <w:rPr>
        <w:color w:val="667085"/>
        <w:sz w:val="18"/>
        <w:szCs w:val="18"/>
      </w:rPr>
      <w:tab/>
      <w:t xml:space="preserve">Page </w:t>
    </w:r>
    <w:r>
      <w:rPr>
        <w:color w:val="667085"/>
        <w:sz w:val="18"/>
        <w:szCs w:val="18"/>
      </w:rPr>
      <w:fldChar w:fldCharType="begin"/>
    </w:r>
    <w:r>
      <w:rPr>
        <w:color w:val="667085"/>
        <w:sz w:val="18"/>
        <w:szCs w:val="18"/>
      </w:rPr>
      <w:instrText>PAGE</w:instrText>
    </w:r>
    <w:r>
      <w:rPr>
        <w:color w:val="667085"/>
        <w:sz w:val="18"/>
        <w:szCs w:val="18"/>
      </w:rPr>
      <w:fldChar w:fldCharType="separate"/>
    </w:r>
    <w:r w:rsidR="00D3045C">
      <w:rPr>
        <w:noProof/>
        <w:color w:val="667085"/>
        <w:sz w:val="18"/>
        <w:szCs w:val="18"/>
      </w:rPr>
      <w:t>2</w:t>
    </w:r>
    <w:r>
      <w:rPr>
        <w:color w:val="667085"/>
        <w:sz w:val="18"/>
        <w:szCs w:val="18"/>
      </w:rPr>
      <w:fldChar w:fldCharType="end"/>
    </w:r>
    <w:r>
      <w:rPr>
        <w:color w:val="667085"/>
        <w:sz w:val="18"/>
        <w:szCs w:val="18"/>
      </w:rPr>
      <w:t xml:space="preserve"> of </w:t>
    </w:r>
    <w:r>
      <w:rPr>
        <w:color w:val="667085"/>
        <w:sz w:val="18"/>
        <w:szCs w:val="18"/>
      </w:rPr>
      <w:fldChar w:fldCharType="begin"/>
    </w:r>
    <w:r>
      <w:rPr>
        <w:color w:val="667085"/>
        <w:sz w:val="18"/>
        <w:szCs w:val="18"/>
      </w:rPr>
      <w:instrText>NUMPAGES</w:instrText>
    </w:r>
    <w:r>
      <w:rPr>
        <w:color w:val="667085"/>
        <w:sz w:val="18"/>
        <w:szCs w:val="18"/>
      </w:rPr>
      <w:fldChar w:fldCharType="separate"/>
    </w:r>
    <w:r w:rsidR="00D3045C">
      <w:rPr>
        <w:noProof/>
        <w:color w:val="667085"/>
        <w:sz w:val="18"/>
        <w:szCs w:val="18"/>
      </w:rPr>
      <w:t>3</w:t>
    </w:r>
    <w:r>
      <w:rPr>
        <w:color w:val="66708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A3D220" w14:textId="77777777" w:rsidR="00301CAB" w:rsidRDefault="00301CAB">
      <w:pPr>
        <w:spacing w:line="240" w:lineRule="auto"/>
      </w:pPr>
      <w:r>
        <w:separator/>
      </w:r>
    </w:p>
  </w:footnote>
  <w:footnote w:type="continuationSeparator" w:id="0">
    <w:p w14:paraId="259FBE9F" w14:textId="77777777" w:rsidR="00301CAB" w:rsidRDefault="00301CA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C2041" w14:textId="77777777" w:rsidR="00853ADC" w:rsidRDefault="001308A4">
    <w:pPr>
      <w:pBdr>
        <w:bottom w:val="single" w:sz="6" w:space="4" w:color="0E4533"/>
      </w:pBdr>
      <w:tabs>
        <w:tab w:val="right" w:pos="9072"/>
      </w:tabs>
    </w:pPr>
    <w:r>
      <w:rPr>
        <w:noProof/>
      </w:rPr>
      <w:drawing>
        <wp:inline distT="0" distB="0" distL="0" distR="0" wp14:anchorId="10FC2045" wp14:editId="10FC2046">
          <wp:extent cx="1076325" cy="295275"/>
          <wp:effectExtent l="0" t="0" r="0" b="0"/>
          <wp:docPr id="1136193699" name="Picture 1136193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076325" cy="295275"/>
                  </a:xfrm>
                  <a:prstGeom prst="rect">
                    <a:avLst/>
                  </a:prstGeom>
                </pic:spPr>
              </pic:pic>
            </a:graphicData>
          </a:graphic>
        </wp:inline>
      </w:drawing>
    </w:r>
    <w:r>
      <w:rPr>
        <w:i/>
        <w:iCs/>
        <w:color w:val="475467"/>
        <w:sz w:val="18"/>
        <w:szCs w:val="18"/>
      </w:rPr>
      <w:tab/>
      <w:t>[Section Name]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5F726C"/>
    <w:multiLevelType w:val="hybridMultilevel"/>
    <w:tmpl w:val="532C0F04"/>
    <w:lvl w:ilvl="0" w:tplc="6C24184C">
      <w:start w:val="1"/>
      <w:numFmt w:val="bullet"/>
      <w:lvlText w:val="●"/>
      <w:lvlJc w:val="left"/>
      <w:pPr>
        <w:ind w:left="720" w:hanging="360"/>
      </w:pPr>
    </w:lvl>
    <w:lvl w:ilvl="1" w:tplc="A240FE0A">
      <w:start w:val="1"/>
      <w:numFmt w:val="bullet"/>
      <w:lvlText w:val="○"/>
      <w:lvlJc w:val="left"/>
      <w:pPr>
        <w:ind w:left="1440" w:hanging="360"/>
      </w:pPr>
    </w:lvl>
    <w:lvl w:ilvl="2" w:tplc="6EF6398C">
      <w:start w:val="1"/>
      <w:numFmt w:val="bullet"/>
      <w:lvlText w:val="■"/>
      <w:lvlJc w:val="left"/>
      <w:pPr>
        <w:ind w:left="2160" w:hanging="360"/>
      </w:pPr>
    </w:lvl>
    <w:lvl w:ilvl="3" w:tplc="1BC4946C">
      <w:start w:val="1"/>
      <w:numFmt w:val="bullet"/>
      <w:lvlText w:val="●"/>
      <w:lvlJc w:val="left"/>
      <w:pPr>
        <w:ind w:left="2880" w:hanging="360"/>
      </w:pPr>
    </w:lvl>
    <w:lvl w:ilvl="4" w:tplc="875C4B28">
      <w:start w:val="1"/>
      <w:numFmt w:val="bullet"/>
      <w:lvlText w:val="○"/>
      <w:lvlJc w:val="left"/>
      <w:pPr>
        <w:ind w:left="3600" w:hanging="360"/>
      </w:pPr>
    </w:lvl>
    <w:lvl w:ilvl="5" w:tplc="CE2CEA6A">
      <w:start w:val="1"/>
      <w:numFmt w:val="bullet"/>
      <w:lvlText w:val="■"/>
      <w:lvlJc w:val="left"/>
      <w:pPr>
        <w:ind w:left="4320" w:hanging="360"/>
      </w:pPr>
    </w:lvl>
    <w:lvl w:ilvl="6" w:tplc="950C5910">
      <w:start w:val="1"/>
      <w:numFmt w:val="bullet"/>
      <w:lvlText w:val="●"/>
      <w:lvlJc w:val="left"/>
      <w:pPr>
        <w:ind w:left="5040" w:hanging="360"/>
      </w:pPr>
    </w:lvl>
    <w:lvl w:ilvl="7" w:tplc="16006BB2">
      <w:start w:val="1"/>
      <w:numFmt w:val="bullet"/>
      <w:lvlText w:val="●"/>
      <w:lvlJc w:val="left"/>
      <w:pPr>
        <w:ind w:left="5760" w:hanging="360"/>
      </w:pPr>
    </w:lvl>
    <w:lvl w:ilvl="8" w:tplc="F6800ED8">
      <w:start w:val="1"/>
      <w:numFmt w:val="bullet"/>
      <w:lvlText w:val="●"/>
      <w:lvlJc w:val="left"/>
      <w:pPr>
        <w:ind w:left="6480" w:hanging="360"/>
      </w:pPr>
    </w:lvl>
  </w:abstractNum>
  <w:num w:numId="1" w16cid:durableId="7062977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embedSystem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3ADC"/>
    <w:rsid w:val="000A3FC0"/>
    <w:rsid w:val="001308A4"/>
    <w:rsid w:val="001F5E37"/>
    <w:rsid w:val="00301CAB"/>
    <w:rsid w:val="00853ADC"/>
    <w:rsid w:val="00D3045C"/>
    <w:rsid w:val="00E635EA"/>
  </w:rsids>
  <m:mathPr>
    <m:mathFont m:val="Cambria Math"/>
    <m:brkBin m:val="before"/>
    <m:brkBinSub m:val="--"/>
    <m:smallFrac m:val="0"/>
    <m:dispDef/>
    <m:lMargin m:val="0"/>
    <m:rMargin m:val="0"/>
    <m:defJc m:val="centerGroup"/>
    <m:wrapIndent m:val="1440"/>
    <m:intLim m:val="subSup"/>
    <m:naryLim m:val="undOvr"/>
  </m:mathPr>
  <w:themeFontLang w:val="en-GB"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C1FE0"/>
  <w15:docId w15:val="{572904FB-B2C6-48D0-8757-882E07D79D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01F1D"/>
        <w:sz w:val="22"/>
        <w:szCs w:val="22"/>
        <w:lang w:val="en-GB" w:eastAsia="zh-TW" w:bidi="ar-SA"/>
      </w:rPr>
    </w:rPrDefault>
    <w:pPrDefault>
      <w:pPr>
        <w:spacing w:line="331"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4" w:color="B8DCD2"/>
      </w:pBdr>
      <w:spacing w:before="480" w:after="160" w:line="276" w:lineRule="auto"/>
      <w:outlineLvl w:val="0"/>
    </w:pPr>
    <w:rPr>
      <w:rFonts w:ascii="Saans" w:eastAsia="Saans" w:hAnsi="Saans" w:cs="Saans"/>
      <w:b/>
      <w:bCs/>
      <w:color w:val="0E4533"/>
      <w:sz w:val="48"/>
      <w:szCs w:val="48"/>
    </w:rPr>
  </w:style>
  <w:style w:type="paragraph" w:styleId="Heading2">
    <w:name w:val="heading 2"/>
    <w:uiPriority w:val="9"/>
    <w:unhideWhenUsed/>
    <w:qFormat/>
    <w:pPr>
      <w:spacing w:before="320" w:after="120" w:line="276" w:lineRule="auto"/>
      <w:outlineLvl w:val="1"/>
    </w:pPr>
    <w:rPr>
      <w:rFonts w:ascii="Saans" w:eastAsia="Saans" w:hAnsi="Saans" w:cs="Saans"/>
      <w:b/>
      <w:bCs/>
      <w:sz w:val="36"/>
      <w:szCs w:val="36"/>
    </w:rPr>
  </w:style>
  <w:style w:type="paragraph" w:styleId="Heading3">
    <w:name w:val="heading 3"/>
    <w:uiPriority w:val="9"/>
    <w:unhideWhenUsed/>
    <w:qFormat/>
    <w:pPr>
      <w:spacing w:before="240" w:after="80" w:line="276" w:lineRule="auto"/>
      <w:outlineLvl w:val="2"/>
    </w:pPr>
    <w:rPr>
      <w:rFonts w:ascii="Saans" w:eastAsia="Saans" w:hAnsi="Saans" w:cs="Saans"/>
      <w:sz w:val="28"/>
      <w:szCs w:val="2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paragraph" w:styleId="BodyText">
    <w:name w:val="Body Text"/>
    <w:pPr>
      <w:spacing w:after="160"/>
    </w:pPr>
  </w:style>
  <w:style w:type="paragraph" w:customStyle="1" w:styleId="CaptionText">
    <w:name w:val="Caption Text"/>
    <w:pPr>
      <w:spacing w:before="60" w:after="120" w:line="240" w:lineRule="auto"/>
    </w:pPr>
    <w:rPr>
      <w:i/>
      <w:iCs/>
      <w:color w:val="667085"/>
      <w:sz w:val="18"/>
      <w:szCs w:val="18"/>
    </w:rPr>
  </w:style>
  <w:style w:type="paragraph" w:customStyle="1" w:styleId="Callout">
    <w:name w:val="Callout"/>
    <w:pPr>
      <w:pBdr>
        <w:left w:val="single" w:sz="24" w:space="8" w:color="B8DCD2"/>
      </w:pBdr>
      <w:shd w:val="clear" w:color="auto" w:fill="F4F8F3"/>
      <w:spacing w:before="160" w:after="200"/>
      <w:ind w:left="453"/>
    </w:pPr>
  </w:style>
  <w:style w:type="paragraph" w:customStyle="1" w:styleId="PullQuote">
    <w:name w:val="Pull Quote"/>
    <w:pPr>
      <w:spacing w:before="200" w:after="200" w:line="276" w:lineRule="auto"/>
      <w:ind w:left="680" w:right="680"/>
    </w:pPr>
    <w:rPr>
      <w:i/>
      <w:iCs/>
      <w:color w:val="0E4533"/>
      <w:sz w:val="26"/>
      <w:szCs w:val="26"/>
    </w:rPr>
  </w:style>
  <w:style w:type="paragraph" w:styleId="Header">
    <w:name w:val="header"/>
    <w:basedOn w:val="Normal"/>
    <w:link w:val="HeaderChar"/>
    <w:uiPriority w:val="99"/>
    <w:unhideWhenUsed/>
    <w:rsid w:val="001308A4"/>
    <w:pPr>
      <w:tabs>
        <w:tab w:val="center" w:pos="4513"/>
        <w:tab w:val="right" w:pos="9026"/>
      </w:tabs>
      <w:spacing w:line="240" w:lineRule="auto"/>
    </w:pPr>
  </w:style>
  <w:style w:type="character" w:customStyle="1" w:styleId="HeaderChar">
    <w:name w:val="Header Char"/>
    <w:basedOn w:val="DefaultParagraphFont"/>
    <w:link w:val="Header"/>
    <w:uiPriority w:val="99"/>
    <w:rsid w:val="001308A4"/>
  </w:style>
  <w:style w:type="paragraph" w:styleId="Footer">
    <w:name w:val="footer"/>
    <w:basedOn w:val="Normal"/>
    <w:link w:val="FooterChar"/>
    <w:uiPriority w:val="99"/>
    <w:unhideWhenUsed/>
    <w:rsid w:val="001308A4"/>
    <w:pPr>
      <w:tabs>
        <w:tab w:val="center" w:pos="4513"/>
        <w:tab w:val="right" w:pos="9026"/>
      </w:tabs>
      <w:spacing w:line="240" w:lineRule="auto"/>
    </w:pPr>
  </w:style>
  <w:style w:type="character" w:customStyle="1" w:styleId="FooterChar">
    <w:name w:val="Footer Char"/>
    <w:basedOn w:val="DefaultParagraphFont"/>
    <w:link w:val="Footer"/>
    <w:uiPriority w:val="99"/>
    <w:rsid w:val="001308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550</Words>
  <Characters>3241</Characters>
  <Application>Microsoft Office Word</Application>
  <DocSecurity>0</DocSecurity>
  <Lines>101</Lines>
  <Paragraphs>67</Paragraphs>
  <ScaleCrop>false</ScaleCrop>
  <Company/>
  <LinksUpToDate>false</LinksUpToDate>
  <CharactersWithSpaces>3742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Ming Ho</cp:lastModifiedBy>
  <cp:revision>4</cp:revision>
  <dcterms:created xsi:type="dcterms:W3CDTF">2026-03-12T17:22:00Z</dcterms:created>
  <dcterms:modified xsi:type="dcterms:W3CDTF">2026-03-12T17:32:00Z</dcterms:modified>
</cp:coreProperties>
</file>