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DDoS(Distributed Denial of Service) attack.</w:t>
            </w:r>
          </w:p>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internal network service stopped working for two hours due to a flood of incoming ICMP packets. The incident management team responded by blocking the incoming ICMP packets, stopping all non-critical network services and restoring critical network services.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entire internal network was compromised. Critical network services were disrupted. Attack vector caused by an unconfigured firewall.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team implemented a new firewall rule to limit the rate of incoming ICMP packets and an IPS/IDS system to filter out suspicious ICMP traffic.</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team implemented network monitoring software to detect abnormal traffic patterns and configured source IP address verification on the firewall to check for spoofed IP addresses.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events, the affected system will be isolated to prevent further network disruption. Critical network services will be prioritized for restoration, non-critical network services will be turned off if necessary. The security team will analyse network logs for abnormal activities. The team will also report the incidents to upper management and the appropriate legal team.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The malicious packet flood will be blocked by the firewall.  Critical network services need to be restored first. Non-critical network services will be stopped to reduce internal network traffic to maintain critical network services. Once the attack has been contained, non-critical network services can be brought back online.</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