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357C0" w14:textId="6106A34C" w:rsidR="00BA0BC5" w:rsidRDefault="00BA0BC5" w:rsidP="00BA0BC5">
      <w:pPr>
        <w:spacing w:line="360" w:lineRule="auto"/>
        <w:rPr>
          <w:rFonts w:ascii="Times New Roman" w:hAnsi="Times New Roman" w:hint="eastAsia"/>
          <w:b/>
          <w:sz w:val="32"/>
          <w:szCs w:val="32"/>
        </w:rPr>
      </w:pPr>
      <w:r>
        <w:rPr>
          <w:rFonts w:ascii="Times New Roman" w:hAnsi="Times New Roman"/>
          <w:b/>
          <w:sz w:val="32"/>
          <w:szCs w:val="32"/>
        </w:rPr>
        <w:t xml:space="preserve">A Summary of Differences between This Submission and the Conference Version in ISBRA </w:t>
      </w:r>
      <w:r>
        <w:rPr>
          <w:rFonts w:ascii="Times New Roman" w:hAnsi="Times New Roman" w:hint="eastAsia"/>
          <w:b/>
          <w:sz w:val="32"/>
          <w:szCs w:val="32"/>
        </w:rPr>
        <w:t>20</w:t>
      </w:r>
      <w:r w:rsidR="00054A62">
        <w:rPr>
          <w:rFonts w:ascii="Times New Roman" w:hAnsi="Times New Roman" w:hint="eastAsia"/>
          <w:b/>
          <w:sz w:val="32"/>
          <w:szCs w:val="32"/>
        </w:rPr>
        <w:t>25</w:t>
      </w:r>
    </w:p>
    <w:p w14:paraId="74CA2994" w14:textId="77777777" w:rsidR="00BA0BC5" w:rsidRDefault="00BA0BC5" w:rsidP="00BA0BC5">
      <w:pPr>
        <w:spacing w:line="360" w:lineRule="auto"/>
        <w:rPr>
          <w:rFonts w:ascii="Times New Roman" w:hAnsi="Times New Roman"/>
          <w:b/>
          <w:sz w:val="32"/>
          <w:szCs w:val="32"/>
        </w:rPr>
      </w:pPr>
    </w:p>
    <w:p w14:paraId="0AAA01E3" w14:textId="1526B6AE" w:rsidR="00BA0BC5" w:rsidRPr="00BA0BC5" w:rsidRDefault="00BA0BC5" w:rsidP="00BA0BC5">
      <w:pPr>
        <w:rPr>
          <w:rFonts w:ascii="Times New Roman" w:hAnsi="Times New Roman"/>
          <w:sz w:val="24"/>
          <w:szCs w:val="24"/>
        </w:rPr>
      </w:pPr>
      <w:r>
        <w:rPr>
          <w:rFonts w:ascii="Times New Roman" w:hAnsi="Times New Roman"/>
          <w:sz w:val="24"/>
          <w:szCs w:val="24"/>
        </w:rPr>
        <w:t xml:space="preserve">Submission title: </w:t>
      </w:r>
      <w:r w:rsidR="0060502F" w:rsidRPr="0060502F">
        <w:rPr>
          <w:rFonts w:ascii="Times New Roman" w:hAnsi="Times New Roman"/>
          <w:sz w:val="24"/>
          <w:szCs w:val="24"/>
        </w:rPr>
        <w:t xml:space="preserve">TREPP: Tandem Repeat Expansion Pathogenicity Prediction via Stacked </w:t>
      </w:r>
      <w:proofErr w:type="spellStart"/>
      <w:r w:rsidR="0060502F" w:rsidRPr="0060502F">
        <w:rPr>
          <w:rFonts w:ascii="Times New Roman" w:hAnsi="Times New Roman"/>
          <w:sz w:val="24"/>
          <w:szCs w:val="24"/>
        </w:rPr>
        <w:t>CatBoost</w:t>
      </w:r>
      <w:proofErr w:type="spellEnd"/>
      <w:r w:rsidR="0060502F" w:rsidRPr="0060502F">
        <w:rPr>
          <w:rFonts w:ascii="Times New Roman" w:hAnsi="Times New Roman"/>
          <w:sz w:val="24"/>
          <w:szCs w:val="24"/>
        </w:rPr>
        <w:t xml:space="preserve"> and Context-Aware Sequence Features</w:t>
      </w:r>
    </w:p>
    <w:p w14:paraId="37172354" w14:textId="5D5FC35F" w:rsidR="00BA0BC5" w:rsidRDefault="00BA0BC5" w:rsidP="00BA0BC5">
      <w:pPr>
        <w:spacing w:line="360" w:lineRule="auto"/>
        <w:rPr>
          <w:rFonts w:ascii="Times New Roman" w:hAnsi="Times New Roman"/>
          <w:sz w:val="24"/>
          <w:szCs w:val="24"/>
        </w:rPr>
      </w:pPr>
      <w:r>
        <w:rPr>
          <w:rFonts w:ascii="Times New Roman" w:hAnsi="Times New Roman" w:hint="eastAsia"/>
          <w:sz w:val="24"/>
          <w:szCs w:val="24"/>
        </w:rPr>
        <w:t>Authors:</w:t>
      </w:r>
      <w:r w:rsidR="0060502F">
        <w:rPr>
          <w:rFonts w:ascii="Times New Roman" w:hAnsi="Times New Roman" w:hint="eastAsia"/>
          <w:sz w:val="24"/>
          <w:szCs w:val="24"/>
        </w:rPr>
        <w:t xml:space="preserve"> </w:t>
      </w:r>
      <w:proofErr w:type="spellStart"/>
      <w:r w:rsidR="009A45C3" w:rsidRPr="009A45C3">
        <w:rPr>
          <w:rFonts w:ascii="Times New Roman" w:hAnsi="Times New Roman"/>
          <w:sz w:val="24"/>
          <w:szCs w:val="24"/>
        </w:rPr>
        <w:t>Minghua</w:t>
      </w:r>
      <w:proofErr w:type="spellEnd"/>
      <w:r w:rsidR="009A45C3" w:rsidRPr="009A45C3">
        <w:rPr>
          <w:rFonts w:ascii="Times New Roman" w:hAnsi="Times New Roman"/>
          <w:sz w:val="24"/>
          <w:szCs w:val="24"/>
        </w:rPr>
        <w:t xml:space="preserve"> Xu, Kang Hu, Chao Deng, Peng Ni, Jianxin Wang</w:t>
      </w:r>
      <w:r w:rsidR="0060502F" w:rsidRPr="0060502F">
        <w:t xml:space="preserve"> </w:t>
      </w:r>
    </w:p>
    <w:p w14:paraId="0DB31A65" w14:textId="77777777" w:rsidR="00BA0BC5" w:rsidRPr="0060502F" w:rsidRDefault="00BA0BC5" w:rsidP="00BA0BC5">
      <w:pPr>
        <w:widowControl/>
        <w:jc w:val="left"/>
        <w:rPr>
          <w:rFonts w:ascii="Times New Roman" w:eastAsia="宋体" w:hAnsi="Times New Roman"/>
          <w:kern w:val="0"/>
          <w:sz w:val="24"/>
          <w:szCs w:val="24"/>
        </w:rPr>
      </w:pPr>
    </w:p>
    <w:p w14:paraId="2B08561B" w14:textId="0966F1EB" w:rsidR="00BA0BC5" w:rsidRDefault="00BA0BC5" w:rsidP="00BA0BC5">
      <w:pPr>
        <w:spacing w:line="360" w:lineRule="auto"/>
        <w:rPr>
          <w:rFonts w:ascii="Times New Roman" w:eastAsia="宋体" w:hAnsi="Times New Roman"/>
          <w:sz w:val="24"/>
          <w:szCs w:val="24"/>
        </w:rPr>
      </w:pPr>
      <w:r>
        <w:rPr>
          <w:rFonts w:ascii="Times New Roman" w:hAnsi="Times New Roman" w:hint="eastAsia"/>
          <w:sz w:val="24"/>
          <w:szCs w:val="24"/>
        </w:rPr>
        <w:t xml:space="preserve">A summary of differences between this submission and our previous conference version </w:t>
      </w:r>
      <w:r w:rsidR="0034175C">
        <w:rPr>
          <w:rFonts w:ascii="Times New Roman" w:hAnsi="Times New Roman"/>
          <w:sz w:val="24"/>
          <w:szCs w:val="24"/>
        </w:rPr>
        <w:t>is</w:t>
      </w:r>
      <w:r>
        <w:rPr>
          <w:rFonts w:ascii="Times New Roman" w:hAnsi="Times New Roman" w:hint="eastAsia"/>
          <w:sz w:val="24"/>
          <w:szCs w:val="24"/>
        </w:rPr>
        <w:t xml:space="preserve"> listed as </w:t>
      </w:r>
      <w:r w:rsidR="003C01B5">
        <w:rPr>
          <w:rFonts w:ascii="Times New Roman" w:hAnsi="Times New Roman"/>
          <w:sz w:val="24"/>
          <w:szCs w:val="24"/>
        </w:rPr>
        <w:t>follows</w:t>
      </w:r>
      <w:r>
        <w:rPr>
          <w:rFonts w:ascii="Times New Roman" w:hAnsi="Times New Roman" w:hint="eastAsia"/>
          <w:sz w:val="24"/>
          <w:szCs w:val="24"/>
        </w:rPr>
        <w:t>:</w:t>
      </w:r>
    </w:p>
    <w:p w14:paraId="79DC133C" w14:textId="77777777" w:rsidR="00BA0BC5" w:rsidRDefault="00BA0BC5" w:rsidP="00BA0BC5">
      <w:pPr>
        <w:widowControl/>
        <w:jc w:val="left"/>
        <w:rPr>
          <w:rFonts w:ascii="Times New Roman" w:eastAsia="宋体" w:hAnsi="Times New Roman"/>
          <w:kern w:val="0"/>
          <w:sz w:val="24"/>
          <w:szCs w:val="24"/>
        </w:rPr>
      </w:pPr>
    </w:p>
    <w:p w14:paraId="175FF444" w14:textId="77777777" w:rsidR="00BD6F72" w:rsidRPr="00BD6F72" w:rsidRDefault="00BD6F72" w:rsidP="00BD6F72">
      <w:pPr>
        <w:pStyle w:val="a9"/>
        <w:numPr>
          <w:ilvl w:val="0"/>
          <w:numId w:val="1"/>
        </w:numPr>
        <w:rPr>
          <w:rFonts w:ascii="Times New Roman" w:eastAsia="宋体" w:hAnsi="Times New Roman"/>
          <w:kern w:val="0"/>
          <w:sz w:val="24"/>
          <w:szCs w:val="24"/>
        </w:rPr>
      </w:pPr>
      <w:r w:rsidRPr="00BD6F72">
        <w:rPr>
          <w:rFonts w:ascii="Times New Roman" w:eastAsia="宋体" w:hAnsi="Times New Roman"/>
          <w:kern w:val="0"/>
          <w:sz w:val="24"/>
          <w:szCs w:val="24"/>
        </w:rPr>
        <w:t>We have rewritten Section 1 Introduction, to provide a more comprehensive background on the specific challenges of predicting TR pathogenicity, particularly regarding sequence context and motif interruptions. We have also expanded the discussion of related works to better differentiate TREPP from the previous version presented at ISBRA 2024.</w:t>
      </w:r>
    </w:p>
    <w:p w14:paraId="572A8A80" w14:textId="77777777" w:rsidR="00BD6F72" w:rsidRPr="00BD6F72" w:rsidRDefault="00BD6F72" w:rsidP="00BD6F72">
      <w:pPr>
        <w:pStyle w:val="a9"/>
        <w:numPr>
          <w:ilvl w:val="0"/>
          <w:numId w:val="1"/>
        </w:numPr>
        <w:rPr>
          <w:rFonts w:ascii="Times New Roman" w:eastAsia="宋体" w:hAnsi="Times New Roman"/>
          <w:kern w:val="0"/>
          <w:sz w:val="24"/>
          <w:szCs w:val="24"/>
        </w:rPr>
      </w:pPr>
      <w:r w:rsidRPr="00BD6F72">
        <w:rPr>
          <w:rFonts w:ascii="Times New Roman" w:eastAsia="宋体" w:hAnsi="Times New Roman"/>
          <w:kern w:val="0"/>
          <w:sz w:val="24"/>
          <w:szCs w:val="24"/>
        </w:rPr>
        <w:t xml:space="preserve">We have significantly refined the Feature Engineering process in Subsection 2.1. Unlike the conference version which relied primarily on binary overlap indicators and simple content statistics, the journal version introduces distance-based spatial features (e.g., </w:t>
      </w:r>
      <w:proofErr w:type="spellStart"/>
      <w:r w:rsidRPr="00BD6F72">
        <w:rPr>
          <w:rFonts w:ascii="Times New Roman" w:eastAsia="宋体" w:hAnsi="Times New Roman"/>
          <w:kern w:val="0"/>
          <w:sz w:val="24"/>
          <w:szCs w:val="24"/>
        </w:rPr>
        <w:t>dist_to_exon</w:t>
      </w:r>
      <w:proofErr w:type="spellEnd"/>
      <w:r w:rsidRPr="00BD6F72">
        <w:rPr>
          <w:rFonts w:ascii="Times New Roman" w:eastAsia="宋体" w:hAnsi="Times New Roman"/>
          <w:kern w:val="0"/>
          <w:sz w:val="24"/>
          <w:szCs w:val="24"/>
        </w:rPr>
        <w:t xml:space="preserve">, </w:t>
      </w:r>
      <w:proofErr w:type="spellStart"/>
      <w:r w:rsidRPr="00BD6F72">
        <w:rPr>
          <w:rFonts w:ascii="Times New Roman" w:eastAsia="宋体" w:hAnsi="Times New Roman"/>
          <w:kern w:val="0"/>
          <w:sz w:val="24"/>
          <w:szCs w:val="24"/>
        </w:rPr>
        <w:t>gene_rel_pos</w:t>
      </w:r>
      <w:proofErr w:type="spellEnd"/>
      <w:proofErr w:type="gramStart"/>
      <w:r w:rsidRPr="00BD6F72">
        <w:rPr>
          <w:rFonts w:ascii="Times New Roman" w:eastAsia="宋体" w:hAnsi="Times New Roman"/>
          <w:kern w:val="0"/>
          <w:sz w:val="24"/>
          <w:szCs w:val="24"/>
        </w:rPr>
        <w:t>) ,</w:t>
      </w:r>
      <w:proofErr w:type="gramEnd"/>
      <w:r w:rsidRPr="00BD6F72">
        <w:rPr>
          <w:rFonts w:ascii="Times New Roman" w:eastAsia="宋体" w:hAnsi="Times New Roman"/>
          <w:kern w:val="0"/>
          <w:sz w:val="24"/>
          <w:szCs w:val="24"/>
        </w:rPr>
        <w:t xml:space="preserve"> context-aware difference features (e.g., </w:t>
      </w:r>
      <w:proofErr w:type="spellStart"/>
      <w:r w:rsidRPr="00BD6F72">
        <w:rPr>
          <w:rFonts w:ascii="Times New Roman" w:eastAsia="宋体" w:hAnsi="Times New Roman"/>
          <w:kern w:val="0"/>
          <w:sz w:val="24"/>
          <w:szCs w:val="24"/>
        </w:rPr>
        <w:t>delta_gc_tr_motif</w:t>
      </w:r>
      <w:proofErr w:type="spellEnd"/>
      <w:r w:rsidRPr="00BD6F72">
        <w:rPr>
          <w:rFonts w:ascii="Times New Roman" w:eastAsia="宋体" w:hAnsi="Times New Roman"/>
          <w:kern w:val="0"/>
          <w:sz w:val="24"/>
          <w:szCs w:val="24"/>
        </w:rPr>
        <w:t xml:space="preserve">, </w:t>
      </w:r>
      <w:proofErr w:type="spellStart"/>
      <w:r w:rsidRPr="00BD6F72">
        <w:rPr>
          <w:rFonts w:ascii="Times New Roman" w:eastAsia="宋体" w:hAnsi="Times New Roman"/>
          <w:kern w:val="0"/>
          <w:sz w:val="24"/>
          <w:szCs w:val="24"/>
        </w:rPr>
        <w:t>str_density_ratio</w:t>
      </w:r>
      <w:proofErr w:type="spellEnd"/>
      <w:proofErr w:type="gramStart"/>
      <w:r w:rsidRPr="00BD6F72">
        <w:rPr>
          <w:rFonts w:ascii="Times New Roman" w:eastAsia="宋体" w:hAnsi="Times New Roman"/>
          <w:kern w:val="0"/>
          <w:sz w:val="24"/>
          <w:szCs w:val="24"/>
        </w:rPr>
        <w:t>) ,</w:t>
      </w:r>
      <w:proofErr w:type="gramEnd"/>
      <w:r w:rsidRPr="00BD6F72">
        <w:rPr>
          <w:rFonts w:ascii="Times New Roman" w:eastAsia="宋体" w:hAnsi="Times New Roman"/>
          <w:kern w:val="0"/>
          <w:sz w:val="24"/>
          <w:szCs w:val="24"/>
        </w:rPr>
        <w:t xml:space="preserve"> and mathematical transformations (e.g., log-transformation). This enhanced feature set allows the model to capture non-linear biological signals and continuous spatial relationships that were previously overlooked.</w:t>
      </w:r>
    </w:p>
    <w:p w14:paraId="16103A60" w14:textId="77777777" w:rsidR="00BD6F72" w:rsidRPr="00BD6F72" w:rsidRDefault="00BD6F72" w:rsidP="00BD6F72">
      <w:pPr>
        <w:pStyle w:val="a9"/>
        <w:numPr>
          <w:ilvl w:val="0"/>
          <w:numId w:val="1"/>
        </w:numPr>
        <w:rPr>
          <w:rFonts w:ascii="Times New Roman" w:eastAsia="宋体" w:hAnsi="Times New Roman"/>
          <w:kern w:val="0"/>
          <w:sz w:val="24"/>
          <w:szCs w:val="24"/>
        </w:rPr>
      </w:pPr>
      <w:r w:rsidRPr="00BD6F72">
        <w:rPr>
          <w:rFonts w:ascii="Times New Roman" w:eastAsia="宋体" w:hAnsi="Times New Roman"/>
          <w:kern w:val="0"/>
          <w:sz w:val="24"/>
          <w:szCs w:val="24"/>
        </w:rPr>
        <w:t>To enhance the interpretability of our feature set, we have added a new subsection "Feature Interpretability Analysis" in Section 3. As shown in Figure 3, we performed Principal Component Analysis (PCA) and t-Distributed Stochastic Neighbor Embedding (t-SNE) to visualize the data distribution, along with violin plots for key features. This analysis, which was not present in the conference version, visually validates that our multi-dimensional features effectively distinguish pathogenic loci from benign ones.</w:t>
      </w:r>
    </w:p>
    <w:p w14:paraId="079C419B" w14:textId="77777777" w:rsidR="00BD6F72" w:rsidRPr="00BD6F72" w:rsidRDefault="00BD6F72" w:rsidP="00BD6F72">
      <w:pPr>
        <w:pStyle w:val="a9"/>
        <w:numPr>
          <w:ilvl w:val="0"/>
          <w:numId w:val="1"/>
        </w:numPr>
        <w:rPr>
          <w:rFonts w:ascii="Times New Roman" w:eastAsia="宋体" w:hAnsi="Times New Roman"/>
          <w:kern w:val="0"/>
          <w:sz w:val="24"/>
          <w:szCs w:val="24"/>
        </w:rPr>
      </w:pPr>
      <w:r w:rsidRPr="00BD6F72">
        <w:rPr>
          <w:rFonts w:ascii="Times New Roman" w:eastAsia="宋体" w:hAnsi="Times New Roman"/>
          <w:kern w:val="0"/>
          <w:sz w:val="24"/>
          <w:szCs w:val="24"/>
        </w:rPr>
        <w:t>We have introduced a completely new analysis on pathogenic motif interruptions and compositional instability. In Subsection 3.5 and Figure 6, we analyzed the relationship between canonical motif composition and actual repeat tract GC content. This new section demonstrates that TREPP can capture subtle biological mechanisms, such as motif switching in CANVAS and FAME disorders, providing deeper biological insights than the conference version.</w:t>
      </w:r>
    </w:p>
    <w:p w14:paraId="108D8ACA" w14:textId="77777777" w:rsidR="00BD6F72" w:rsidRPr="00BD6F72" w:rsidRDefault="00BD6F72" w:rsidP="00BD6F72">
      <w:pPr>
        <w:pStyle w:val="a9"/>
        <w:numPr>
          <w:ilvl w:val="0"/>
          <w:numId w:val="1"/>
        </w:numPr>
        <w:rPr>
          <w:rFonts w:ascii="Times New Roman" w:eastAsia="宋体" w:hAnsi="Times New Roman"/>
          <w:kern w:val="0"/>
          <w:sz w:val="24"/>
          <w:szCs w:val="24"/>
        </w:rPr>
      </w:pPr>
      <w:r w:rsidRPr="00BD6F72">
        <w:rPr>
          <w:rFonts w:ascii="Times New Roman" w:eastAsia="宋体" w:hAnsi="Times New Roman"/>
          <w:kern w:val="0"/>
          <w:sz w:val="24"/>
          <w:szCs w:val="24"/>
        </w:rPr>
        <w:t xml:space="preserve">We have significantly expanded the gene overlap analysis to demonstrate robustness. While the conference version only compared fixed </w:t>
      </w:r>
      <w:proofErr w:type="gramStart"/>
      <w:r w:rsidRPr="00BD6F72">
        <w:rPr>
          <w:rFonts w:ascii="Times New Roman" w:eastAsia="宋体" w:hAnsi="Times New Roman"/>
          <w:kern w:val="0"/>
          <w:sz w:val="24"/>
          <w:szCs w:val="24"/>
        </w:rPr>
        <w:t>overlaps ,</w:t>
      </w:r>
      <w:proofErr w:type="gramEnd"/>
      <w:r w:rsidRPr="00BD6F72">
        <w:rPr>
          <w:rFonts w:ascii="Times New Roman" w:eastAsia="宋体" w:hAnsi="Times New Roman"/>
          <w:kern w:val="0"/>
          <w:sz w:val="24"/>
          <w:szCs w:val="24"/>
        </w:rPr>
        <w:t xml:space="preserve"> the new Subsection 3.6 and Figure 7 now include a "</w:t>
      </w:r>
      <w:proofErr w:type="gramStart"/>
      <w:r w:rsidRPr="00BD6F72">
        <w:rPr>
          <w:rFonts w:ascii="Times New Roman" w:eastAsia="宋体" w:hAnsi="Times New Roman"/>
          <w:kern w:val="0"/>
          <w:sz w:val="24"/>
          <w:szCs w:val="24"/>
        </w:rPr>
        <w:t>Top-K</w:t>
      </w:r>
      <w:proofErr w:type="gramEnd"/>
      <w:r w:rsidRPr="00BD6F72">
        <w:rPr>
          <w:rFonts w:ascii="Times New Roman" w:eastAsia="宋体" w:hAnsi="Times New Roman"/>
          <w:kern w:val="0"/>
          <w:sz w:val="24"/>
          <w:szCs w:val="24"/>
        </w:rPr>
        <w:t xml:space="preserve"> prioritization analysis" (with K ranging from 500 to 10,000). This validates that TREPP consistently identifies </w:t>
      </w:r>
      <w:r w:rsidRPr="00BD6F72">
        <w:rPr>
          <w:rFonts w:ascii="Times New Roman" w:eastAsia="宋体" w:hAnsi="Times New Roman"/>
          <w:kern w:val="0"/>
          <w:sz w:val="24"/>
          <w:szCs w:val="24"/>
        </w:rPr>
        <w:lastRenderedPageBreak/>
        <w:t xml:space="preserve">more known disease-associated genes (from OMIM and </w:t>
      </w:r>
      <w:proofErr w:type="spellStart"/>
      <w:r w:rsidRPr="00BD6F72">
        <w:rPr>
          <w:rFonts w:ascii="Times New Roman" w:eastAsia="宋体" w:hAnsi="Times New Roman"/>
          <w:kern w:val="0"/>
          <w:sz w:val="24"/>
          <w:szCs w:val="24"/>
        </w:rPr>
        <w:t>GeneTrek</w:t>
      </w:r>
      <w:proofErr w:type="spellEnd"/>
      <w:r w:rsidRPr="00BD6F72">
        <w:rPr>
          <w:rFonts w:ascii="Times New Roman" w:eastAsia="宋体" w:hAnsi="Times New Roman"/>
          <w:kern w:val="0"/>
          <w:sz w:val="24"/>
          <w:szCs w:val="24"/>
        </w:rPr>
        <w:t>) than the baseline across various prioritization thresholds.</w:t>
      </w:r>
    </w:p>
    <w:p w14:paraId="211212B2" w14:textId="4ED93AD4" w:rsidR="00BD6F72" w:rsidRPr="00BD6F72" w:rsidRDefault="00FB58B7" w:rsidP="00BD6F72">
      <w:pPr>
        <w:pStyle w:val="a9"/>
        <w:numPr>
          <w:ilvl w:val="0"/>
          <w:numId w:val="1"/>
        </w:numPr>
        <w:rPr>
          <w:rFonts w:ascii="Times New Roman" w:eastAsia="宋体" w:hAnsi="Times New Roman"/>
          <w:kern w:val="0"/>
          <w:sz w:val="24"/>
          <w:szCs w:val="24"/>
        </w:rPr>
      </w:pPr>
      <w:r w:rsidRPr="00FB58B7">
        <w:rPr>
          <w:rFonts w:ascii="Times New Roman" w:eastAsia="宋体" w:hAnsi="Times New Roman"/>
          <w:kern w:val="0"/>
          <w:sz w:val="24"/>
          <w:szCs w:val="24"/>
        </w:rPr>
        <w:t>We have added a comprehensive "Genome-Wide Context" analysis. In the new Subsection 3.7 and Figure 8, we investigated the distribution of predicted pathogenic loci across functional genomic regions (promoters, exons, UTRs). Crucially, we analyzed the correlation between the predicted probability of pathogenicity and functional enrichment. The results demonstrate that predictions with higher confidence are significantly more likely to overlap with functional elements, validating the biological accuracy and calibration of our pathogenicity assessment.</w:t>
      </w:r>
    </w:p>
    <w:p w14:paraId="4D63E9B1" w14:textId="77777777" w:rsidR="00BD6F72" w:rsidRPr="00BD6F72" w:rsidRDefault="00BD6F72" w:rsidP="00BD6F72">
      <w:pPr>
        <w:pStyle w:val="a9"/>
        <w:numPr>
          <w:ilvl w:val="0"/>
          <w:numId w:val="1"/>
        </w:numPr>
        <w:rPr>
          <w:rFonts w:ascii="Times New Roman" w:eastAsia="宋体" w:hAnsi="Times New Roman"/>
          <w:kern w:val="0"/>
          <w:sz w:val="24"/>
          <w:szCs w:val="24"/>
        </w:rPr>
      </w:pPr>
      <w:r w:rsidRPr="00BD6F72">
        <w:rPr>
          <w:rFonts w:ascii="Times New Roman" w:eastAsia="宋体" w:hAnsi="Times New Roman"/>
          <w:kern w:val="0"/>
          <w:sz w:val="24"/>
          <w:szCs w:val="24"/>
        </w:rPr>
        <w:t xml:space="preserve">We have refined the methodology description in Section 2 regarding the Ensemble Learning framework. We provided more formal mathematical definitions for the stacking strategy, specifically detailing the Out-of-Fold (OOF) probability vector construction and the controlled </w:t>
      </w:r>
      <w:proofErr w:type="spellStart"/>
      <w:r w:rsidRPr="00BD6F72">
        <w:rPr>
          <w:rFonts w:ascii="Times New Roman" w:eastAsia="宋体" w:hAnsi="Times New Roman"/>
          <w:kern w:val="0"/>
          <w:sz w:val="24"/>
          <w:szCs w:val="24"/>
        </w:rPr>
        <w:t>undersampling</w:t>
      </w:r>
      <w:proofErr w:type="spellEnd"/>
      <w:r w:rsidRPr="00BD6F72">
        <w:rPr>
          <w:rFonts w:ascii="Times New Roman" w:eastAsia="宋体" w:hAnsi="Times New Roman"/>
          <w:kern w:val="0"/>
          <w:sz w:val="24"/>
          <w:szCs w:val="24"/>
        </w:rPr>
        <w:t xml:space="preserve"> strategy to ensure reproducibility and clarity.</w:t>
      </w:r>
    </w:p>
    <w:p w14:paraId="3A9BE8C2" w14:textId="77777777" w:rsidR="00712419" w:rsidRDefault="00712419" w:rsidP="00712419">
      <w:pPr>
        <w:pStyle w:val="a9"/>
        <w:ind w:left="420"/>
        <w:rPr>
          <w:rFonts w:ascii="Times New Roman" w:eastAsia="宋体" w:hAnsi="Times New Roman"/>
          <w:kern w:val="0"/>
          <w:sz w:val="24"/>
          <w:szCs w:val="24"/>
        </w:rPr>
      </w:pPr>
    </w:p>
    <w:p w14:paraId="0573A3B9" w14:textId="29EB1546" w:rsidR="00C10F41" w:rsidRPr="00BD6F72" w:rsidRDefault="00BD6F72" w:rsidP="00712419">
      <w:pPr>
        <w:pStyle w:val="a9"/>
        <w:ind w:left="420"/>
        <w:rPr>
          <w:rFonts w:ascii="Times New Roman" w:eastAsia="宋体" w:hAnsi="Times New Roman" w:hint="eastAsia"/>
          <w:kern w:val="0"/>
          <w:sz w:val="24"/>
          <w:szCs w:val="24"/>
        </w:rPr>
      </w:pPr>
      <w:r w:rsidRPr="00BD6F72">
        <w:rPr>
          <w:rFonts w:ascii="Times New Roman" w:eastAsia="宋体" w:hAnsi="Times New Roman"/>
          <w:kern w:val="0"/>
          <w:sz w:val="24"/>
          <w:szCs w:val="24"/>
        </w:rPr>
        <w:t>By implementing these improvements, our paper now boasts enhanced clarity, conciseness, and readability. The detailed analyses and comprehensive evaluations allow readers to better grasp the significance and practical implications of our research in the domain of tandem repeat pathogenicity prediction.</w:t>
      </w:r>
    </w:p>
    <w:sectPr w:rsidR="00C10F41" w:rsidRPr="00BD6F7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4D712" w14:textId="77777777" w:rsidR="00B80358" w:rsidRDefault="00B80358" w:rsidP="00BA0BC5">
      <w:r>
        <w:separator/>
      </w:r>
    </w:p>
  </w:endnote>
  <w:endnote w:type="continuationSeparator" w:id="0">
    <w:p w14:paraId="0AC07F22" w14:textId="77777777" w:rsidR="00B80358" w:rsidRDefault="00B80358" w:rsidP="00BA0B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57DDC" w14:textId="77777777" w:rsidR="00B80358" w:rsidRDefault="00B80358" w:rsidP="00BA0BC5">
      <w:r>
        <w:separator/>
      </w:r>
    </w:p>
  </w:footnote>
  <w:footnote w:type="continuationSeparator" w:id="0">
    <w:p w14:paraId="262A5BED" w14:textId="77777777" w:rsidR="00B80358" w:rsidRDefault="00B80358" w:rsidP="00BA0B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045EA"/>
    <w:multiLevelType w:val="multilevel"/>
    <w:tmpl w:val="299045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86928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AFD"/>
    <w:rsid w:val="00054A62"/>
    <w:rsid w:val="00101880"/>
    <w:rsid w:val="001A3F09"/>
    <w:rsid w:val="0034175C"/>
    <w:rsid w:val="003C01B5"/>
    <w:rsid w:val="00415515"/>
    <w:rsid w:val="004A234E"/>
    <w:rsid w:val="00533D57"/>
    <w:rsid w:val="00552D24"/>
    <w:rsid w:val="005C3AFD"/>
    <w:rsid w:val="0060502F"/>
    <w:rsid w:val="00712419"/>
    <w:rsid w:val="00770687"/>
    <w:rsid w:val="008E1277"/>
    <w:rsid w:val="0096360C"/>
    <w:rsid w:val="009A45C3"/>
    <w:rsid w:val="00B24E6E"/>
    <w:rsid w:val="00B80358"/>
    <w:rsid w:val="00BA0BC5"/>
    <w:rsid w:val="00BD6F72"/>
    <w:rsid w:val="00C10F41"/>
    <w:rsid w:val="00FB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74D7E4"/>
  <w14:defaultImageDpi w14:val="32767"/>
  <w15:chartTrackingRefBased/>
  <w15:docId w15:val="{4E773A8E-82C2-4B27-A464-E20010488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0BC5"/>
    <w:pPr>
      <w:widowControl w:val="0"/>
      <w:spacing w:after="0" w:line="240" w:lineRule="auto"/>
      <w:jc w:val="both"/>
    </w:pPr>
    <w:rPr>
      <w:rFonts w:ascii="DengXian" w:eastAsia="DengXian" w:hAnsi="DengXian" w:cs="Times New Roman"/>
      <w:sz w:val="21"/>
      <w:szCs w:val="21"/>
      <w14:ligatures w14:val="none"/>
    </w:rPr>
  </w:style>
  <w:style w:type="paragraph" w:styleId="1">
    <w:name w:val="heading 1"/>
    <w:basedOn w:val="a"/>
    <w:next w:val="a"/>
    <w:link w:val="10"/>
    <w:uiPriority w:val="9"/>
    <w:qFormat/>
    <w:rsid w:val="005C3AF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C3AF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C3AF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C3AF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C3AF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C3AF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C3AF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C3AF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C3AF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C3AF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C3AF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C3AF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C3AFD"/>
    <w:rPr>
      <w:rFonts w:cstheme="majorBidi"/>
      <w:color w:val="0F4761" w:themeColor="accent1" w:themeShade="BF"/>
      <w:sz w:val="28"/>
      <w:szCs w:val="28"/>
    </w:rPr>
  </w:style>
  <w:style w:type="character" w:customStyle="1" w:styleId="50">
    <w:name w:val="标题 5 字符"/>
    <w:basedOn w:val="a0"/>
    <w:link w:val="5"/>
    <w:uiPriority w:val="9"/>
    <w:semiHidden/>
    <w:rsid w:val="005C3AFD"/>
    <w:rPr>
      <w:rFonts w:cstheme="majorBidi"/>
      <w:color w:val="0F4761" w:themeColor="accent1" w:themeShade="BF"/>
      <w:sz w:val="24"/>
    </w:rPr>
  </w:style>
  <w:style w:type="character" w:customStyle="1" w:styleId="60">
    <w:name w:val="标题 6 字符"/>
    <w:basedOn w:val="a0"/>
    <w:link w:val="6"/>
    <w:uiPriority w:val="9"/>
    <w:semiHidden/>
    <w:rsid w:val="005C3AFD"/>
    <w:rPr>
      <w:rFonts w:cstheme="majorBidi"/>
      <w:b/>
      <w:bCs/>
      <w:color w:val="0F4761" w:themeColor="accent1" w:themeShade="BF"/>
    </w:rPr>
  </w:style>
  <w:style w:type="character" w:customStyle="1" w:styleId="70">
    <w:name w:val="标题 7 字符"/>
    <w:basedOn w:val="a0"/>
    <w:link w:val="7"/>
    <w:uiPriority w:val="9"/>
    <w:semiHidden/>
    <w:rsid w:val="005C3AFD"/>
    <w:rPr>
      <w:rFonts w:cstheme="majorBidi"/>
      <w:b/>
      <w:bCs/>
      <w:color w:val="595959" w:themeColor="text1" w:themeTint="A6"/>
    </w:rPr>
  </w:style>
  <w:style w:type="character" w:customStyle="1" w:styleId="80">
    <w:name w:val="标题 8 字符"/>
    <w:basedOn w:val="a0"/>
    <w:link w:val="8"/>
    <w:uiPriority w:val="9"/>
    <w:semiHidden/>
    <w:rsid w:val="005C3AFD"/>
    <w:rPr>
      <w:rFonts w:cstheme="majorBidi"/>
      <w:color w:val="595959" w:themeColor="text1" w:themeTint="A6"/>
    </w:rPr>
  </w:style>
  <w:style w:type="character" w:customStyle="1" w:styleId="90">
    <w:name w:val="标题 9 字符"/>
    <w:basedOn w:val="a0"/>
    <w:link w:val="9"/>
    <w:uiPriority w:val="9"/>
    <w:semiHidden/>
    <w:rsid w:val="005C3AFD"/>
    <w:rPr>
      <w:rFonts w:eastAsiaTheme="majorEastAsia" w:cstheme="majorBidi"/>
      <w:color w:val="595959" w:themeColor="text1" w:themeTint="A6"/>
    </w:rPr>
  </w:style>
  <w:style w:type="paragraph" w:styleId="a3">
    <w:name w:val="Title"/>
    <w:basedOn w:val="a"/>
    <w:next w:val="a"/>
    <w:link w:val="a4"/>
    <w:uiPriority w:val="10"/>
    <w:qFormat/>
    <w:rsid w:val="005C3AF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C3AF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3AF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C3AF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C3AFD"/>
    <w:pPr>
      <w:spacing w:before="160"/>
      <w:jc w:val="center"/>
    </w:pPr>
    <w:rPr>
      <w:i/>
      <w:iCs/>
      <w:color w:val="404040" w:themeColor="text1" w:themeTint="BF"/>
    </w:rPr>
  </w:style>
  <w:style w:type="character" w:customStyle="1" w:styleId="a8">
    <w:name w:val="引用 字符"/>
    <w:basedOn w:val="a0"/>
    <w:link w:val="a7"/>
    <w:uiPriority w:val="29"/>
    <w:rsid w:val="005C3AFD"/>
    <w:rPr>
      <w:i/>
      <w:iCs/>
      <w:color w:val="404040" w:themeColor="text1" w:themeTint="BF"/>
    </w:rPr>
  </w:style>
  <w:style w:type="paragraph" w:styleId="a9">
    <w:name w:val="List Paragraph"/>
    <w:basedOn w:val="a"/>
    <w:uiPriority w:val="34"/>
    <w:qFormat/>
    <w:rsid w:val="005C3AFD"/>
    <w:pPr>
      <w:ind w:left="720"/>
      <w:contextualSpacing/>
    </w:pPr>
  </w:style>
  <w:style w:type="character" w:styleId="aa">
    <w:name w:val="Intense Emphasis"/>
    <w:basedOn w:val="a0"/>
    <w:uiPriority w:val="21"/>
    <w:qFormat/>
    <w:rsid w:val="005C3AFD"/>
    <w:rPr>
      <w:i/>
      <w:iCs/>
      <w:color w:val="0F4761" w:themeColor="accent1" w:themeShade="BF"/>
    </w:rPr>
  </w:style>
  <w:style w:type="paragraph" w:styleId="ab">
    <w:name w:val="Intense Quote"/>
    <w:basedOn w:val="a"/>
    <w:next w:val="a"/>
    <w:link w:val="ac"/>
    <w:uiPriority w:val="30"/>
    <w:qFormat/>
    <w:rsid w:val="005C3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C3AFD"/>
    <w:rPr>
      <w:i/>
      <w:iCs/>
      <w:color w:val="0F4761" w:themeColor="accent1" w:themeShade="BF"/>
    </w:rPr>
  </w:style>
  <w:style w:type="character" w:styleId="ad">
    <w:name w:val="Intense Reference"/>
    <w:basedOn w:val="a0"/>
    <w:uiPriority w:val="32"/>
    <w:qFormat/>
    <w:rsid w:val="005C3AFD"/>
    <w:rPr>
      <w:b/>
      <w:bCs/>
      <w:smallCaps/>
      <w:color w:val="0F4761" w:themeColor="accent1" w:themeShade="BF"/>
      <w:spacing w:val="5"/>
    </w:rPr>
  </w:style>
  <w:style w:type="paragraph" w:styleId="ae">
    <w:name w:val="header"/>
    <w:basedOn w:val="a"/>
    <w:link w:val="af"/>
    <w:uiPriority w:val="99"/>
    <w:unhideWhenUsed/>
    <w:rsid w:val="00BA0BC5"/>
    <w:pPr>
      <w:tabs>
        <w:tab w:val="center" w:pos="4153"/>
        <w:tab w:val="right" w:pos="8306"/>
      </w:tabs>
      <w:snapToGrid w:val="0"/>
      <w:jc w:val="center"/>
    </w:pPr>
    <w:rPr>
      <w:sz w:val="18"/>
      <w:szCs w:val="18"/>
    </w:rPr>
  </w:style>
  <w:style w:type="character" w:customStyle="1" w:styleId="af">
    <w:name w:val="页眉 字符"/>
    <w:basedOn w:val="a0"/>
    <w:link w:val="ae"/>
    <w:uiPriority w:val="99"/>
    <w:rsid w:val="00BA0BC5"/>
    <w:rPr>
      <w:sz w:val="18"/>
      <w:szCs w:val="18"/>
    </w:rPr>
  </w:style>
  <w:style w:type="paragraph" w:styleId="af0">
    <w:name w:val="footer"/>
    <w:basedOn w:val="a"/>
    <w:link w:val="af1"/>
    <w:uiPriority w:val="99"/>
    <w:unhideWhenUsed/>
    <w:rsid w:val="00BA0BC5"/>
    <w:pPr>
      <w:tabs>
        <w:tab w:val="center" w:pos="4153"/>
        <w:tab w:val="right" w:pos="8306"/>
      </w:tabs>
      <w:snapToGrid w:val="0"/>
    </w:pPr>
    <w:rPr>
      <w:sz w:val="18"/>
      <w:szCs w:val="18"/>
    </w:rPr>
  </w:style>
  <w:style w:type="character" w:customStyle="1" w:styleId="af1">
    <w:name w:val="页脚 字符"/>
    <w:basedOn w:val="a0"/>
    <w:link w:val="af0"/>
    <w:uiPriority w:val="99"/>
    <w:rsid w:val="00BA0BC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959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584</Words>
  <Characters>3334</Characters>
  <Application>Microsoft Office Word</Application>
  <DocSecurity>0</DocSecurity>
  <Lines>27</Lines>
  <Paragraphs>7</Paragraphs>
  <ScaleCrop>false</ScaleCrop>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其昌 赵</dc:creator>
  <cp:keywords/>
  <dc:description/>
  <cp:lastModifiedBy>明华 徐</cp:lastModifiedBy>
  <cp:revision>6</cp:revision>
  <dcterms:created xsi:type="dcterms:W3CDTF">2025-12-17T16:17:00Z</dcterms:created>
  <dcterms:modified xsi:type="dcterms:W3CDTF">2025-12-17T16:23:00Z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e6d077e0451f678640cb13331de2defde77050903f9153385fa51e2d352bc9d4</vt:lpwstr>
  </property>
</Properties>
</file>