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56A" w:rsidRDefault="000C36A4">
      <w:r>
        <w:t xml:space="preserve">Experiment </w:t>
      </w:r>
      <w:r w:rsidR="00B3298B">
        <w:t>1</w:t>
      </w:r>
    </w:p>
    <w:p w:rsidR="000C36A4" w:rsidRDefault="000C36A4" w:rsidP="0021619B">
      <w:pPr>
        <w:jc w:val="both"/>
      </w:pPr>
      <w:r>
        <w:t>Subject</w:t>
      </w:r>
    </w:p>
    <w:p w:rsidR="00C74948" w:rsidRDefault="00B3298B" w:rsidP="00C74948">
      <w:pPr>
        <w:jc w:val="both"/>
      </w:pPr>
      <w:r>
        <w:t>198</w:t>
      </w:r>
      <w:r w:rsidR="000C36A4">
        <w:t xml:space="preserve"> undergraduates at Indiana University were recruited for this experiment. There were </w:t>
      </w:r>
      <w:r w:rsidR="00C74948">
        <w:t>91</w:t>
      </w:r>
      <w:r w:rsidR="00FB632D">
        <w:t xml:space="preserve"> </w:t>
      </w:r>
      <w:r w:rsidR="00C74948">
        <w:t xml:space="preserve">valid </w:t>
      </w:r>
      <w:r w:rsidR="000C36A4">
        <w:t>subjects in repeating condition</w:t>
      </w:r>
      <w:r w:rsidR="00FB632D">
        <w:t xml:space="preserve"> </w:t>
      </w:r>
      <w:r w:rsidR="000C36A4">
        <w:t xml:space="preserve">(REP) and </w:t>
      </w:r>
      <w:r w:rsidR="00C74948">
        <w:t>95</w:t>
      </w:r>
      <w:r>
        <w:t xml:space="preserve"> </w:t>
      </w:r>
      <w:r w:rsidR="00C74948">
        <w:t xml:space="preserve">valid </w:t>
      </w:r>
      <w:r w:rsidR="000C36A4">
        <w:t xml:space="preserve">subjects in </w:t>
      </w:r>
      <w:r w:rsidR="00C74948">
        <w:t>non-</w:t>
      </w:r>
      <w:r w:rsidR="000C36A4">
        <w:t>repeating condition</w:t>
      </w:r>
      <w:r w:rsidR="00FB632D">
        <w:t xml:space="preserve"> </w:t>
      </w:r>
      <w:r w:rsidR="000C36A4">
        <w:t>(</w:t>
      </w:r>
      <w:r w:rsidR="00FB632D">
        <w:t>N</w:t>
      </w:r>
      <w:r w:rsidR="000C36A4">
        <w:t>REP).</w:t>
      </w:r>
      <w:r w:rsidR="000C36A4" w:rsidRPr="000C36A4">
        <w:t xml:space="preserve"> </w:t>
      </w:r>
      <w:r w:rsidR="00FB632D">
        <w:t xml:space="preserve">Every subject was randomly assigned to the REP or NREP condition. </w:t>
      </w:r>
      <w:r w:rsidR="00C74948">
        <w:t xml:space="preserve">12 subjects (7 in REP condition and 5 in the NREP condition) were excluded for data analysis due to overly poor performance. The exclusion criterion in this experiment was based on the </w:t>
      </w:r>
      <w:r w:rsidR="00556187">
        <w:t xml:space="preserve">two </w:t>
      </w:r>
      <w:r w:rsidR="009229B0">
        <w:t>distribution</w:t>
      </w:r>
      <w:r w:rsidR="00556187">
        <w:t>s</w:t>
      </w:r>
      <w:r w:rsidR="009229B0">
        <w:t xml:space="preserve"> of classification accuracy rate across all subjects in the 8-15 blocks of the learning phase and the complete transfer phase. Every subject whose accuracy rate fell below mean – 2.5 * standard deviation of the accuracy distribution in either phase </w:t>
      </w:r>
      <w:r w:rsidR="00556187">
        <w:t xml:space="preserve">was excluded from subsequent data analyses. </w:t>
      </w:r>
    </w:p>
    <w:p w:rsidR="000C36A4" w:rsidRDefault="000C36A4" w:rsidP="0021619B">
      <w:pPr>
        <w:jc w:val="both"/>
      </w:pPr>
    </w:p>
    <w:p w:rsidR="00FB632D" w:rsidRDefault="00332D06" w:rsidP="0021619B">
      <w:pPr>
        <w:jc w:val="both"/>
      </w:pPr>
      <w:r>
        <w:t>Stimuli and apparatus</w:t>
      </w:r>
    </w:p>
    <w:p w:rsidR="00332D06" w:rsidRDefault="00332D06" w:rsidP="0021619B">
      <w:pPr>
        <w:jc w:val="both"/>
      </w:pPr>
      <w:r>
        <w:t xml:space="preserve">The stimuli used in this experiment are dot patterns generated using </w:t>
      </w:r>
      <w:r w:rsidRPr="00332D06">
        <w:t>Posner, Goldsmith, and Welton's (1967) procedure.</w:t>
      </w:r>
      <w:r>
        <w:t xml:space="preserve"> </w:t>
      </w:r>
      <w:r w:rsidR="00797F56">
        <w:t xml:space="preserve">Each pattern consists of 9 dots positioned in a 32 x 32 grid and connected with lines. </w:t>
      </w:r>
      <w:r w:rsidR="005E48A0">
        <w:t xml:space="preserve">Prototypes for </w:t>
      </w:r>
      <w:r w:rsidR="006A1D75">
        <w:t>six</w:t>
      </w:r>
      <w:r w:rsidR="005E48A0">
        <w:t xml:space="preserve"> different categories</w:t>
      </w:r>
      <w:r w:rsidR="006A1D75">
        <w:t xml:space="preserve"> were randomly generated, and three of them were </w:t>
      </w:r>
      <w:r w:rsidR="00280EE2">
        <w:t>used to generate foils</w:t>
      </w:r>
      <w:r w:rsidR="006A1D75">
        <w:t xml:space="preserve"> </w:t>
      </w:r>
      <w:r w:rsidR="00280EE2">
        <w:t>only for</w:t>
      </w:r>
      <w:r w:rsidR="0021619B">
        <w:t xml:space="preserve"> the</w:t>
      </w:r>
      <w:r w:rsidR="00280EE2">
        <w:t xml:space="preserve"> recognition t</w:t>
      </w:r>
      <w:r w:rsidR="0021619B">
        <w:t>ransfer</w:t>
      </w:r>
      <w:r w:rsidR="00280EE2">
        <w:t xml:space="preserve"> in experiment 1.</w:t>
      </w:r>
      <w:r w:rsidR="005E48A0">
        <w:t xml:space="preserve"> Other patterns used in the </w:t>
      </w:r>
      <w:r w:rsidR="00E87DA8">
        <w:t>learning</w:t>
      </w:r>
      <w:r w:rsidR="005E48A0">
        <w:t xml:space="preserve"> and </w:t>
      </w:r>
      <w:r w:rsidR="00E87DA8">
        <w:t>transfer</w:t>
      </w:r>
      <w:r w:rsidR="005E48A0">
        <w:t xml:space="preserve"> phases were generated using the statistical-distortion procedure by Posner et al. (1967). Each pattern was </w:t>
      </w:r>
      <w:r w:rsidR="00435EF7">
        <w:t>constructed</w:t>
      </w:r>
      <w:r w:rsidR="005E48A0">
        <w:t xml:space="preserve"> from the prototype of its category by displacing each dot by </w:t>
      </w:r>
      <w:r w:rsidR="009D7300">
        <w:t>an arbitrary</w:t>
      </w:r>
      <w:r w:rsidR="005E48A0">
        <w:t xml:space="preserve"> distance. </w:t>
      </w:r>
      <w:r w:rsidR="009D7300">
        <w:t>Low-level, medium-level and high-level distortions are, on average, displaced 4, 6 and 7.7 Po</w:t>
      </w:r>
      <w:r w:rsidR="00025813">
        <w:t>sn</w:t>
      </w:r>
      <w:r w:rsidR="009D7300">
        <w:t xml:space="preserve">er levels away from their prototype. </w:t>
      </w:r>
      <w:r w:rsidR="00F902AF">
        <w:t>Patterns with different point configurations were presented for each subject, with the only constr</w:t>
      </w:r>
      <w:r w:rsidR="00955A34">
        <w:t>aint</w:t>
      </w:r>
      <w:r w:rsidR="0021619B">
        <w:t xml:space="preserve"> being</w:t>
      </w:r>
      <w:r w:rsidR="00955A34">
        <w:t xml:space="preserve"> that the distortion patterns fell within a pre-specified range around their prototypes. We used Dell Computers to display the stimuli and control the experiment.</w:t>
      </w:r>
    </w:p>
    <w:p w:rsidR="00955A34" w:rsidRDefault="00025813" w:rsidP="0021619B">
      <w:pPr>
        <w:jc w:val="both"/>
      </w:pPr>
      <w:r>
        <w:t>Procedure</w:t>
      </w:r>
    </w:p>
    <w:p w:rsidR="00025813" w:rsidRDefault="00E87DA8" w:rsidP="0021619B">
      <w:pPr>
        <w:jc w:val="both"/>
      </w:pPr>
      <w:r>
        <w:t xml:space="preserve">Repeating condition (REP). A standard learning-transfer paradigm is used. In the learning phase, subjects were instructed to classify </w:t>
      </w:r>
      <w:r w:rsidR="009555A1">
        <w:t>dot</w:t>
      </w:r>
      <w:r>
        <w:t xml:space="preserve"> patterns into </w:t>
      </w:r>
      <w:r w:rsidR="009555A1">
        <w:t xml:space="preserve">three </w:t>
      </w:r>
      <w:r>
        <w:t>categories A, B and C by pressing corresponding keys.</w:t>
      </w:r>
      <w:r w:rsidR="00A613BA">
        <w:t xml:space="preserve"> The learning phase consisted of 15 blocks, each of which had 15 trials.</w:t>
      </w:r>
      <w:r>
        <w:t xml:space="preserve"> </w:t>
      </w:r>
      <w:r w:rsidR="009555A1">
        <w:t>On each tria</w:t>
      </w:r>
      <w:r w:rsidR="00A613BA">
        <w:t xml:space="preserve">l, a medium-level distortion </w:t>
      </w:r>
      <w:r w:rsidR="009555A1">
        <w:t xml:space="preserve">was presented and feedback about the correct category was given after subject responded. </w:t>
      </w:r>
      <w:r w:rsidR="00B80EBF">
        <w:t xml:space="preserve">The same </w:t>
      </w:r>
      <w:r w:rsidR="00A613BA">
        <w:t>15 learning patterns</w:t>
      </w:r>
      <w:r w:rsidR="00B80EBF">
        <w:t xml:space="preserve"> were repeated </w:t>
      </w:r>
      <w:r w:rsidR="00C1326A">
        <w:t xml:space="preserve">across the blocks </w:t>
      </w:r>
      <w:r w:rsidR="00B80EBF">
        <w:t>but t</w:t>
      </w:r>
      <w:r w:rsidR="00EC0A6A">
        <w:t>he order of presentation was randomized</w:t>
      </w:r>
      <w:r w:rsidR="000B61BA">
        <w:t>. After 2</w:t>
      </w:r>
      <w:r w:rsidR="005E414D">
        <w:t>2</w:t>
      </w:r>
      <w:r w:rsidR="000B61BA">
        <w:t>5 learning tria</w:t>
      </w:r>
      <w:r w:rsidR="00F80C61">
        <w:t xml:space="preserve">ls, subjects were instructed to </w:t>
      </w:r>
      <w:r w:rsidR="00280EE2">
        <w:t>recognize</w:t>
      </w:r>
      <w:r w:rsidR="00F80C61">
        <w:t xml:space="preserve"> whether a transfer item was old (presented in the learning phase) or new (not presented in the transfer phase) by pressing two corresponding keys</w:t>
      </w:r>
      <w:r w:rsidR="002B0051">
        <w:t xml:space="preserve">. </w:t>
      </w:r>
      <w:r w:rsidR="00F80C61">
        <w:t xml:space="preserve">The transfer patterns comprised </w:t>
      </w:r>
      <w:r w:rsidR="006A1D75">
        <w:t xml:space="preserve">of the 15 old distortions presented in the training phase, </w:t>
      </w:r>
      <w:r w:rsidR="00F80C61">
        <w:t>3 prototypes</w:t>
      </w:r>
      <w:r w:rsidR="006A1D75">
        <w:t xml:space="preserve"> (1 per category)</w:t>
      </w:r>
      <w:r w:rsidR="00F80C61">
        <w:t>, 1</w:t>
      </w:r>
      <w:r w:rsidR="006A1D75">
        <w:t xml:space="preserve">5 new </w:t>
      </w:r>
      <w:r w:rsidR="00F80C61">
        <w:t xml:space="preserve">medium-level distortions (5 per category), and </w:t>
      </w:r>
      <w:r w:rsidR="006A1D75">
        <w:t>6</w:t>
      </w:r>
      <w:r w:rsidR="00280EE2">
        <w:t xml:space="preserve"> foils or</w:t>
      </w:r>
      <w:r w:rsidR="00F80C61">
        <w:t xml:space="preserve"> </w:t>
      </w:r>
      <w:r w:rsidR="00280EE2">
        <w:t>medium-level distortions from 3 other prototypes</w:t>
      </w:r>
      <w:r w:rsidR="00F80C61">
        <w:t xml:space="preserve"> (</w:t>
      </w:r>
      <w:r w:rsidR="006A1D75">
        <w:t>2</w:t>
      </w:r>
      <w:r w:rsidR="00F80C61">
        <w:t xml:space="preserve"> per category). </w:t>
      </w:r>
      <w:r w:rsidR="00AE0B35">
        <w:t xml:space="preserve">Each pattern was presented for a total of 39 trials. </w:t>
      </w:r>
      <w:r w:rsidR="002B0051">
        <w:t xml:space="preserve">The order of presentation was randomized for each subject. </w:t>
      </w:r>
    </w:p>
    <w:p w:rsidR="00B3298B" w:rsidRDefault="002B0051" w:rsidP="0021619B">
      <w:pPr>
        <w:jc w:val="both"/>
      </w:pPr>
      <w:r>
        <w:t xml:space="preserve">No-repeating condition (NREP). </w:t>
      </w:r>
      <w:r w:rsidR="00B80EBF">
        <w:t xml:space="preserve">The training phase </w:t>
      </w:r>
      <w:r w:rsidR="0021619B">
        <w:t>was</w:t>
      </w:r>
      <w:r w:rsidR="00C1326A">
        <w:t xml:space="preserve"> similarly structured as in the repeating condition</w:t>
      </w:r>
      <w:r w:rsidR="00B80EBF">
        <w:t xml:space="preserve">, but </w:t>
      </w:r>
      <w:r w:rsidR="00C1326A">
        <w:t>225 different</w:t>
      </w:r>
      <w:r w:rsidR="00B80EBF">
        <w:t xml:space="preserve"> </w:t>
      </w:r>
      <w:r w:rsidR="00963898">
        <w:t>medium-level distortions</w:t>
      </w:r>
      <w:r w:rsidR="00B80EBF">
        <w:t xml:space="preserve"> were presented </w:t>
      </w:r>
      <w:r w:rsidR="00C1326A">
        <w:t>over 15 blocks</w:t>
      </w:r>
      <w:r w:rsidR="00B80EBF">
        <w:t xml:space="preserve">. In other words, </w:t>
      </w:r>
      <w:r w:rsidR="0021619B">
        <w:t>no single</w:t>
      </w:r>
      <w:r w:rsidR="00B80EBF">
        <w:t xml:space="preserve"> learning pattern </w:t>
      </w:r>
      <w:r w:rsidR="0021619B">
        <w:t>was</w:t>
      </w:r>
      <w:r w:rsidR="00B80EBF">
        <w:t xml:space="preserve"> repeated in any two trials. </w:t>
      </w:r>
      <w:r w:rsidR="00963898">
        <w:t>In the transfer phase,</w:t>
      </w:r>
      <w:r w:rsidR="00AE0B35">
        <w:t xml:space="preserve"> </w:t>
      </w:r>
      <w:r w:rsidR="00280EE2">
        <w:t>15 old distortions were randomly sampled from the 225 learning patterns</w:t>
      </w:r>
      <w:r w:rsidR="00AE0B35">
        <w:t xml:space="preserve">, with the constraint that no two patterns </w:t>
      </w:r>
      <w:r w:rsidR="0021619B">
        <w:t>had been</w:t>
      </w:r>
      <w:r w:rsidR="00AE0B35">
        <w:t xml:space="preserve"> presen</w:t>
      </w:r>
      <w:r w:rsidR="00963898">
        <w:t xml:space="preserve">ted in the same training block and that equal number of patterns </w:t>
      </w:r>
      <w:r w:rsidR="0021619B">
        <w:t>from each category was presented.</w:t>
      </w:r>
    </w:p>
    <w:p w:rsidR="00B3298B" w:rsidRDefault="00B3298B" w:rsidP="0021619B">
      <w:pPr>
        <w:jc w:val="both"/>
      </w:pPr>
    </w:p>
    <w:p w:rsidR="00B3298B" w:rsidRDefault="00556187" w:rsidP="0021619B">
      <w:pPr>
        <w:jc w:val="both"/>
      </w:pPr>
      <w:r>
        <w:t>Results</w:t>
      </w:r>
    </w:p>
    <w:p w:rsidR="00145993" w:rsidRDefault="00145993" w:rsidP="0068304A">
      <w:pPr>
        <w:jc w:val="both"/>
      </w:pPr>
      <w:r>
        <w:t>Learning. The learning performance across the 15 blocks in the training phase for the REP and NREP conditions are shown in figure 1. The substantial learning effect over blocks was significant, F(8.66,1593.89) = 140.37</w:t>
      </w:r>
      <w:r w:rsidR="00B173C0">
        <w:t>*</w:t>
      </w:r>
      <w:r>
        <w:t xml:space="preserve"> , p &lt; .001, </w:t>
      </w:r>
      <w:r w:rsidR="0068304A">
        <w:rPr>
          <w:rFonts w:cstheme="minorHAnsi"/>
        </w:rPr>
        <w:t>η</w:t>
      </w:r>
      <w:r w:rsidR="0068304A">
        <w:rPr>
          <w:vertAlign w:val="superscript"/>
        </w:rPr>
        <w:t>2</w:t>
      </w:r>
      <w:r w:rsidR="0068304A">
        <w:t xml:space="preserve"> </w:t>
      </w:r>
      <w:r>
        <w:t>= .433</w:t>
      </w:r>
      <w:r w:rsidR="001B219F">
        <w:t xml:space="preserve">, MSe = </w:t>
      </w:r>
      <w:r>
        <w:t xml:space="preserve">. The main effect of learning conditions was significant, F(1,184) = 16.26 , p &lt; .001, </w:t>
      </w:r>
      <w:r w:rsidR="0068304A">
        <w:rPr>
          <w:rFonts w:cstheme="minorHAnsi"/>
        </w:rPr>
        <w:t>η</w:t>
      </w:r>
      <w:r w:rsidR="0068304A">
        <w:rPr>
          <w:vertAlign w:val="superscript"/>
        </w:rPr>
        <w:t>2</w:t>
      </w:r>
      <w:r>
        <w:t xml:space="preserve"> = .081,</w:t>
      </w:r>
      <w:r w:rsidR="001B219F" w:rsidRPr="001B219F">
        <w:t xml:space="preserve"> </w:t>
      </w:r>
      <w:r w:rsidR="001B219F">
        <w:t>MSe = ,</w:t>
      </w:r>
      <w:r>
        <w:t xml:space="preserve"> as was the interaction effect between learning condition and blocks, F(8.66,1593.89) = 2.463 , p = .01, </w:t>
      </w:r>
      <w:r w:rsidR="0068304A">
        <w:rPr>
          <w:rFonts w:cstheme="minorHAnsi"/>
        </w:rPr>
        <w:t>η</w:t>
      </w:r>
      <w:r w:rsidR="0068304A">
        <w:rPr>
          <w:vertAlign w:val="superscript"/>
        </w:rPr>
        <w:t>2</w:t>
      </w:r>
      <w:r>
        <w:t xml:space="preserve"> = .013</w:t>
      </w:r>
      <w:r w:rsidR="001B219F">
        <w:t xml:space="preserve">, MSe = </w:t>
      </w:r>
      <w:r>
        <w:t xml:space="preserve">. As can be seen from figure 1, </w:t>
      </w:r>
      <w:r w:rsidR="001D3D76">
        <w:t xml:space="preserve">on average, </w:t>
      </w:r>
      <w:r>
        <w:t xml:space="preserve">the </w:t>
      </w:r>
      <w:r w:rsidR="001D3D76">
        <w:t>classification accuracy</w:t>
      </w:r>
      <w:r>
        <w:t xml:space="preserve"> of subjects in the REP condition </w:t>
      </w:r>
      <w:r w:rsidR="001D3D76">
        <w:t xml:space="preserve">improved at an apparently faster rate than subjects in the NREP condition, even only after 5 blocks of training. </w:t>
      </w:r>
      <w:r>
        <w:t xml:space="preserve"> </w:t>
      </w:r>
      <w:r w:rsidR="001D3D76">
        <w:t xml:space="preserve">The average classification accuracy at the end of the learning phase was also higher for the REP than the NREP condition. </w:t>
      </w:r>
    </w:p>
    <w:p w:rsidR="00556187" w:rsidRDefault="00B173C0" w:rsidP="00B173C0">
      <w:r>
        <w:t>*Greenhouse-Geisser correction applied for violation of the sphericity assumption.</w:t>
      </w:r>
    </w:p>
    <w:p w:rsidR="00556187" w:rsidRDefault="00C1647E" w:rsidP="0021619B">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51pt">
            <v:imagedata r:id="rId8" o:title="Expt1 learning"/>
          </v:shape>
        </w:pict>
      </w:r>
    </w:p>
    <w:p w:rsidR="00556187" w:rsidRDefault="00556187" w:rsidP="00556187">
      <w:r>
        <w:t>Figure 1</w:t>
      </w:r>
      <w:r w:rsidRPr="00556187">
        <w:t xml:space="preserve"> </w:t>
      </w:r>
      <w:r w:rsidR="00393057">
        <w:t>Mean p</w:t>
      </w:r>
      <w:r w:rsidR="00D76758">
        <w:t xml:space="preserve">roportion </w:t>
      </w:r>
      <w:r w:rsidR="00393057">
        <w:t xml:space="preserve">of </w:t>
      </w:r>
      <w:r w:rsidR="00D76758">
        <w:t>correct</w:t>
      </w:r>
      <w:r w:rsidR="00393057">
        <w:t xml:space="preserve"> classifications</w:t>
      </w:r>
      <w:r>
        <w:t xml:space="preserve"> </w:t>
      </w:r>
      <w:r w:rsidR="00393057">
        <w:t>as a function of the number of blocks</w:t>
      </w:r>
      <w:r>
        <w:t xml:space="preserve"> for REP and NREP conditions, Experiment 1. </w:t>
      </w:r>
    </w:p>
    <w:p w:rsidR="00556187" w:rsidRDefault="001B1F16" w:rsidP="00656F90">
      <w:pPr>
        <w:jc w:val="both"/>
      </w:pPr>
      <w:r>
        <w:t xml:space="preserve">Transfer-Recognition. </w:t>
      </w:r>
      <w:r w:rsidR="00B173C0">
        <w:t xml:space="preserve">The </w:t>
      </w:r>
      <w:r>
        <w:t xml:space="preserve">probability with which </w:t>
      </w:r>
      <w:r w:rsidR="00501A74">
        <w:t>each</w:t>
      </w:r>
      <w:r>
        <w:t xml:space="preserve"> type of </w:t>
      </w:r>
      <w:r w:rsidR="00B066EB">
        <w:t xml:space="preserve">the </w:t>
      </w:r>
      <w:r>
        <w:t>transfer patterns</w:t>
      </w:r>
      <w:r w:rsidR="00501A74">
        <w:t xml:space="preserve"> were judged as old in </w:t>
      </w:r>
      <w:r>
        <w:t xml:space="preserve">REP and NREP conditions was shown in figure 2. </w:t>
      </w:r>
      <w:r w:rsidR="0035274B">
        <w:t>In</w:t>
      </w:r>
      <w:r w:rsidR="00501A74">
        <w:t xml:space="preserve"> both conditions, the proportion of old responses </w:t>
      </w:r>
      <w:r w:rsidR="0035274B">
        <w:t>for</w:t>
      </w:r>
      <w:r w:rsidR="00656F90">
        <w:t xml:space="preserve"> the old (</w:t>
      </w:r>
      <w:r w:rsidR="0035274B">
        <w:t>REP: 84.5%, NREP:69.3%)</w:t>
      </w:r>
      <w:r w:rsidR="00656F90">
        <w:t>, new medium distortion</w:t>
      </w:r>
      <w:r w:rsidR="0035274B">
        <w:t xml:space="preserve"> (REP: 34.3%, NREP:63.2%)</w:t>
      </w:r>
      <w:r w:rsidR="00656F90">
        <w:t>, prototype</w:t>
      </w:r>
      <w:r w:rsidR="0035274B">
        <w:t xml:space="preserve"> (REP: 78.4%, NREP:91.6%)</w:t>
      </w:r>
      <w:r w:rsidR="00656F90">
        <w:t xml:space="preserve"> and foil</w:t>
      </w:r>
      <w:r w:rsidR="0035274B">
        <w:t xml:space="preserve"> (REP: 5.3%, NREP:15.1%)</w:t>
      </w:r>
      <w:r w:rsidR="00656F90">
        <w:t xml:space="preserve"> are denoted by four bars from</w:t>
      </w:r>
      <w:r w:rsidR="0035274B">
        <w:t xml:space="preserve"> the</w:t>
      </w:r>
      <w:r w:rsidR="00656F90">
        <w:t xml:space="preserve"> left to right on </w:t>
      </w:r>
      <w:r w:rsidR="00656F90">
        <w:lastRenderedPageBreak/>
        <w:t>the figure</w:t>
      </w:r>
      <w:r w:rsidR="0035274B">
        <w:t>.</w:t>
      </w:r>
      <w:r w:rsidR="00122664">
        <w:t xml:space="preserve"> The main effect of the item type,</w:t>
      </w:r>
      <w:r w:rsidR="006625E4">
        <w:t xml:space="preserve"> F(2.67,490.68) = 883.93</w:t>
      </w:r>
      <w:r w:rsidR="00122664">
        <w:t>,</w:t>
      </w:r>
      <w:r w:rsidR="001B219F">
        <w:t xml:space="preserve"> MSe = , </w:t>
      </w:r>
      <w:r w:rsidR="00122664">
        <w:t>of the learning condition</w:t>
      </w:r>
      <w:r w:rsidR="006625E4">
        <w:t>, F(1,184) = 54.85,</w:t>
      </w:r>
      <w:r w:rsidR="001B219F">
        <w:t xml:space="preserve"> MSe = , </w:t>
      </w:r>
      <w:r w:rsidR="00122664">
        <w:t>and the interaction between the two</w:t>
      </w:r>
      <w:r w:rsidR="006625E4">
        <w:t>, F(2.67,490.68) = 64.66,</w:t>
      </w:r>
      <w:r w:rsidR="001B219F">
        <w:t xml:space="preserve"> MSe = , </w:t>
      </w:r>
      <w:r w:rsidR="006625E4">
        <w:t>were all significant, all p &lt;.001. In the R</w:t>
      </w:r>
      <w:r w:rsidR="00C855A7">
        <w:t>EP condition, the old distortion was judged as old significantly more than the new medium distortion, t(90) = 24.51, p &lt;.001,</w:t>
      </w:r>
      <w:r w:rsidR="00F808E8">
        <w:t xml:space="preserve"> cohen’s d  = 2.569, </w:t>
      </w:r>
      <w:r w:rsidR="00C855A7">
        <w:t>and</w:t>
      </w:r>
      <w:r w:rsidR="00B066EB">
        <w:t xml:space="preserve"> was judged as old</w:t>
      </w:r>
      <w:r w:rsidR="00C855A7">
        <w:t xml:space="preserve"> marginally significantly more than the prototype, t(90) = 2.21, p = .059*.</w:t>
      </w:r>
      <w:r w:rsidR="009C3041">
        <w:t xml:space="preserve"> In the NREP condition, the old distortion was also judged as old significantly more than the new medium distortion</w:t>
      </w:r>
      <w:r w:rsidR="00F808E8">
        <w:t xml:space="preserve"> </w:t>
      </w:r>
      <w:r w:rsidR="009C3041">
        <w:t>with the difference much smaller than in the REP condition, t(</w:t>
      </w:r>
      <w:r w:rsidR="00B066EB">
        <w:t>94</w:t>
      </w:r>
      <w:r w:rsidR="009C3041">
        <w:t xml:space="preserve">) = </w:t>
      </w:r>
      <w:r w:rsidR="00B066EB">
        <w:t>3.59</w:t>
      </w:r>
      <w:r w:rsidR="009C3041">
        <w:t xml:space="preserve">, p </w:t>
      </w:r>
      <w:r w:rsidR="00B066EB">
        <w:t xml:space="preserve">= </w:t>
      </w:r>
      <w:r w:rsidR="009C3041">
        <w:t>.001</w:t>
      </w:r>
      <w:r w:rsidR="00F808E8">
        <w:t xml:space="preserve">, cohen’s d = .368, but </w:t>
      </w:r>
      <w:r w:rsidR="00B066EB">
        <w:t xml:space="preserve">was judged as old </w:t>
      </w:r>
      <w:r w:rsidR="00F808E8">
        <w:t xml:space="preserve">significantly less than </w:t>
      </w:r>
      <w:r w:rsidR="00B066EB">
        <w:t xml:space="preserve">the prototype, t(94) = 10.21, p &lt; .001. </w:t>
      </w:r>
      <w:r w:rsidR="008C5D13">
        <w:t xml:space="preserve">Apparently from the figure, the probability of mistaking a foil for an old distortion was very low in both conditions. </w:t>
      </w:r>
    </w:p>
    <w:p w:rsidR="00C855A7" w:rsidRDefault="00C855A7" w:rsidP="00656F90">
      <w:pPr>
        <w:jc w:val="both"/>
      </w:pPr>
    </w:p>
    <w:p w:rsidR="00C855A7" w:rsidRDefault="00C855A7" w:rsidP="00656F90">
      <w:pPr>
        <w:jc w:val="both"/>
      </w:pPr>
      <w:r>
        <w:t xml:space="preserve">*In this paper, </w:t>
      </w:r>
      <w:r w:rsidR="009C3041">
        <w:t>p values of multiple t tests conducted on the same data set were adjusted for Bonferroni correction. If any p value is less than .05 before the correction but greater than .05 after the correction, the effect of difference is considered marginally significant</w:t>
      </w:r>
    </w:p>
    <w:p w:rsidR="00656F90" w:rsidRDefault="00663FCB" w:rsidP="00656F90">
      <w:pPr>
        <w:jc w:val="both"/>
      </w:pPr>
      <w:r>
        <w:lastRenderedPageBreak/>
        <w:pict>
          <v:shape id="_x0000_i1026" type="#_x0000_t75" style="width:6in;height:7in">
            <v:imagedata r:id="rId9" o:title="Expt1 transfer"/>
          </v:shape>
        </w:pict>
      </w:r>
    </w:p>
    <w:p w:rsidR="00B3298B" w:rsidRDefault="00556187" w:rsidP="0021619B">
      <w:pPr>
        <w:jc w:val="both"/>
      </w:pPr>
      <w:r>
        <w:t>Figure 2</w:t>
      </w:r>
      <w:r w:rsidR="00D76758">
        <w:t xml:space="preserve"> Mean proportion </w:t>
      </w:r>
      <w:r w:rsidR="00393057">
        <w:t xml:space="preserve">of </w:t>
      </w:r>
      <w:r w:rsidR="00D76758">
        <w:t>old responses</w:t>
      </w:r>
      <w:r w:rsidR="00F43B7C">
        <w:t xml:space="preserve"> (with standard error bars)</w:t>
      </w:r>
      <w:r w:rsidR="00393057">
        <w:t xml:space="preserve"> to four different types of transfer patterns (old</w:t>
      </w:r>
      <w:r w:rsidR="00656F90">
        <w:t xml:space="preserve">, </w:t>
      </w:r>
      <w:r w:rsidR="00393057">
        <w:t>new mediu</w:t>
      </w:r>
      <w:r w:rsidR="00656F90">
        <w:t>m</w:t>
      </w:r>
      <w:r w:rsidR="00393057">
        <w:t>, prototype</w:t>
      </w:r>
      <w:r w:rsidR="00F43B7C">
        <w:t>, foil</w:t>
      </w:r>
      <w:r w:rsidR="00393057">
        <w:t>) for REP and NREP conditions, Experiment 1.</w:t>
      </w:r>
    </w:p>
    <w:p w:rsidR="0021619B" w:rsidRDefault="0021619B" w:rsidP="0021619B">
      <w:pPr>
        <w:jc w:val="both"/>
      </w:pPr>
    </w:p>
    <w:p w:rsidR="0021619B" w:rsidRDefault="0021619B" w:rsidP="0021619B">
      <w:pPr>
        <w:jc w:val="both"/>
      </w:pPr>
    </w:p>
    <w:p w:rsidR="00B3298B" w:rsidRDefault="00B3298B" w:rsidP="0021619B">
      <w:pPr>
        <w:jc w:val="both"/>
      </w:pPr>
      <w:r>
        <w:t>Experiment 2</w:t>
      </w:r>
    </w:p>
    <w:p w:rsidR="00B3298B" w:rsidRDefault="00B3298B" w:rsidP="0021619B">
      <w:pPr>
        <w:jc w:val="both"/>
      </w:pPr>
      <w:r>
        <w:t>Subject</w:t>
      </w:r>
    </w:p>
    <w:p w:rsidR="00B3298B" w:rsidRDefault="00B3298B" w:rsidP="0021619B">
      <w:pPr>
        <w:jc w:val="both"/>
      </w:pPr>
      <w:r>
        <w:lastRenderedPageBreak/>
        <w:t>8</w:t>
      </w:r>
      <w:r w:rsidR="00C74948">
        <w:t>9</w:t>
      </w:r>
      <w:r>
        <w:t xml:space="preserve"> undergraduates at Indiana University were recruited for this experiment. There were </w:t>
      </w:r>
      <w:r w:rsidR="000A4342">
        <w:t>39</w:t>
      </w:r>
      <w:r>
        <w:t xml:space="preserve"> valid subjects in</w:t>
      </w:r>
      <w:r w:rsidR="00C74948">
        <w:t xml:space="preserve"> the</w:t>
      </w:r>
      <w:r>
        <w:t xml:space="preserve"> repeating condition (REP) and 44 valid subjects in </w:t>
      </w:r>
      <w:r w:rsidR="00C74948">
        <w:t>the non-</w:t>
      </w:r>
      <w:r>
        <w:t>repeating condition (NREP).</w:t>
      </w:r>
      <w:r w:rsidRPr="000C36A4">
        <w:t xml:space="preserve"> </w:t>
      </w:r>
      <w:r>
        <w:t>Every subject was randomly assigned to the REP or NREP condition.</w:t>
      </w:r>
      <w:r w:rsidR="00C74948">
        <w:t xml:space="preserve"> 6</w:t>
      </w:r>
      <w:r>
        <w:t xml:space="preserve"> subjects</w:t>
      </w:r>
      <w:r w:rsidR="00C74948">
        <w:t xml:space="preserve"> (4 </w:t>
      </w:r>
      <w:r w:rsidR="000A4342">
        <w:t xml:space="preserve">in REP condition and </w:t>
      </w:r>
      <w:r w:rsidR="00C74948">
        <w:t xml:space="preserve">2 </w:t>
      </w:r>
      <w:r w:rsidR="000A4342">
        <w:t>in the NREP condition)</w:t>
      </w:r>
      <w:r>
        <w:t xml:space="preserve"> </w:t>
      </w:r>
      <w:r w:rsidR="000A4342">
        <w:t>were excluded for data analysis due to</w:t>
      </w:r>
      <w:r w:rsidR="00C74948">
        <w:t xml:space="preserve"> overly</w:t>
      </w:r>
      <w:r w:rsidR="000A4342">
        <w:t xml:space="preserve"> poor performance. </w:t>
      </w:r>
      <w:r w:rsidR="00556187">
        <w:t xml:space="preserve">The exclusion criterion is similar to that in the experiment 1, except that we now define the accuracy in the recognition transfer phase as the proportion of correctly recognizing an old item minus the proportion of misrecognizing a foil item as old. </w:t>
      </w:r>
    </w:p>
    <w:p w:rsidR="00B3298B" w:rsidRDefault="00B3298B" w:rsidP="0021619B">
      <w:pPr>
        <w:jc w:val="both"/>
      </w:pPr>
      <w:r>
        <w:t>Procedure</w:t>
      </w:r>
    </w:p>
    <w:p w:rsidR="00963898" w:rsidRDefault="00B3298B" w:rsidP="0021619B">
      <w:pPr>
        <w:jc w:val="both"/>
      </w:pPr>
      <w:r>
        <w:t xml:space="preserve">Repeating condition (REP). </w:t>
      </w:r>
      <w:r w:rsidR="00AE0B35">
        <w:t>The learning phase was the same as in experiment 1. In the transfer phase</w:t>
      </w:r>
      <w:r>
        <w:t xml:space="preserve">, subjects were instructed to classify the transfer patterns into the same three categories. </w:t>
      </w:r>
      <w:r w:rsidR="00963898">
        <w:t xml:space="preserve">The transfer patterns comprised of 15 old distortions, 3 prototypes (1 per category), 15 low-distortions (5 per category), 15 new medium-level distortions (5 per category), and 15 high-level distortions (5 per category). Each pattern was presented for a total of 63 trials. The order of presentation was randomized for each subject. </w:t>
      </w:r>
    </w:p>
    <w:p w:rsidR="00963898" w:rsidRDefault="00963898" w:rsidP="0021619B">
      <w:pPr>
        <w:jc w:val="both"/>
      </w:pPr>
    </w:p>
    <w:p w:rsidR="00963898" w:rsidRDefault="00B3298B" w:rsidP="0021619B">
      <w:pPr>
        <w:jc w:val="both"/>
      </w:pPr>
      <w:r>
        <w:t>No</w:t>
      </w:r>
      <w:r w:rsidR="00C74948">
        <w:t>n</w:t>
      </w:r>
      <w:r>
        <w:t xml:space="preserve">-repeating condition (NREP). </w:t>
      </w:r>
      <w:r w:rsidR="00963898">
        <w:t>The same change from REP to NREP condition was made as in the experiment 1</w:t>
      </w:r>
    </w:p>
    <w:p w:rsidR="00963898" w:rsidRDefault="00963898" w:rsidP="00B3298B"/>
    <w:p w:rsidR="00963898" w:rsidRDefault="00963898" w:rsidP="00B3298B"/>
    <w:p w:rsidR="00963898" w:rsidRDefault="00963898" w:rsidP="00B3298B"/>
    <w:p w:rsidR="00963898" w:rsidRDefault="00963898" w:rsidP="00B3298B"/>
    <w:p w:rsidR="00963898" w:rsidRDefault="00963898" w:rsidP="00B3298B"/>
    <w:p w:rsidR="00963898" w:rsidRDefault="00963898" w:rsidP="00B3298B"/>
    <w:p w:rsidR="00963898" w:rsidRDefault="00963898" w:rsidP="00B3298B"/>
    <w:p w:rsidR="00963898" w:rsidRDefault="00963898" w:rsidP="00B3298B"/>
    <w:p w:rsidR="00963898" w:rsidRDefault="00963898" w:rsidP="00B3298B"/>
    <w:p w:rsidR="00963898" w:rsidRDefault="00963898" w:rsidP="00B3298B"/>
    <w:p w:rsidR="00963898" w:rsidRDefault="00963898" w:rsidP="00B3298B"/>
    <w:p w:rsidR="00963898" w:rsidRDefault="00963898" w:rsidP="00B3298B"/>
    <w:p w:rsidR="00963898" w:rsidRDefault="00963898" w:rsidP="00B3298B"/>
    <w:p w:rsidR="00963898" w:rsidRDefault="00963898" w:rsidP="00B3298B"/>
    <w:p w:rsidR="00963898" w:rsidRDefault="00963898" w:rsidP="00B3298B"/>
    <w:p w:rsidR="00963898" w:rsidRDefault="00963898" w:rsidP="00B3298B"/>
    <w:p w:rsidR="00963898" w:rsidRDefault="00963898" w:rsidP="00B3298B"/>
    <w:p w:rsidR="00963898" w:rsidRDefault="00963898" w:rsidP="00B3298B"/>
    <w:p w:rsidR="00B3298B" w:rsidRDefault="00B3298B" w:rsidP="00B3298B">
      <w:r>
        <w:t>Results</w:t>
      </w:r>
    </w:p>
    <w:p w:rsidR="0068304A" w:rsidRDefault="0068304A" w:rsidP="0068304A">
      <w:pPr>
        <w:jc w:val="both"/>
      </w:pPr>
      <w:r>
        <w:t>Learning. The learning performance across the training blocks for the REP and NREP conditions are shown in figure 3. The learning data showed a similar pattern</w:t>
      </w:r>
      <w:r w:rsidR="002F374B">
        <w:t xml:space="preserve"> of results to the pattern</w:t>
      </w:r>
      <w:r>
        <w:t xml:space="preserve"> in the experiment 1. The </w:t>
      </w:r>
      <w:r w:rsidR="002F374B">
        <w:t>main effect of learning</w:t>
      </w:r>
      <w:r>
        <w:t xml:space="preserve"> over blocks was significant, F(</w:t>
      </w:r>
      <w:r w:rsidR="002F374B">
        <w:t>7.14,578.08</w:t>
      </w:r>
      <w:r>
        <w:t xml:space="preserve">) = </w:t>
      </w:r>
      <w:r w:rsidR="002F374B">
        <w:t>56.78</w:t>
      </w:r>
      <w:r>
        <w:t xml:space="preserve"> ,</w:t>
      </w:r>
      <w:r w:rsidR="001B219F">
        <w:t xml:space="preserve"> MSe = , </w:t>
      </w:r>
      <w:r>
        <w:t xml:space="preserve">p &lt; .001, </w:t>
      </w:r>
      <w:r>
        <w:rPr>
          <w:rFonts w:cstheme="minorHAnsi"/>
        </w:rPr>
        <w:t>η</w:t>
      </w:r>
      <w:r>
        <w:rPr>
          <w:vertAlign w:val="superscript"/>
        </w:rPr>
        <w:t>2</w:t>
      </w:r>
      <w:r>
        <w:t xml:space="preserve"> = .4</w:t>
      </w:r>
      <w:r w:rsidR="002F374B">
        <w:t>12</w:t>
      </w:r>
      <w:r>
        <w:t>. The main effect of learning conditions was significant, F(</w:t>
      </w:r>
      <w:r w:rsidR="002F374B">
        <w:t>1,81</w:t>
      </w:r>
      <w:r>
        <w:t xml:space="preserve">) = </w:t>
      </w:r>
      <w:r w:rsidR="002F374B">
        <w:t>18.09</w:t>
      </w:r>
      <w:r>
        <w:t xml:space="preserve"> ,</w:t>
      </w:r>
      <w:r w:rsidR="001B219F" w:rsidRPr="001B219F">
        <w:t xml:space="preserve"> </w:t>
      </w:r>
      <w:r w:rsidR="001B219F">
        <w:t>MSe = ,</w:t>
      </w:r>
      <w:r>
        <w:t xml:space="preserve"> p &lt; .001, </w:t>
      </w:r>
      <w:r>
        <w:rPr>
          <w:rFonts w:cstheme="minorHAnsi"/>
        </w:rPr>
        <w:t>η</w:t>
      </w:r>
      <w:r>
        <w:rPr>
          <w:vertAlign w:val="superscript"/>
        </w:rPr>
        <w:t>2</w:t>
      </w:r>
      <w:r>
        <w:t xml:space="preserve"> = .</w:t>
      </w:r>
      <w:r w:rsidR="002F374B">
        <w:t xml:space="preserve">183. </w:t>
      </w:r>
      <w:r>
        <w:t>As can be seen from figure 1</w:t>
      </w:r>
      <w:r w:rsidR="002F374B">
        <w:t>, the overall learning rate</w:t>
      </w:r>
      <w:r>
        <w:t xml:space="preserve"> of subjects in the REP condition </w:t>
      </w:r>
      <w:r w:rsidR="002F374B">
        <w:t>was higher</w:t>
      </w:r>
      <w:r>
        <w:t xml:space="preserve"> than subjects in the NREP condition, </w:t>
      </w:r>
      <w:r w:rsidR="002F374B">
        <w:t>and the classification accuracy at the end of learning was higher for the REP condition than the NREP condition.</w:t>
      </w:r>
    </w:p>
    <w:p w:rsidR="005E414D" w:rsidRDefault="00C1647E">
      <w:r>
        <w:pict>
          <v:shape id="_x0000_i1027" type="#_x0000_t75" style="width:467.5pt;height:351pt">
            <v:imagedata r:id="rId10" o:title="Expt2 learning"/>
          </v:shape>
        </w:pict>
      </w:r>
    </w:p>
    <w:p w:rsidR="00393057" w:rsidRDefault="00393057" w:rsidP="00393057">
      <w:r>
        <w:t xml:space="preserve">Figure 3 </w:t>
      </w:r>
      <w:r w:rsidRPr="00556187">
        <w:t xml:space="preserve"> </w:t>
      </w:r>
      <w:r>
        <w:t xml:space="preserve">Mean proportion of correct classifications as a function of the number of blocks for REP and NREP conditions, Experiment 2 </w:t>
      </w:r>
    </w:p>
    <w:p w:rsidR="00247DD5" w:rsidRDefault="00247DD5"/>
    <w:p w:rsidR="00257DE2" w:rsidRDefault="00257DE2">
      <w:r>
        <w:t xml:space="preserve">Transfer– </w:t>
      </w:r>
      <w:r w:rsidR="00B066EB">
        <w:t>classification.</w:t>
      </w:r>
      <w:r>
        <w:t xml:space="preserve"> </w:t>
      </w:r>
      <w:r w:rsidR="00B066EB">
        <w:t xml:space="preserve">The probability with which each type of the transfer patterns were </w:t>
      </w:r>
      <w:r w:rsidR="008C5D13">
        <w:t>correctly classified</w:t>
      </w:r>
      <w:r w:rsidR="00B066EB">
        <w:t xml:space="preserve"> in REP and NREP conditions was shown in figure 4. First, a </w:t>
      </w:r>
      <w:r w:rsidR="008C5D13">
        <w:t xml:space="preserve">2 x 4 mixed-model ANOVA was conducted </w:t>
      </w:r>
      <w:r w:rsidR="001C3F61">
        <w:t>with</w:t>
      </w:r>
      <w:r w:rsidR="008C5D13">
        <w:t xml:space="preserve"> learning conditions (REP and NREP)</w:t>
      </w:r>
      <w:r w:rsidR="001C3F61">
        <w:t xml:space="preserve"> as a between-subject factor</w:t>
      </w:r>
      <w:r w:rsidR="008C5D13">
        <w:t xml:space="preserve"> and different </w:t>
      </w:r>
      <w:r w:rsidR="001C3F61">
        <w:t xml:space="preserve">levels of </w:t>
      </w:r>
      <w:r w:rsidR="008C5D13">
        <w:t>distortions (prototype, low, new medium and high distortions)</w:t>
      </w:r>
      <w:r w:rsidR="001C3F61">
        <w:t xml:space="preserve"> as a within-subject factor</w:t>
      </w:r>
      <w:r w:rsidR="008C5D13">
        <w:t xml:space="preserve">. </w:t>
      </w:r>
      <w:r w:rsidR="0080146E">
        <w:t xml:space="preserve">There was a main effect of distortion levels, F(2.3,186.67) = 46.08, MSe = .696, p &lt; .001, </w:t>
      </w:r>
      <w:r w:rsidR="0080146E">
        <w:rPr>
          <w:rFonts w:cstheme="minorHAnsi"/>
        </w:rPr>
        <w:t>η</w:t>
      </w:r>
      <w:r w:rsidR="0080146E">
        <w:rPr>
          <w:vertAlign w:val="superscript"/>
        </w:rPr>
        <w:t>2</w:t>
      </w:r>
      <w:r w:rsidR="0080146E">
        <w:t xml:space="preserve"> = .363.</w:t>
      </w:r>
      <w:r w:rsidR="001C3F61">
        <w:t xml:space="preserve"> </w:t>
      </w:r>
      <w:r w:rsidR="0080146E">
        <w:t>Indeed</w:t>
      </w:r>
      <w:r w:rsidR="008C5D13">
        <w:t xml:space="preserve">, the rate of </w:t>
      </w:r>
      <w:r w:rsidR="008C5D13">
        <w:lastRenderedPageBreak/>
        <w:t>classification accuracy decrease</w:t>
      </w:r>
      <w:r w:rsidR="0080146E">
        <w:t>d</w:t>
      </w:r>
      <w:r w:rsidR="008C5D13">
        <w:t xml:space="preserve"> as a function of </w:t>
      </w:r>
      <w:r w:rsidR="0080146E">
        <w:t xml:space="preserve">the </w:t>
      </w:r>
      <w:r w:rsidR="008C5D13">
        <w:t>level of distortions away from the prototype</w:t>
      </w:r>
      <w:r w:rsidR="0080146E">
        <w:t xml:space="preserve"> in the REP condition (prototype = </w:t>
      </w:r>
      <w:r w:rsidR="001C3F61">
        <w:t>94.0%, low = 92.3%, medium = 86.5%, high = 76.6%)</w:t>
      </w:r>
      <w:r w:rsidR="0080146E">
        <w:t>, as was the case in the NREP condition</w:t>
      </w:r>
      <w:r w:rsidR="001C3F61">
        <w:t xml:space="preserve"> (prototype = 93.9%, low = 88.6%, medium = 84.8%, high = 74.4%). However, there was neither an effect of learning condition nor a condition x distortion level interaction, both ps &gt; .05. Second, a 2 x 3 mixed-model ANOVA was conducted on learning conditions and three item types (old, new medium distortion and prototype). </w:t>
      </w:r>
      <w:r w:rsidR="000F1F8F">
        <w:t xml:space="preserve">The main effect of item type was significant, F(1.62,131.04) = 13.61, MSe = .183, p &lt; .001, as was the condition x item type interaction, F(1.62,131.04) = 4.72, MSe = .064, p = .016. </w:t>
      </w:r>
      <w:r w:rsidR="002244E1">
        <w:t xml:space="preserve">The main effect of condition was not significant, F(1,81) = 1.82, MSe = .085, p = .181. Subsequent test showed that the old distortion was </w:t>
      </w:r>
      <w:r w:rsidR="00B63127">
        <w:t xml:space="preserve">classified </w:t>
      </w:r>
      <w:r w:rsidR="002244E1">
        <w:t xml:space="preserve">significantly </w:t>
      </w:r>
      <w:r w:rsidR="00B63127">
        <w:t>more accurate</w:t>
      </w:r>
      <w:r w:rsidR="002244E1">
        <w:t xml:space="preserve"> than the new medium distortions in the REP condition, t(38) = 5.50, p &lt; .001, but </w:t>
      </w:r>
      <w:r w:rsidR="00B63127">
        <w:t>the difference in classification accuracy was not significant</w:t>
      </w:r>
      <w:r w:rsidR="002244E1">
        <w:t xml:space="preserve"> in the NREP condition, t(43) = 1.00, p = .646</w:t>
      </w:r>
      <w:r w:rsidR="00410592">
        <w:t>. Moreover, the old distortion was not classified significantly more accurate than the prototype in the REP condition, t(38) = .98, p = .670, but was classified significantly less accurate than the prototype in the NREP condition, t(43) = -2.78</w:t>
      </w:r>
      <w:r w:rsidR="00B63127">
        <w:t>, p =</w:t>
      </w:r>
      <w:r w:rsidR="00410592">
        <w:t xml:space="preserve"> </w:t>
      </w:r>
      <w:r w:rsidR="00B63127">
        <w:t>.016</w:t>
      </w:r>
      <w:r w:rsidR="00410592">
        <w:t>.</w:t>
      </w:r>
    </w:p>
    <w:p w:rsidR="002244E1" w:rsidRDefault="002244E1"/>
    <w:p w:rsidR="00247DD5" w:rsidRDefault="00247DD5"/>
    <w:p w:rsidR="00247DD5" w:rsidRDefault="00247DD5"/>
    <w:p w:rsidR="00247DD5" w:rsidRDefault="00247DD5"/>
    <w:p w:rsidR="00247DD5" w:rsidRDefault="00247DD5"/>
    <w:p w:rsidR="00247DD5" w:rsidRDefault="00247DD5"/>
    <w:p w:rsidR="00830A8E" w:rsidRDefault="00663FCB">
      <w:r>
        <w:lastRenderedPageBreak/>
        <w:pict>
          <v:shape id="_x0000_i1028" type="#_x0000_t75" style="width:6in;height:7in">
            <v:imagedata r:id="rId11" o:title="Expt2 transfer"/>
          </v:shape>
        </w:pict>
      </w:r>
    </w:p>
    <w:p w:rsidR="00393057" w:rsidRDefault="00393057" w:rsidP="00393057">
      <w:pPr>
        <w:jc w:val="both"/>
      </w:pPr>
      <w:r>
        <w:t>Figure 4 Mean proportion of correct classifications</w:t>
      </w:r>
      <w:r w:rsidR="00F43B7C">
        <w:t xml:space="preserve"> (with standard error bars) </w:t>
      </w:r>
      <w:r>
        <w:t>to f</w:t>
      </w:r>
      <w:r w:rsidR="00F43B7C">
        <w:t>ive</w:t>
      </w:r>
      <w:r>
        <w:t xml:space="preserve"> different types of transfer patterns (old medium</w:t>
      </w:r>
      <w:r w:rsidR="00F43B7C">
        <w:t xml:space="preserve"> distortion</w:t>
      </w:r>
      <w:r>
        <w:t xml:space="preserve">, </w:t>
      </w:r>
      <w:r w:rsidR="00F43B7C">
        <w:t>prototype, low distortion, new medium distortion, high distortion</w:t>
      </w:r>
      <w:r>
        <w:t xml:space="preserve">) for REP and NREP conditions, Experiment </w:t>
      </w:r>
      <w:r w:rsidR="00F43B7C">
        <w:t>2</w:t>
      </w:r>
      <w:r>
        <w:t>.</w:t>
      </w:r>
    </w:p>
    <w:p w:rsidR="006B245D" w:rsidRDefault="006B245D"/>
    <w:p w:rsidR="006B245D" w:rsidRDefault="006B245D"/>
    <w:p w:rsidR="006B245D" w:rsidRDefault="006B245D"/>
    <w:p w:rsidR="006B245D" w:rsidRDefault="006B245D"/>
    <w:p w:rsidR="006B245D" w:rsidRDefault="006B245D"/>
    <w:p w:rsidR="00D24587" w:rsidRDefault="005349B6">
      <w:r>
        <w:t>GCM model</w:t>
      </w:r>
    </w:p>
    <w:p w:rsidR="006B245D" w:rsidRDefault="00872EB2" w:rsidP="00E92310">
      <w:pPr>
        <w:jc w:val="both"/>
      </w:pPr>
      <w:r>
        <w:t>According to an MDS analysis of the similarity ratings of dot patterns (</w:t>
      </w:r>
      <w:r w:rsidR="006328BB">
        <w:t>Shin &amp; Nosofsky, 1992)</w:t>
      </w:r>
      <w:r>
        <w:t xml:space="preserve">, six psychological dimensions can well account for variability </w:t>
      </w:r>
      <w:r w:rsidR="006328BB">
        <w:t>in</w:t>
      </w:r>
      <w:r>
        <w:t xml:space="preserve"> the perceived similarity among dot patterns. </w:t>
      </w:r>
      <w:r w:rsidR="006328BB">
        <w:t xml:space="preserve">In this simulation, we represented each dot pattern as a point in a six-dimensional feature space. </w:t>
      </w:r>
      <w:r w:rsidR="004A0120">
        <w:t>T</w:t>
      </w:r>
      <w:r w:rsidR="006328BB">
        <w:t>he</w:t>
      </w:r>
      <w:r w:rsidR="00FF74B7">
        <w:t xml:space="preserve"> six-coordinates of the prototypes and medium distortions in the learning phase were set in a way analogous to the statistical-distortion procedure by which they were generated. </w:t>
      </w:r>
      <w:r w:rsidR="00AF5AC0">
        <w:t>W</w:t>
      </w:r>
      <w:r w:rsidR="004A0120">
        <w:t>ithin-category and between-category distances were two freely varying parameter in our model.</w:t>
      </w:r>
      <w:r w:rsidR="00AF5AC0">
        <w:t xml:space="preserve"> The distances of Low, medium and high distortions were set to be the within-category distance multiplied by 1.2, 2.8 and 4.6, respectively, to map the dot displacements used by Homa et al. (2019). </w:t>
      </w:r>
      <w:r w:rsidR="004A0120">
        <w:t xml:space="preserve"> Each coordinate of the prototype was randomly sampled from a uniform distribution from 0 to the between-category distance. Each coordinate of </w:t>
      </w:r>
      <w:r w:rsidR="00AF5AC0">
        <w:t>a training</w:t>
      </w:r>
      <w:r w:rsidR="004A0120">
        <w:t xml:space="preserve"> </w:t>
      </w:r>
      <w:r w:rsidR="00AF5AC0">
        <w:t>medium distortion in a certain category was the sum of the corresponding coordinate of the prototype in its category and a random distance sampled from a zero-</w:t>
      </w:r>
      <w:r w:rsidR="005349B6">
        <w:t>centered</w:t>
      </w:r>
      <w:r w:rsidR="00AF5AC0">
        <w:t xml:space="preserve"> normal distribution with standard deviation equal to the medium-level distortion distance.</w:t>
      </w:r>
      <w:r w:rsidR="001219F6">
        <w:t xml:space="preserve"> </w:t>
      </w:r>
      <w:r w:rsidR="00D77221">
        <w:t xml:space="preserve">The training patterns in the two conditions were separately generated. </w:t>
      </w:r>
      <w:r w:rsidR="001219F6">
        <w:t xml:space="preserve">100 different training patterns were generated for </w:t>
      </w:r>
      <w:r w:rsidR="00D24587">
        <w:t xml:space="preserve">each category in the REP condition, and </w:t>
      </w:r>
      <w:r w:rsidR="003460F8">
        <w:t>5</w:t>
      </w:r>
      <w:r w:rsidR="00D24587">
        <w:t xml:space="preserve"> different training patterns, each </w:t>
      </w:r>
      <w:r w:rsidR="00C1647E">
        <w:t>to be repeated once in every training block</w:t>
      </w:r>
      <w:r w:rsidR="00D24587">
        <w:t>, were generated for each category in the NREP condition.</w:t>
      </w:r>
      <w:r w:rsidR="00AF5AC0">
        <w:t xml:space="preserve"> </w:t>
      </w:r>
      <w:r w:rsidR="001219F6">
        <w:t xml:space="preserve">For </w:t>
      </w:r>
      <w:r w:rsidR="00D77221">
        <w:t>each experiment</w:t>
      </w:r>
      <w:r w:rsidR="001219F6">
        <w:t>, a single ex</w:t>
      </w:r>
      <w:r w:rsidR="00D24587">
        <w:t>e</w:t>
      </w:r>
      <w:r w:rsidR="001219F6">
        <w:t xml:space="preserve">mplar was constructed to represent </w:t>
      </w:r>
      <w:r w:rsidR="005349B6">
        <w:t>each</w:t>
      </w:r>
      <w:r w:rsidR="00D24587">
        <w:t xml:space="preserve"> item type of the transfer patterns. </w:t>
      </w:r>
      <w:r w:rsidR="00F9112D">
        <w:t xml:space="preserve">The transfer patterns in the experiment 1 consisted of prototype, low, medium and high-level distortions. Each level of distortion was constructed from the prototype plus a random distance based on the corresponding distortion distance. The transfer patterns in the experiment 2 consisted of old medium distortion, new medium distortion and foil. For each of two </w:t>
      </w:r>
      <w:r w:rsidR="003460F8">
        <w:t xml:space="preserve">learning conditions, the old distortion was chosen to be the first exemplar constructed for the first category in that condition. A new medium distortion was randomly generated with medium distortion distance. Each coordinate of a foil was defined as the sum of a uniformly distributed random number (0 – between-category distance) and a normally distributed random number (sd = medium distortion distance). </w:t>
      </w:r>
      <w:r w:rsidR="00C1647E">
        <w:t xml:space="preserve">The transfer patterns in the experiment 3 were similar to those in the experiment </w:t>
      </w:r>
      <w:r w:rsidR="00AA20DF">
        <w:t xml:space="preserve">2, </w:t>
      </w:r>
      <w:r w:rsidR="00C1647E">
        <w:t>except</w:t>
      </w:r>
      <w:r w:rsidR="00AA20DF">
        <w:t xml:space="preserve"> that</w:t>
      </w:r>
      <w:r w:rsidR="00C1647E">
        <w:t xml:space="preserve"> the prototype in the first category was used instead of the foil. </w:t>
      </w:r>
    </w:p>
    <w:p w:rsidR="00C1647E" w:rsidRDefault="00C1647E" w:rsidP="00E92310">
      <w:pPr>
        <w:jc w:val="both"/>
      </w:pPr>
      <w:r>
        <w:t xml:space="preserve">In the experiment 1, </w:t>
      </w:r>
      <w:r w:rsidR="00AA20DF">
        <w:t xml:space="preserve">the </w:t>
      </w:r>
      <w:r w:rsidR="003072E7">
        <w:t xml:space="preserve">evidence in favor of category </w:t>
      </w:r>
      <w:r w:rsidR="00DB68DD">
        <w:t>A</w:t>
      </w:r>
      <w:r w:rsidR="003072E7">
        <w:t xml:space="preserve">, given the presentation of a transfer pattern i, is defined as the summed similarity of the transfer pattern i to each of the learning patterns in category </w:t>
      </w:r>
      <w:r w:rsidR="00DB68DD">
        <w:t>A</w:t>
      </w:r>
      <w:r w:rsidR="003072E7">
        <w:t xml:space="preserve">. The conditional probability with which the pattern i is classified in category </w:t>
      </w:r>
      <w:r w:rsidR="00DB68DD">
        <w:t>A</w:t>
      </w:r>
      <w:r w:rsidR="003072E7">
        <w:t xml:space="preserve"> is then computed as the evidence favoring </w:t>
      </w:r>
      <w:r w:rsidR="00725F46">
        <w:t xml:space="preserve">category </w:t>
      </w:r>
      <w:r w:rsidR="00DB68DD">
        <w:t>A</w:t>
      </w:r>
      <w:r w:rsidR="00725F46">
        <w:t xml:space="preserve"> plus some background </w:t>
      </w:r>
      <w:r w:rsidR="003072E7">
        <w:t>noise, normalized</w:t>
      </w:r>
      <w:r w:rsidR="00725F46">
        <w:t xml:space="preserve"> by the</w:t>
      </w:r>
      <w:r w:rsidR="003072E7">
        <w:t xml:space="preserve"> sum of evidence</w:t>
      </w:r>
      <w:r w:rsidR="00725F46">
        <w:t>s</w:t>
      </w:r>
      <w:r w:rsidR="003072E7">
        <w:t xml:space="preserve"> </w:t>
      </w:r>
      <w:r w:rsidR="00725F46">
        <w:t>for</w:t>
      </w:r>
      <w:r w:rsidR="003072E7">
        <w:t xml:space="preserve"> </w:t>
      </w:r>
      <w:r w:rsidR="00725F46">
        <w:t xml:space="preserve">all  three categories, which can expressed by equation (1). </w:t>
      </w:r>
    </w:p>
    <w:p w:rsidR="00725F46" w:rsidRDefault="00725F46" w:rsidP="00E92310">
      <w:pPr>
        <w:jc w:val="both"/>
      </w:pPr>
      <w:r>
        <w:t xml:space="preserve">                   </w:t>
      </w:r>
      <w:r w:rsidR="008008FE">
        <w:t xml:space="preserve">                               </w:t>
      </w:r>
      <w:r>
        <w:t xml:space="preserve">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func>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C</m:t>
                    </m:r>
                  </m:e>
                  <m:sub>
                    <m:r>
                      <w:rPr>
                        <w:rFonts w:ascii="Cambria Math" w:hAnsi="Cambria Math"/>
                      </w:rPr>
                      <m:t>A</m:t>
                    </m:r>
                  </m:sub>
                </m:sSub>
                <m:sSub>
                  <m:sSubPr>
                    <m:ctrlPr>
                      <w:rPr>
                        <w:rFonts w:ascii="Cambria Math" w:hAnsi="Cambria Math"/>
                        <w:i/>
                      </w:rPr>
                    </m:ctrlPr>
                  </m:sSubPr>
                  <m:e>
                    <m:r>
                      <w:rPr>
                        <w:rFonts w:ascii="Cambria Math" w:hAnsi="Cambria Math"/>
                      </w:rPr>
                      <m:t>N</m:t>
                    </m:r>
                  </m:e>
                  <m:sub>
                    <m:r>
                      <w:rPr>
                        <w:rFonts w:ascii="Cambria Math" w:hAnsi="Cambria Math"/>
                      </w:rPr>
                      <m:t>cond</m:t>
                    </m:r>
                  </m:sub>
                </m:sSub>
              </m:sub>
              <m:sup/>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+β)</m:t>
                    </m:r>
                  </m:e>
                  <m:sup>
                    <m:r>
                      <w:rPr>
                        <w:rFonts w:ascii="Cambria Math" w:hAnsi="Cambria Math"/>
                      </w:rPr>
                      <m:t>γ</m:t>
                    </m:r>
                  </m:sup>
                </m:sSup>
              </m:e>
            </m:nary>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K</m:t>
                    </m:r>
                  </m:sub>
                </m:sSub>
                <m:r>
                  <m:rPr>
                    <m:scr m:val="script"/>
                  </m:rP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N</m:t>
                        </m:r>
                      </m:e>
                      <m:sub>
                        <m:r>
                          <w:rPr>
                            <w:rFonts w:ascii="Cambria Math" w:hAnsi="Cambria Math"/>
                          </w:rPr>
                          <m:t>cond</m:t>
                        </m:r>
                      </m:sub>
                    </m:sSub>
                  </m:sub>
                  <m:sup/>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+β)</m:t>
                        </m:r>
                      </m:e>
                      <m:sup>
                        <m:r>
                          <w:rPr>
                            <w:rFonts w:ascii="Cambria Math" w:hAnsi="Cambria Math"/>
                          </w:rPr>
                          <m:t>γ</m:t>
                        </m:r>
                      </m:sup>
                    </m:sSup>
                  </m:e>
                </m:nary>
              </m:e>
            </m:nary>
          </m:den>
        </m:f>
      </m:oMath>
      <w:r>
        <w:t xml:space="preserve">                                                      </w:t>
      </w:r>
      <w:r w:rsidR="00005D05">
        <w:t xml:space="preserve">   </w:t>
      </w:r>
      <w:r>
        <w:t xml:space="preserve">  (1)</w:t>
      </w:r>
    </w:p>
    <w:p w:rsidR="00725F46" w:rsidRDefault="00725F46" w:rsidP="00E92310">
      <w:pPr>
        <w:jc w:val="both"/>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DB68DD">
        <w:t xml:space="preserve">is the similarity between examplars i and j, </w:t>
      </w:r>
      <m:oMath>
        <m:r>
          <m:rPr>
            <m:scr m:val="script"/>
          </m:rPr>
          <w:rPr>
            <w:rFonts w:ascii="Cambria Math" w:hAnsi="Cambria Math"/>
          </w:rPr>
          <m:t>K</m:t>
        </m:r>
      </m:oMath>
      <w:r w:rsidR="00DB68DD">
        <w:t xml:space="preserve"> </w:t>
      </w:r>
      <w:r w:rsidR="00970EB5">
        <w:t>is</w:t>
      </w:r>
      <w:r w:rsidR="00DB68DD">
        <w:t xml:space="preserve"> the set of three categories involved in this experimen</w:t>
      </w:r>
      <w:r w:rsidR="008008FE">
        <w:t xml:space="preserve">t, and </w:t>
      </w:r>
      <m:oMath>
        <m:sSub>
          <m:sSubPr>
            <m:ctrlPr>
              <w:rPr>
                <w:rFonts w:ascii="Cambria Math" w:hAnsi="Cambria Math"/>
                <w:i/>
              </w:rPr>
            </m:ctrlPr>
          </m:sSubPr>
          <m:e>
            <m:r>
              <w:rPr>
                <w:rFonts w:ascii="Cambria Math" w:hAnsi="Cambria Math"/>
              </w:rPr>
              <m:t>N</m:t>
            </m:r>
          </m:e>
          <m:sub>
            <m:r>
              <w:rPr>
                <w:rFonts w:ascii="Cambria Math" w:hAnsi="Cambria Math"/>
              </w:rPr>
              <m:t>cond</m:t>
            </m:r>
          </m:sub>
        </m:sSub>
      </m:oMath>
      <w:r w:rsidR="008008FE">
        <w:t xml:space="preserve">  is the number of times each exemplar was repeated during the learning phase</w:t>
      </w:r>
      <w:r w:rsidR="00164B21">
        <w:t xml:space="preserve"> in this experiment</w:t>
      </w:r>
      <w:r w:rsidR="008008FE">
        <w:t xml:space="preserve"> (</w:t>
      </w:r>
      <m:oMath>
        <m:sSub>
          <m:sSubPr>
            <m:ctrlPr>
              <w:rPr>
                <w:rFonts w:ascii="Cambria Math" w:hAnsi="Cambria Math"/>
                <w:i/>
              </w:rPr>
            </m:ctrlPr>
          </m:sSubPr>
          <m:e>
            <m:r>
              <w:rPr>
                <w:rFonts w:ascii="Cambria Math" w:hAnsi="Cambria Math"/>
              </w:rPr>
              <m:t>N</m:t>
            </m:r>
          </m:e>
          <m:sub>
            <m:r>
              <w:rPr>
                <w:rFonts w:ascii="Cambria Math" w:hAnsi="Cambria Math"/>
              </w:rPr>
              <m:t>rep</m:t>
            </m:r>
          </m:sub>
        </m:sSub>
        <m:r>
          <w:rPr>
            <w:rFonts w:ascii="Cambria Math" w:hAnsi="Cambria Math"/>
          </w:rPr>
          <m:t>=15</m:t>
        </m:r>
      </m:oMath>
      <w:r w:rsidR="008008FE">
        <w:t xml:space="preserve"> for the REP condition and </w:t>
      </w:r>
      <m:oMath>
        <m:sSub>
          <m:sSubPr>
            <m:ctrlPr>
              <w:rPr>
                <w:rFonts w:ascii="Cambria Math" w:hAnsi="Cambria Math"/>
                <w:i/>
              </w:rPr>
            </m:ctrlPr>
          </m:sSubPr>
          <m:e>
            <m:r>
              <w:rPr>
                <w:rFonts w:ascii="Cambria Math" w:hAnsi="Cambria Math"/>
              </w:rPr>
              <m:t>N</m:t>
            </m:r>
          </m:e>
          <m:sub>
            <m:r>
              <w:rPr>
                <w:rFonts w:ascii="Cambria Math" w:hAnsi="Cambria Math"/>
              </w:rPr>
              <m:t>n</m:t>
            </m:r>
            <m:r>
              <w:rPr>
                <w:rFonts w:ascii="Cambria Math" w:hAnsi="Cambria Math"/>
              </w:rPr>
              <m:t>rep</m:t>
            </m:r>
          </m:sub>
        </m:sSub>
        <m:r>
          <w:rPr>
            <w:rFonts w:ascii="Cambria Math" w:hAnsi="Cambria Math"/>
          </w:rPr>
          <m:t>=</m:t>
        </m:r>
        <m:r>
          <w:rPr>
            <w:rFonts w:ascii="Cambria Math" w:hAnsi="Cambria Math"/>
          </w:rPr>
          <m:t>1</m:t>
        </m:r>
      </m:oMath>
      <w:r w:rsidR="008008FE">
        <w:t xml:space="preserve"> </w:t>
      </w:r>
      <w:r w:rsidR="008008FE">
        <w:t>for the REP condition</w:t>
      </w:r>
      <w:r w:rsidR="008008FE">
        <w:t xml:space="preserve">). </w:t>
      </w:r>
      <w:r w:rsidR="00DB68DD">
        <w:t xml:space="preserve"> </w:t>
      </w:r>
      <m:oMath>
        <m:r>
          <w:rPr>
            <w:rFonts w:ascii="Cambria Math" w:hAnsi="Cambria Math"/>
          </w:rPr>
          <m:t>β</m:t>
        </m:r>
      </m:oMath>
      <w:r w:rsidR="00DB68DD">
        <w:t xml:space="preserve"> denotes the background noise </w:t>
      </w:r>
      <w:r w:rsidR="00EC0F5A">
        <w:t xml:space="preserve">present at the beginning at the learning phase, </w:t>
      </w:r>
      <w:r w:rsidR="00DB68DD">
        <w:t xml:space="preserve">and </w:t>
      </w:r>
      <w:r w:rsidR="00EC0F5A">
        <w:t>its effect</w:t>
      </w:r>
      <w:r w:rsidR="00EA5E86">
        <w:t xml:space="preserve"> on the summed similarity</w:t>
      </w:r>
      <w:r w:rsidR="00EC0F5A">
        <w:t xml:space="preserve"> fades away as more exemplars were stored in memory after the learning phase. </w:t>
      </w:r>
      <m:oMath>
        <m:r>
          <w:rPr>
            <w:rFonts w:ascii="Cambria Math" w:hAnsi="Cambria Math"/>
          </w:rPr>
          <m:t>γ</m:t>
        </m:r>
      </m:oMath>
      <w:r w:rsidR="00DB68DD">
        <w:t xml:space="preserve"> </w:t>
      </w:r>
      <w:r w:rsidR="00EC0F5A">
        <w:t xml:space="preserve">denotes the </w:t>
      </w:r>
      <w:r w:rsidR="00DB68DD">
        <w:t>response-scaling</w:t>
      </w:r>
      <w:r w:rsidR="008008FE">
        <w:t xml:space="preserve"> factor </w:t>
      </w:r>
      <w:r w:rsidR="002E6F46">
        <w:t xml:space="preserve">(subjects make classification decisions exactly based on the probability matching when </w:t>
      </w:r>
      <m:oMath>
        <m:r>
          <w:rPr>
            <w:rFonts w:ascii="Cambria Math" w:hAnsi="Cambria Math"/>
          </w:rPr>
          <m:t>γ</m:t>
        </m:r>
        <m:r>
          <w:rPr>
            <w:rFonts w:ascii="Cambria Math" w:hAnsi="Cambria Math"/>
          </w:rPr>
          <m:t>=</m:t>
        </m:r>
        <m:r>
          <w:rPr>
            <w:rFonts w:ascii="Cambria Math" w:hAnsi="Cambria Math"/>
          </w:rPr>
          <m:t>1</m:t>
        </m:r>
      </m:oMath>
      <w:r w:rsidR="002E6F46">
        <w:t xml:space="preserve">, but towards the category with the largest probability </w:t>
      </w:r>
      <w:r w:rsidR="002E6F46">
        <w:t>more deterministically</w:t>
      </w:r>
      <w:r w:rsidR="002E6F46">
        <w:t xml:space="preserve"> when </w:t>
      </w:r>
      <m:oMath>
        <m:r>
          <w:rPr>
            <w:rFonts w:ascii="Cambria Math" w:hAnsi="Cambria Math"/>
          </w:rPr>
          <m:t>γ</m:t>
        </m:r>
        <m:r>
          <w:rPr>
            <w:rFonts w:ascii="Cambria Math" w:hAnsi="Cambria Math"/>
          </w:rPr>
          <m:t>&gt;1</m:t>
        </m:r>
      </m:oMath>
      <w:r w:rsidR="00970EB5">
        <w:t>).</w:t>
      </w:r>
    </w:p>
    <w:p w:rsidR="00005D05" w:rsidRDefault="008008FE" w:rsidP="00E92310">
      <w:pPr>
        <w:jc w:val="both"/>
      </w:pPr>
      <w:r>
        <w:lastRenderedPageBreak/>
        <w:t xml:space="preserve">The inter-exemplar similarity is </w:t>
      </w:r>
      <w:r w:rsidR="00005D05">
        <w:t xml:space="preserve">derived from a Euclidean distance between the two dot patterns i and j as represented by points in the six-dimensional </w:t>
      </w:r>
      <w:r w:rsidR="00970EB5">
        <w:t>psychological</w:t>
      </w:r>
      <w:r w:rsidR="00005D05">
        <w:t xml:space="preserve"> space, as </w:t>
      </w:r>
      <w:r w:rsidR="001D6FF2">
        <w:t>in</w:t>
      </w:r>
      <w:r w:rsidR="00005D05">
        <w:t xml:space="preserve"> equation (2). </w:t>
      </w:r>
    </w:p>
    <w:p w:rsidR="00005D05" w:rsidRDefault="00005D05" w:rsidP="00E92310">
      <w:pPr>
        <w:jc w:val="both"/>
      </w:pP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m:t>
                            </m:r>
                          </m:sub>
                        </m:sSub>
                        <m:r>
                          <w:rPr>
                            <w:rFonts w:ascii="Cambria Math" w:hAnsi="Cambria Math"/>
                          </w:rPr>
                          <m:t>)</m:t>
                        </m:r>
                      </m:e>
                      <m:sup>
                        <m:r>
                          <w:rPr>
                            <w:rFonts w:ascii="Cambria Math" w:hAnsi="Cambria Math"/>
                          </w:rPr>
                          <m:t>2</m:t>
                        </m:r>
                      </m:sup>
                    </m:sSup>
                  </m:e>
                </m:nary>
              </m:e>
            </m:d>
          </m:e>
          <m:sup>
            <m:r>
              <w:rPr>
                <w:rFonts w:ascii="Cambria Math" w:hAnsi="Cambria Math"/>
              </w:rPr>
              <m:t>1/2</m:t>
            </m:r>
          </m:sup>
        </m:sSup>
      </m:oMath>
      <w:r>
        <w:t xml:space="preserve">                                                                                   (2)</w:t>
      </w:r>
    </w:p>
    <w:p w:rsidR="00005D05" w:rsidRDefault="00970EB5" w:rsidP="00E92310">
      <w:pPr>
        <w:jc w:val="both"/>
      </w:pPr>
      <w:r>
        <w:t>w</w:t>
      </w:r>
      <w:r w:rsidR="00005D05">
        <w:t xml:space="preserve">here </w:t>
      </w:r>
      <m:oMath>
        <m:sSub>
          <m:sSubPr>
            <m:ctrlPr>
              <w:rPr>
                <w:rFonts w:ascii="Cambria Math" w:hAnsi="Cambria Math"/>
                <w:i/>
              </w:rPr>
            </m:ctrlPr>
          </m:sSubPr>
          <m:e>
            <m:r>
              <w:rPr>
                <w:rFonts w:ascii="Cambria Math" w:hAnsi="Cambria Math"/>
              </w:rPr>
              <m:t>x</m:t>
            </m:r>
          </m:e>
          <m:sub>
            <m:r>
              <w:rPr>
                <w:rFonts w:ascii="Cambria Math" w:hAnsi="Cambria Math"/>
              </w:rPr>
              <m:t>im</m:t>
            </m:r>
          </m:sub>
        </m:sSub>
      </m:oMath>
      <w:r w:rsidR="00005D05">
        <w:t xml:space="preserve"> represents the </w:t>
      </w:r>
      <w:r w:rsidR="001D6FF2">
        <w:t xml:space="preserve">coordinate of </w:t>
      </w:r>
      <w:r>
        <w:t>exemplar</w:t>
      </w:r>
      <w:r w:rsidR="001D6FF2">
        <w:t xml:space="preserve"> i on dimension m in the six-dimensional psychological space</w:t>
      </w:r>
      <w:r w:rsidR="00005D05">
        <w:t xml:space="preserve">. </w:t>
      </w:r>
      <w:r w:rsidR="001D6FF2">
        <w:t>The similarity measure is an exponential decay function of the distance, as in equation (3)</w:t>
      </w:r>
    </w:p>
    <w:p w:rsidR="001D6FF2" w:rsidRDefault="00970EB5" w:rsidP="00E92310">
      <w:pPr>
        <w:jc w:val="both"/>
      </w:pPr>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ij</m:t>
                </m:r>
              </m:sub>
            </m:sSub>
          </m:sup>
        </m:sSup>
      </m:oMath>
      <w:r w:rsidR="001D6FF2">
        <w:t xml:space="preserve">        </w:t>
      </w:r>
      <w:r>
        <w:t xml:space="preserve">                                                                                                       </w:t>
      </w:r>
      <w:r w:rsidR="001D6FF2">
        <w:t xml:space="preserve">   (</w:t>
      </w:r>
      <w:r>
        <w:t>3</w:t>
      </w:r>
      <w:r w:rsidR="001D6FF2">
        <w:t>)</w:t>
      </w:r>
    </w:p>
    <w:p w:rsidR="00970EB5" w:rsidRDefault="00970EB5" w:rsidP="00E92310">
      <w:pPr>
        <w:jc w:val="both"/>
      </w:pPr>
      <w:r>
        <w:t xml:space="preserve">where the sensitivity parameter c reflects subjects’ overall discriminability in the psychological space. </w:t>
      </w:r>
    </w:p>
    <w:p w:rsidR="00970EB5" w:rsidRDefault="00970EB5" w:rsidP="00E92310">
      <w:pPr>
        <w:jc w:val="both"/>
      </w:pPr>
      <w:r>
        <w:t>In the experiment 2</w:t>
      </w:r>
      <w:r w:rsidR="00CA10C3">
        <w:t xml:space="preserve"> and experiment 3</w:t>
      </w:r>
      <w:r>
        <w:t xml:space="preserve">, </w:t>
      </w:r>
      <w:r w:rsidR="00AA1F06">
        <w:t xml:space="preserve">the </w:t>
      </w:r>
      <w:r w:rsidR="00AA1F06">
        <w:t xml:space="preserve">overall familiarity </w:t>
      </w:r>
      <w:r w:rsidR="00C66564">
        <w:t>for</w:t>
      </w:r>
      <w:r w:rsidR="00AA1F06">
        <w:t xml:space="preserve"> a transfer pattern</w:t>
      </w:r>
      <w:r w:rsidR="00AA1F06">
        <w:t xml:space="preserve"> i is defined as the summed similarity of the pattern i to </w:t>
      </w:r>
      <w:r w:rsidR="00C66564">
        <w:t>all the training patterns in all three categories</w:t>
      </w:r>
      <w:r w:rsidR="00CA10C3">
        <w:t xml:space="preserve">, with </w:t>
      </w:r>
      <w:r w:rsidR="00C66564">
        <w:t>background noise and resp</w:t>
      </w:r>
      <w:r w:rsidR="000C764D">
        <w:t>onse-scaling parameter included</w:t>
      </w:r>
      <w:r w:rsidR="00CA10C3">
        <w:t xml:space="preserve"> to mirror the same cognitive processes as in the experiment 1</w:t>
      </w:r>
      <w:r w:rsidR="00AA1F06">
        <w:t xml:space="preserve">. The probability with which the pattern i is </w:t>
      </w:r>
      <w:r w:rsidR="00C66564">
        <w:t xml:space="preserve">judged as an old item is then </w:t>
      </w:r>
      <w:r w:rsidR="00AA1F06">
        <w:t xml:space="preserve">computed as the </w:t>
      </w:r>
      <w:r w:rsidR="00C66564">
        <w:t>overall familiarity divided by the sum of the overall familiarity and a criterion parameter</w:t>
      </w:r>
      <w:r w:rsidR="00AA1F06">
        <w:t>, which can expressed by equation (</w:t>
      </w:r>
      <w:r w:rsidR="00C66564">
        <w:t>4</w:t>
      </w:r>
      <w:r w:rsidR="00AA1F06">
        <w:t>).</w:t>
      </w:r>
    </w:p>
    <w:p w:rsidR="000C764D" w:rsidRDefault="000C764D" w:rsidP="00E92310">
      <w:pPr>
        <w:jc w:val="both"/>
      </w:pPr>
      <w:r>
        <w:t xml:space="preserve">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old|</m:t>
                </m:r>
                <m:sSub>
                  <m:sSubPr>
                    <m:ctrlPr>
                      <w:rPr>
                        <w:rFonts w:ascii="Cambria Math" w:hAnsi="Cambria Math"/>
                        <w:i/>
                      </w:rPr>
                    </m:ctrlPr>
                  </m:sSubPr>
                  <m:e>
                    <m:r>
                      <w:rPr>
                        <w:rFonts w:ascii="Cambria Math" w:hAnsi="Cambria Math"/>
                      </w:rPr>
                      <m:t>S</m:t>
                    </m:r>
                  </m:e>
                  <m:sub>
                    <m:r>
                      <w:rPr>
                        <w:rFonts w:ascii="Cambria Math" w:hAnsi="Cambria Math"/>
                      </w:rPr>
                      <m:t>i</m:t>
                    </m:r>
                  </m:sub>
                </m:sSub>
              </m:e>
            </m:d>
          </m:e>
        </m:func>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K</m:t>
                    </m:r>
                  </m:sub>
                </m:sSub>
                <m:r>
                  <m:rPr>
                    <m:scr m:val="script"/>
                  </m:rP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K</m:t>
                        </m:r>
                      </m:sub>
                    </m:sSub>
                  </m:sub>
                  <m:sup/>
                  <m:e>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cond</m:t>
                                </m:r>
                              </m:sub>
                            </m:sSub>
                            <m:r>
                              <w:rPr>
                                <w:rFonts w:ascii="Cambria Math" w:hAnsi="Cambria Math"/>
                              </w:rPr>
                              <m:t>(S</m:t>
                            </m:r>
                          </m:e>
                          <m:sub>
                            <m:r>
                              <w:rPr>
                                <w:rFonts w:ascii="Cambria Math" w:hAnsi="Cambria Math"/>
                              </w:rPr>
                              <m:t>ik</m:t>
                            </m:r>
                          </m:sub>
                        </m:sSub>
                        <m:r>
                          <w:rPr>
                            <w:rFonts w:ascii="Cambria Math" w:hAnsi="Cambria Math"/>
                          </w:rPr>
                          <m:t>+β)</m:t>
                        </m:r>
                      </m:e>
                      <m:sup>
                        <m:r>
                          <w:rPr>
                            <w:rFonts w:ascii="Cambria Math" w:hAnsi="Cambria Math"/>
                          </w:rPr>
                          <m:t>γ</m:t>
                        </m:r>
                      </m:sup>
                    </m:sSup>
                  </m:e>
                </m:nary>
              </m:e>
            </m:nary>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K</m:t>
                    </m:r>
                  </m:sub>
                </m:sSub>
                <m:r>
                  <m:rPr>
                    <m:scr m:val="script"/>
                  </m:rP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N</m:t>
                        </m:r>
                      </m:e>
                      <m:sub>
                        <m:r>
                          <w:rPr>
                            <w:rFonts w:ascii="Cambria Math" w:hAnsi="Cambria Math"/>
                          </w:rPr>
                          <m:t>cond</m:t>
                        </m:r>
                      </m:sub>
                    </m:sSub>
                  </m:sub>
                  <m:sup/>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+β)</m:t>
                        </m:r>
                      </m:e>
                      <m:sup>
                        <m:r>
                          <w:rPr>
                            <w:rFonts w:ascii="Cambria Math" w:hAnsi="Cambria Math"/>
                          </w:rPr>
                          <m:t>γ</m:t>
                        </m:r>
                      </m:sup>
                    </m:sSup>
                  </m:e>
                </m:nary>
              </m:e>
            </m:nary>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cond</m:t>
                </m:r>
              </m:sub>
            </m:sSub>
          </m:den>
        </m:f>
      </m:oMath>
      <w:r>
        <w:t xml:space="preserve">                                                      </w:t>
      </w:r>
      <w:r>
        <w:t xml:space="preserve">              (</w:t>
      </w:r>
      <w:r>
        <w:t>4</w:t>
      </w:r>
      <w:r>
        <w:t>)</w:t>
      </w:r>
    </w:p>
    <w:p w:rsidR="000C764D" w:rsidRDefault="000C764D" w:rsidP="00E92310">
      <w:pPr>
        <w:jc w:val="both"/>
      </w:pPr>
      <w:r>
        <w:t xml:space="preserve">where </w:t>
      </w:r>
      <m:oMath>
        <m:sSub>
          <m:sSubPr>
            <m:ctrlPr>
              <w:rPr>
                <w:rFonts w:ascii="Cambria Math" w:hAnsi="Cambria Math"/>
                <w:i/>
              </w:rPr>
            </m:ctrlPr>
          </m:sSubPr>
          <m:e>
            <m:r>
              <w:rPr>
                <w:rFonts w:ascii="Cambria Math" w:hAnsi="Cambria Math"/>
              </w:rPr>
              <m:t>θ</m:t>
            </m:r>
          </m:e>
          <m:sub>
            <m:r>
              <w:rPr>
                <w:rFonts w:ascii="Cambria Math" w:hAnsi="Cambria Math"/>
              </w:rPr>
              <m:t>cond</m:t>
            </m:r>
          </m:sub>
        </m:sSub>
      </m:oMath>
      <w:r w:rsidR="00164B21">
        <w:t xml:space="preserve"> represents </w:t>
      </w:r>
      <w:r w:rsidR="00CA10C3">
        <w:t xml:space="preserve">four </w:t>
      </w:r>
      <w:r w:rsidR="00164B21">
        <w:t xml:space="preserve">free parameters to be estimated </w:t>
      </w:r>
      <w:r w:rsidR="00CA10C3">
        <w:t xml:space="preserve">for </w:t>
      </w:r>
      <w:r w:rsidR="00164B21">
        <w:t>the two learning conditions</w:t>
      </w:r>
      <w:r w:rsidR="00CA10C3">
        <w:t xml:space="preserve"> in the two experiments</w:t>
      </w:r>
      <w:r w:rsidR="00164B21">
        <w:t xml:space="preserve"> separately (i.e. </w:t>
      </w:r>
      <m:oMath>
        <m:sSub>
          <m:sSubPr>
            <m:ctrlPr>
              <w:rPr>
                <w:rFonts w:ascii="Cambria Math" w:hAnsi="Cambria Math"/>
                <w:i/>
              </w:rPr>
            </m:ctrlPr>
          </m:sSubPr>
          <m:e>
            <m:r>
              <w:rPr>
                <w:rFonts w:ascii="Cambria Math" w:hAnsi="Cambria Math"/>
              </w:rPr>
              <m:t>θ</m:t>
            </m:r>
          </m:e>
          <m:sub>
            <m:r>
              <w:rPr>
                <w:rFonts w:ascii="Cambria Math" w:hAnsi="Cambria Math"/>
              </w:rPr>
              <m:t>rep</m:t>
            </m:r>
            <m:r>
              <w:rPr>
                <w:rFonts w:ascii="Cambria Math" w:hAnsi="Cambria Math"/>
              </w:rPr>
              <m:t>,   expt2</m:t>
            </m:r>
          </m:sub>
        </m:sSub>
      </m:oMath>
      <w:r w:rsidR="00CA10C3">
        <w:t>,</w:t>
      </w:r>
      <w:r w:rsidR="00164B21">
        <w:t xml:space="preserve"> </w:t>
      </w:r>
      <m:oMath>
        <m:sSub>
          <m:sSubPr>
            <m:ctrlPr>
              <w:rPr>
                <w:rFonts w:ascii="Cambria Math" w:hAnsi="Cambria Math"/>
                <w:i/>
              </w:rPr>
            </m:ctrlPr>
          </m:sSubPr>
          <m:e>
            <m:r>
              <w:rPr>
                <w:rFonts w:ascii="Cambria Math" w:hAnsi="Cambria Math"/>
              </w:rPr>
              <m:t>θ</m:t>
            </m:r>
          </m:e>
          <m:sub>
            <m:r>
              <w:rPr>
                <w:rFonts w:ascii="Cambria Math" w:hAnsi="Cambria Math"/>
              </w:rPr>
              <m:t>nrep</m:t>
            </m:r>
            <m:r>
              <w:rPr>
                <w:rFonts w:ascii="Cambria Math" w:hAnsi="Cambria Math"/>
              </w:rPr>
              <m:t>,   expt2</m:t>
            </m:r>
          </m:sub>
        </m:sSub>
      </m:oMath>
      <w:r w:rsidR="00CA10C3">
        <w:t xml:space="preserve">, </w:t>
      </w:r>
      <m:oMath>
        <m:sSub>
          <m:sSubPr>
            <m:ctrlPr>
              <w:rPr>
                <w:rFonts w:ascii="Cambria Math" w:hAnsi="Cambria Math"/>
                <w:i/>
              </w:rPr>
            </m:ctrlPr>
          </m:sSubPr>
          <m:e>
            <m:r>
              <w:rPr>
                <w:rFonts w:ascii="Cambria Math" w:hAnsi="Cambria Math"/>
              </w:rPr>
              <m:t>θ</m:t>
            </m:r>
          </m:e>
          <m:sub>
            <m:r>
              <w:rPr>
                <w:rFonts w:ascii="Cambria Math" w:hAnsi="Cambria Math"/>
              </w:rPr>
              <m:t>rep,   expt</m:t>
            </m:r>
            <m:r>
              <w:rPr>
                <w:rFonts w:ascii="Cambria Math" w:hAnsi="Cambria Math"/>
              </w:rPr>
              <m:t>3</m:t>
            </m:r>
          </m:sub>
        </m:sSub>
      </m:oMath>
      <w:r w:rsidR="00CA10C3">
        <w:t xml:space="preserve"> and </w:t>
      </w:r>
      <m:oMath>
        <m:sSub>
          <m:sSubPr>
            <m:ctrlPr>
              <w:rPr>
                <w:rFonts w:ascii="Cambria Math" w:hAnsi="Cambria Math"/>
                <w:i/>
              </w:rPr>
            </m:ctrlPr>
          </m:sSubPr>
          <m:e>
            <m:r>
              <w:rPr>
                <w:rFonts w:ascii="Cambria Math" w:hAnsi="Cambria Math"/>
              </w:rPr>
              <m:t>θ</m:t>
            </m:r>
          </m:e>
          <m:sub>
            <m:r>
              <w:rPr>
                <w:rFonts w:ascii="Cambria Math" w:hAnsi="Cambria Math"/>
              </w:rPr>
              <m:t>nrep,   expt</m:t>
            </m:r>
            <m:r>
              <w:rPr>
                <w:rFonts w:ascii="Cambria Math" w:hAnsi="Cambria Math"/>
              </w:rPr>
              <m:t>3</m:t>
            </m:r>
          </m:sub>
        </m:sSub>
      </m:oMath>
      <w:r w:rsidR="00164B21">
        <w:t xml:space="preserve">). It reflects the criterion in making old recognition judgement. Larger </w:t>
      </w:r>
      <m:oMath>
        <m:sSub>
          <m:sSubPr>
            <m:ctrlPr>
              <w:rPr>
                <w:rFonts w:ascii="Cambria Math" w:hAnsi="Cambria Math"/>
                <w:i/>
              </w:rPr>
            </m:ctrlPr>
          </m:sSubPr>
          <m:e>
            <m:r>
              <w:rPr>
                <w:rFonts w:ascii="Cambria Math" w:hAnsi="Cambria Math"/>
              </w:rPr>
              <m:t>θ</m:t>
            </m:r>
          </m:e>
          <m:sub>
            <m:r>
              <w:rPr>
                <w:rFonts w:ascii="Cambria Math" w:hAnsi="Cambria Math"/>
              </w:rPr>
              <m:t>cond</m:t>
            </m:r>
          </m:sub>
        </m:sSub>
      </m:oMath>
      <w:r w:rsidR="00164B21">
        <w:t xml:space="preserve">  means more strict criterion and smaller </w:t>
      </w:r>
      <m:oMath>
        <m:sSub>
          <m:sSubPr>
            <m:ctrlPr>
              <w:rPr>
                <w:rFonts w:ascii="Cambria Math" w:hAnsi="Cambria Math"/>
                <w:i/>
              </w:rPr>
            </m:ctrlPr>
          </m:sSubPr>
          <m:e>
            <m:r>
              <w:rPr>
                <w:rFonts w:ascii="Cambria Math" w:hAnsi="Cambria Math"/>
              </w:rPr>
              <m:t>θ</m:t>
            </m:r>
          </m:e>
          <m:sub>
            <m:r>
              <w:rPr>
                <w:rFonts w:ascii="Cambria Math" w:hAnsi="Cambria Math"/>
              </w:rPr>
              <m:t>cond</m:t>
            </m:r>
          </m:sub>
        </m:sSub>
      </m:oMath>
      <w:r w:rsidR="00164B21">
        <w:t xml:space="preserve"> means more lenient criterion. </w:t>
      </w:r>
      <m:oMath>
        <m:sSub>
          <m:sSubPr>
            <m:ctrlPr>
              <w:rPr>
                <w:rFonts w:ascii="Cambria Math" w:hAnsi="Cambria Math"/>
                <w:i/>
              </w:rPr>
            </m:ctrlPr>
          </m:sSubPr>
          <m:e>
            <m:r>
              <w:rPr>
                <w:rFonts w:ascii="Cambria Math" w:hAnsi="Cambria Math"/>
              </w:rPr>
              <m:t>N</m:t>
            </m:r>
          </m:e>
          <m:sub>
            <m:r>
              <w:rPr>
                <w:rFonts w:ascii="Cambria Math" w:hAnsi="Cambria Math"/>
              </w:rPr>
              <m:t>rep</m:t>
            </m:r>
          </m:sub>
        </m:sSub>
      </m:oMath>
      <w:r w:rsidR="00164B21">
        <w:t xml:space="preserve"> is also changed to 20 </w:t>
      </w:r>
      <w:r w:rsidR="00CA10C3">
        <w:t>in these experiments as there were 20 learning blocks.</w:t>
      </w:r>
    </w:p>
    <w:p w:rsidR="00C66564" w:rsidRDefault="00264A5F" w:rsidP="00E92310">
      <w:pPr>
        <w:jc w:val="both"/>
      </w:pPr>
      <w:r>
        <w:t xml:space="preserve">Across the three experiments, </w:t>
      </w:r>
      <w:r w:rsidR="00633EF2">
        <w:t xml:space="preserve">9 freely-varying parameters were estimated: between-category distance, within-category distance, sensitivity parameter c, background noise </w:t>
      </w:r>
      <m:oMath>
        <m:r>
          <w:rPr>
            <w:rFonts w:ascii="Cambria Math" w:hAnsi="Cambria Math"/>
          </w:rPr>
          <m:t>β</m:t>
        </m:r>
      </m:oMath>
      <w:r w:rsidR="00633EF2">
        <w:t xml:space="preserve">, response-scaling parameter </w:t>
      </w:r>
      <m:oMath>
        <m:r>
          <w:rPr>
            <w:rFonts w:ascii="Cambria Math" w:hAnsi="Cambria Math"/>
          </w:rPr>
          <m:t>γ</m:t>
        </m:r>
      </m:oMath>
      <w:r w:rsidR="00633EF2">
        <w:t xml:space="preserve">, and criterion parameters </w:t>
      </w:r>
      <m:oMath>
        <m:sSub>
          <m:sSubPr>
            <m:ctrlPr>
              <w:rPr>
                <w:rFonts w:ascii="Cambria Math" w:hAnsi="Cambria Math"/>
                <w:i/>
              </w:rPr>
            </m:ctrlPr>
          </m:sSubPr>
          <m:e>
            <m:r>
              <w:rPr>
                <w:rFonts w:ascii="Cambria Math" w:hAnsi="Cambria Math"/>
              </w:rPr>
              <m:t>θ</m:t>
            </m:r>
          </m:e>
          <m:sub>
            <m:r>
              <w:rPr>
                <w:rFonts w:ascii="Cambria Math" w:hAnsi="Cambria Math"/>
              </w:rPr>
              <m:t>cond</m:t>
            </m:r>
          </m:sub>
        </m:sSub>
      </m:oMath>
      <w:r w:rsidR="00633EF2">
        <w:t xml:space="preserve">. </w:t>
      </w:r>
    </w:p>
    <w:p w:rsidR="00D24587" w:rsidRDefault="000F3F42" w:rsidP="00E92310">
      <w:pPr>
        <w:jc w:val="both"/>
      </w:pPr>
      <w:r>
        <w:t>Probabilities of the correct classifications in the experiment 1 and of the old recognitions in the experiment 2 by learning conditions and item types were predicted by simulating the experimental processes once. To obtain a reliable result of the mean proportions across subjects as in Homa et al. (2019), the experimental processes were iterated by 10000 times, and the predicted probabilities were averaged across iterations.</w:t>
      </w:r>
      <w:r w:rsidR="00E92310">
        <w:t xml:space="preserve"> </w:t>
      </w:r>
      <w:r w:rsidR="00D24587">
        <w:t xml:space="preserve">For simplicity, </w:t>
      </w:r>
      <w:r w:rsidR="00D77221">
        <w:t>the prototype of the first category as defined in each iteration was always selected to construct test patterns from. We believe</w:t>
      </w:r>
      <w:r w:rsidR="00346E0C">
        <w:t xml:space="preserve"> that</w:t>
      </w:r>
      <w:r w:rsidR="00D77221">
        <w:t xml:space="preserve"> our model doesn’t lose generality as the prototypes were arbitrarily assigned </w:t>
      </w:r>
      <w:r w:rsidR="00F9112D">
        <w:t>in</w:t>
      </w:r>
      <w:r w:rsidR="00D77221">
        <w:t xml:space="preserve"> each iteration</w:t>
      </w:r>
      <w:bookmarkStart w:id="0" w:name="_GoBack"/>
      <w:bookmarkEnd w:id="0"/>
      <w:r w:rsidR="00D77221">
        <w:t xml:space="preserve">. </w:t>
      </w:r>
    </w:p>
    <w:sectPr w:rsidR="00D245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FCB" w:rsidRDefault="00663FCB" w:rsidP="00B173C0">
      <w:pPr>
        <w:spacing w:after="0" w:line="240" w:lineRule="auto"/>
      </w:pPr>
      <w:r>
        <w:separator/>
      </w:r>
    </w:p>
  </w:endnote>
  <w:endnote w:type="continuationSeparator" w:id="0">
    <w:p w:rsidR="00663FCB" w:rsidRDefault="00663FCB" w:rsidP="00B1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FCB" w:rsidRDefault="00663FCB" w:rsidP="00B173C0">
      <w:pPr>
        <w:spacing w:after="0" w:line="240" w:lineRule="auto"/>
      </w:pPr>
      <w:r>
        <w:separator/>
      </w:r>
    </w:p>
  </w:footnote>
  <w:footnote w:type="continuationSeparator" w:id="0">
    <w:p w:rsidR="00663FCB" w:rsidRDefault="00663FCB" w:rsidP="00B17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3383"/>
    <w:multiLevelType w:val="hybridMultilevel"/>
    <w:tmpl w:val="C0AE58FE"/>
    <w:lvl w:ilvl="0" w:tplc="0186A8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D70E6"/>
    <w:multiLevelType w:val="hybridMultilevel"/>
    <w:tmpl w:val="8B5CEEB2"/>
    <w:lvl w:ilvl="0" w:tplc="3F72804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0C"/>
    <w:rsid w:val="00005D05"/>
    <w:rsid w:val="00025813"/>
    <w:rsid w:val="000A4342"/>
    <w:rsid w:val="000B61BA"/>
    <w:rsid w:val="000C1C2E"/>
    <w:rsid w:val="000C36A4"/>
    <w:rsid w:val="000C4610"/>
    <w:rsid w:val="000C764D"/>
    <w:rsid w:val="000E718C"/>
    <w:rsid w:val="000F1F8F"/>
    <w:rsid w:val="000F3F42"/>
    <w:rsid w:val="00110282"/>
    <w:rsid w:val="001219F6"/>
    <w:rsid w:val="00122664"/>
    <w:rsid w:val="00145993"/>
    <w:rsid w:val="00164B21"/>
    <w:rsid w:val="001B0E56"/>
    <w:rsid w:val="001B1F16"/>
    <w:rsid w:val="001B219F"/>
    <w:rsid w:val="001C3F61"/>
    <w:rsid w:val="001D3D76"/>
    <w:rsid w:val="001D6FF2"/>
    <w:rsid w:val="001E4EEB"/>
    <w:rsid w:val="001E57AC"/>
    <w:rsid w:val="0021619B"/>
    <w:rsid w:val="002244E1"/>
    <w:rsid w:val="00247DD5"/>
    <w:rsid w:val="00257DE2"/>
    <w:rsid w:val="00264A5F"/>
    <w:rsid w:val="00280EE2"/>
    <w:rsid w:val="002B0051"/>
    <w:rsid w:val="002E6F46"/>
    <w:rsid w:val="002F374B"/>
    <w:rsid w:val="003072E7"/>
    <w:rsid w:val="0031152A"/>
    <w:rsid w:val="00332D06"/>
    <w:rsid w:val="003460F8"/>
    <w:rsid w:val="00346E0C"/>
    <w:rsid w:val="0035274B"/>
    <w:rsid w:val="003878CB"/>
    <w:rsid w:val="00393057"/>
    <w:rsid w:val="003B523E"/>
    <w:rsid w:val="003C6BCB"/>
    <w:rsid w:val="00410592"/>
    <w:rsid w:val="00432F19"/>
    <w:rsid w:val="00435EF7"/>
    <w:rsid w:val="004A0120"/>
    <w:rsid w:val="00501A74"/>
    <w:rsid w:val="00522F99"/>
    <w:rsid w:val="005349B6"/>
    <w:rsid w:val="00556187"/>
    <w:rsid w:val="005E414D"/>
    <w:rsid w:val="005E48A0"/>
    <w:rsid w:val="006328BB"/>
    <w:rsid w:val="00633EF2"/>
    <w:rsid w:val="00636AEF"/>
    <w:rsid w:val="00656F90"/>
    <w:rsid w:val="006625E4"/>
    <w:rsid w:val="00663FCB"/>
    <w:rsid w:val="0068304A"/>
    <w:rsid w:val="006A1D75"/>
    <w:rsid w:val="006B245D"/>
    <w:rsid w:val="006D08E0"/>
    <w:rsid w:val="007002A7"/>
    <w:rsid w:val="00725F46"/>
    <w:rsid w:val="0076586D"/>
    <w:rsid w:val="00797F56"/>
    <w:rsid w:val="007F6CDB"/>
    <w:rsid w:val="008008FE"/>
    <w:rsid w:val="0080146E"/>
    <w:rsid w:val="00812E98"/>
    <w:rsid w:val="0082179A"/>
    <w:rsid w:val="00830A8E"/>
    <w:rsid w:val="00872EB2"/>
    <w:rsid w:val="008B78C1"/>
    <w:rsid w:val="008B7920"/>
    <w:rsid w:val="008C5D13"/>
    <w:rsid w:val="009229B0"/>
    <w:rsid w:val="009555A1"/>
    <w:rsid w:val="00955A34"/>
    <w:rsid w:val="00963898"/>
    <w:rsid w:val="00970EB5"/>
    <w:rsid w:val="009A5697"/>
    <w:rsid w:val="009C3041"/>
    <w:rsid w:val="009D7300"/>
    <w:rsid w:val="00A613BA"/>
    <w:rsid w:val="00AA1F06"/>
    <w:rsid w:val="00AA20DF"/>
    <w:rsid w:val="00AD6939"/>
    <w:rsid w:val="00AE0B35"/>
    <w:rsid w:val="00AF5AC0"/>
    <w:rsid w:val="00B066EB"/>
    <w:rsid w:val="00B173C0"/>
    <w:rsid w:val="00B3298B"/>
    <w:rsid w:val="00B63127"/>
    <w:rsid w:val="00B80EBF"/>
    <w:rsid w:val="00B84616"/>
    <w:rsid w:val="00BC78C7"/>
    <w:rsid w:val="00BE169D"/>
    <w:rsid w:val="00C1326A"/>
    <w:rsid w:val="00C15B0C"/>
    <w:rsid w:val="00C1647E"/>
    <w:rsid w:val="00C66564"/>
    <w:rsid w:val="00C74948"/>
    <w:rsid w:val="00C855A7"/>
    <w:rsid w:val="00CA10C3"/>
    <w:rsid w:val="00CD0EF1"/>
    <w:rsid w:val="00D24587"/>
    <w:rsid w:val="00D76758"/>
    <w:rsid w:val="00D77221"/>
    <w:rsid w:val="00DB68DD"/>
    <w:rsid w:val="00DF228E"/>
    <w:rsid w:val="00E87DA8"/>
    <w:rsid w:val="00E92310"/>
    <w:rsid w:val="00EA5E86"/>
    <w:rsid w:val="00EC0A6A"/>
    <w:rsid w:val="00EC0F5A"/>
    <w:rsid w:val="00F43B7C"/>
    <w:rsid w:val="00F808E8"/>
    <w:rsid w:val="00F80C61"/>
    <w:rsid w:val="00F902AF"/>
    <w:rsid w:val="00F9112D"/>
    <w:rsid w:val="00FB632D"/>
    <w:rsid w:val="00FB6A10"/>
    <w:rsid w:val="00FF7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163B"/>
  <w15:chartTrackingRefBased/>
  <w15:docId w15:val="{6EBDDE48-6110-42EA-B0F2-E594EA48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5D"/>
    <w:pPr>
      <w:ind w:left="720"/>
      <w:contextualSpacing/>
    </w:pPr>
  </w:style>
  <w:style w:type="paragraph" w:styleId="Header">
    <w:name w:val="header"/>
    <w:basedOn w:val="Normal"/>
    <w:link w:val="HeaderChar"/>
    <w:uiPriority w:val="99"/>
    <w:unhideWhenUsed/>
    <w:rsid w:val="00B1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3C0"/>
  </w:style>
  <w:style w:type="paragraph" w:styleId="Footer">
    <w:name w:val="footer"/>
    <w:basedOn w:val="Normal"/>
    <w:link w:val="FooterChar"/>
    <w:uiPriority w:val="99"/>
    <w:unhideWhenUsed/>
    <w:rsid w:val="00B1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3C0"/>
  </w:style>
  <w:style w:type="character" w:styleId="PlaceholderText">
    <w:name w:val="Placeholder Text"/>
    <w:basedOn w:val="DefaultParagraphFont"/>
    <w:uiPriority w:val="99"/>
    <w:semiHidden/>
    <w:rsid w:val="00FB6A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49AC3-C5CD-4B1E-934B-578C36D23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3814</TotalTime>
  <Pages>10</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27</cp:revision>
  <dcterms:created xsi:type="dcterms:W3CDTF">2020-05-10T20:30:00Z</dcterms:created>
  <dcterms:modified xsi:type="dcterms:W3CDTF">2020-05-23T01:48:00Z</dcterms:modified>
</cp:coreProperties>
</file>