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E7D93">
      <w:pPr>
        <w:bidi w:val="0"/>
        <w:jc w:val="center"/>
        <w:rPr>
          <w:rFonts w:hint="eastAsia"/>
          <w:lang w:val="en-US" w:eastAsia="zh-CN"/>
        </w:rPr>
      </w:pPr>
      <w:r>
        <w:rPr>
          <w:rFonts w:hint="eastAsia"/>
          <w:lang w:val="en-US" w:eastAsia="zh-CN"/>
        </w:rPr>
        <w:t>机器人与人工智能大赛</w:t>
      </w:r>
    </w:p>
    <w:p w14:paraId="7F7F1BC7">
      <w:pPr>
        <w:rPr>
          <w:rFonts w:hint="eastAsia"/>
          <w:lang w:val="en-US" w:eastAsia="zh-CN"/>
        </w:rPr>
      </w:pPr>
    </w:p>
    <w:p w14:paraId="2AD1510B">
      <w:pPr>
        <w:pStyle w:val="3"/>
        <w:bidi w:val="0"/>
        <w:rPr>
          <w:rFonts w:hint="eastAsia"/>
          <w:sz w:val="72"/>
          <w:szCs w:val="72"/>
          <w:lang w:val="en-US" w:eastAsia="zh-CN"/>
        </w:rPr>
      </w:pPr>
      <w:bookmarkStart w:id="0" w:name="_Toc31060"/>
      <w:r>
        <w:rPr>
          <w:rFonts w:hint="eastAsia"/>
          <w:sz w:val="72"/>
          <w:szCs w:val="72"/>
          <w:lang w:val="en-US" w:eastAsia="zh-CN"/>
        </w:rPr>
        <w:t>项目研究报告</w:t>
      </w:r>
      <w:bookmarkEnd w:id="0"/>
    </w:p>
    <w:tbl>
      <w:tblPr>
        <w:tblStyle w:val="90"/>
        <w:tblW w:w="596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4607"/>
      </w:tblGrid>
      <w:tr w14:paraId="6B2D98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top"/>
          </w:tcPr>
          <w:p w14:paraId="61252EFC">
            <w:pPr>
              <w:snapToGrid w:val="0"/>
              <w:spacing w:after="0"/>
              <w:ind w:left="0" w:leftChars="0" w:firstLine="0" w:firstLineChars="0"/>
              <w:rPr>
                <w:rFonts w:hint="default"/>
                <w:sz w:val="24"/>
                <w:szCs w:val="24"/>
                <w:vertAlign w:val="baseline"/>
                <w:lang w:val="en-US" w:eastAsia="zh-CN"/>
              </w:rPr>
            </w:pPr>
            <w:r>
              <w:rPr>
                <w:rFonts w:hint="eastAsia"/>
                <w:sz w:val="24"/>
                <w:szCs w:val="24"/>
                <w:vertAlign w:val="baseline"/>
                <w:lang w:val="en-US" w:eastAsia="zh-CN"/>
              </w:rPr>
              <w:t>项目名称</w:t>
            </w:r>
          </w:p>
        </w:tc>
        <w:tc>
          <w:tcPr>
            <w:tcW w:w="4607" w:type="dxa"/>
            <w:tcBorders>
              <w:top w:val="single" w:color="auto" w:sz="12" w:space="0"/>
              <w:left w:val="nil"/>
              <w:bottom w:val="nil"/>
              <w:right w:val="nil"/>
            </w:tcBorders>
            <w:noWrap w:val="0"/>
            <w:tcMar>
              <w:top w:w="-1" w:type="dxa"/>
              <w:left w:w="-1" w:type="dxa"/>
              <w:bottom w:w="-1" w:type="dxa"/>
              <w:right w:w="-1" w:type="dxa"/>
            </w:tcMar>
            <w:vAlign w:val="top"/>
          </w:tcPr>
          <w:p w14:paraId="36570CBE">
            <w:pPr>
              <w:snapToGrid w:val="0"/>
              <w:spacing w:after="0"/>
              <w:ind w:left="0" w:leftChars="0" w:firstLine="0" w:firstLineChars="0"/>
              <w:jc w:val="both"/>
              <w:rPr>
                <w:rFonts w:hint="default"/>
                <w:sz w:val="24"/>
                <w:szCs w:val="24"/>
                <w:vertAlign w:val="baseline"/>
                <w:lang w:val="en-US" w:eastAsia="zh-CN"/>
              </w:rPr>
            </w:pPr>
            <w:r>
              <w:rPr>
                <w:rFonts w:hint="default"/>
                <w:sz w:val="24"/>
                <w:szCs w:val="24"/>
                <w:vertAlign w:val="baseline"/>
                <w:lang w:val="en-US" w:eastAsia="zh-CN"/>
              </w:rPr>
              <w:t>智策惠民——基于大模型与证据链取证的政务资格审核系统</w:t>
            </w:r>
          </w:p>
        </w:tc>
      </w:tr>
      <w:tr w14:paraId="4FA579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top"/>
          </w:tcPr>
          <w:p w14:paraId="2D3D03AE">
            <w:pPr>
              <w:snapToGrid w:val="0"/>
              <w:spacing w:after="0"/>
              <w:ind w:left="0" w:leftChars="0" w:firstLine="0" w:firstLineChars="0"/>
              <w:rPr>
                <w:rFonts w:hint="default"/>
                <w:sz w:val="24"/>
                <w:szCs w:val="24"/>
                <w:vertAlign w:val="baseline"/>
                <w:lang w:val="en-US" w:eastAsia="zh-CN"/>
              </w:rPr>
            </w:pPr>
            <w:r>
              <w:rPr>
                <w:rFonts w:hint="eastAsia"/>
                <w:sz w:val="24"/>
                <w:szCs w:val="24"/>
                <w:vertAlign w:val="baseline"/>
                <w:lang w:val="en-US" w:eastAsia="zh-CN"/>
              </w:rPr>
              <w:t>项目赛道</w:t>
            </w:r>
          </w:p>
        </w:tc>
        <w:tc>
          <w:tcPr>
            <w:tcW w:w="4607" w:type="dxa"/>
            <w:tcBorders>
              <w:top w:val="single" w:color="auto" w:sz="4" w:space="0"/>
              <w:left w:val="nil"/>
              <w:bottom w:val="nil"/>
              <w:right w:val="nil"/>
            </w:tcBorders>
            <w:noWrap w:val="0"/>
            <w:tcMar>
              <w:top w:w="-1" w:type="dxa"/>
              <w:left w:w="-1" w:type="dxa"/>
              <w:bottom w:w="-1" w:type="dxa"/>
              <w:right w:w="-1" w:type="dxa"/>
            </w:tcMar>
            <w:vAlign w:val="top"/>
          </w:tcPr>
          <w:p w14:paraId="0567CCFF">
            <w:pPr>
              <w:snapToGrid w:val="0"/>
              <w:spacing w:after="0"/>
              <w:ind w:left="0" w:leftChars="0" w:firstLine="0" w:firstLineChars="0"/>
              <w:jc w:val="both"/>
              <w:rPr>
                <w:rFonts w:hint="default"/>
                <w:sz w:val="24"/>
                <w:szCs w:val="24"/>
                <w:vertAlign w:val="baseline"/>
                <w:lang w:val="en-US" w:eastAsia="zh-CN"/>
              </w:rPr>
            </w:pPr>
            <w:r>
              <w:rPr>
                <w:rFonts w:hint="eastAsia"/>
                <w:sz w:val="24"/>
                <w:szCs w:val="24"/>
                <w:vertAlign w:val="baseline"/>
                <w:lang w:val="en-US" w:eastAsia="zh-CN"/>
              </w:rPr>
              <w:t>人工智能创新赛</w:t>
            </w:r>
          </w:p>
        </w:tc>
      </w:tr>
      <w:tr w14:paraId="72180D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62" w:type="dxa"/>
            <w:tcBorders>
              <w:top w:val="nil"/>
              <w:left w:val="nil"/>
              <w:bottom w:val="single" w:color="auto" w:sz="12" w:space="0"/>
              <w:right w:val="nil"/>
            </w:tcBorders>
            <w:noWrap w:val="0"/>
            <w:tcMar>
              <w:top w:w="-1" w:type="dxa"/>
              <w:left w:w="-1" w:type="dxa"/>
              <w:bottom w:w="-1" w:type="dxa"/>
              <w:right w:w="-1" w:type="dxa"/>
            </w:tcMar>
            <w:vAlign w:val="top"/>
          </w:tcPr>
          <w:p w14:paraId="0050427F">
            <w:pPr>
              <w:snapToGrid w:val="0"/>
              <w:spacing w:after="0"/>
              <w:ind w:left="0" w:leftChars="0" w:firstLine="0" w:firstLineChars="0"/>
              <w:rPr>
                <w:rFonts w:hint="default"/>
                <w:sz w:val="24"/>
                <w:szCs w:val="24"/>
                <w:vertAlign w:val="baseline"/>
                <w:lang w:val="en-US" w:eastAsia="zh-CN"/>
              </w:rPr>
            </w:pPr>
            <w:r>
              <w:rPr>
                <w:rFonts w:hint="eastAsia"/>
                <w:sz w:val="24"/>
                <w:szCs w:val="24"/>
                <w:vertAlign w:val="baseline"/>
                <w:lang w:val="en-US" w:eastAsia="zh-CN"/>
              </w:rPr>
              <w:t>填写时间</w:t>
            </w:r>
          </w:p>
        </w:tc>
        <w:tc>
          <w:tcPr>
            <w:tcW w:w="4607" w:type="dxa"/>
            <w:tcBorders>
              <w:top w:val="nil"/>
              <w:left w:val="nil"/>
              <w:bottom w:val="single" w:color="auto" w:sz="12" w:space="0"/>
              <w:right w:val="nil"/>
            </w:tcBorders>
            <w:noWrap w:val="0"/>
            <w:tcMar>
              <w:top w:w="-1" w:type="dxa"/>
              <w:left w:w="-1" w:type="dxa"/>
              <w:bottom w:w="-1" w:type="dxa"/>
              <w:right w:w="-1" w:type="dxa"/>
            </w:tcMar>
            <w:vAlign w:val="top"/>
          </w:tcPr>
          <w:p w14:paraId="4CE251A8">
            <w:pPr>
              <w:snapToGrid w:val="0"/>
              <w:spacing w:after="0"/>
              <w:ind w:left="0" w:leftChars="0" w:firstLine="0" w:firstLineChars="0"/>
              <w:jc w:val="both"/>
              <w:rPr>
                <w:rFonts w:hint="default"/>
                <w:sz w:val="24"/>
                <w:szCs w:val="24"/>
                <w:vertAlign w:val="baseline"/>
                <w:lang w:val="en-US" w:eastAsia="zh-CN"/>
              </w:rPr>
            </w:pPr>
            <w:r>
              <w:rPr>
                <w:rFonts w:hint="eastAsia"/>
                <w:sz w:val="24"/>
                <w:szCs w:val="24"/>
                <w:vertAlign w:val="baseline"/>
                <w:lang w:val="en-US" w:eastAsia="zh-CN"/>
              </w:rPr>
              <w:t>2026年5月九日</w:t>
            </w:r>
          </w:p>
        </w:tc>
      </w:tr>
    </w:tbl>
    <w:p w14:paraId="48B798F6">
      <w:pPr>
        <w:ind w:left="0" w:leftChars="0" w:firstLine="0" w:firstLineChars="0"/>
        <w:rPr>
          <w:rFonts w:hint="default"/>
          <w:sz w:val="72"/>
          <w:szCs w:val="72"/>
          <w:lang w:val="en-US" w:eastAsia="zh-CN"/>
        </w:rPr>
      </w:pPr>
    </w:p>
    <w:p w14:paraId="42E063B6">
      <w:pPr>
        <w:ind w:left="0" w:leftChars="0" w:firstLine="0" w:firstLineChars="0"/>
        <w:rPr>
          <w:rFonts w:hint="eastAsia"/>
          <w:lang w:eastAsia="zh-CN"/>
        </w:rPr>
      </w:pPr>
      <w:r>
        <w:rPr>
          <w:rFonts w:hint="eastAsia"/>
          <w:lang w:eastAsia="zh-CN"/>
        </w:rPr>
        <w:br w:type="page"/>
      </w:r>
    </w:p>
    <w:p w14:paraId="54CB76FE">
      <w:pPr>
        <w:pStyle w:val="269"/>
        <w:keepNext/>
        <w:pageBreakBefore/>
        <w:widowControl/>
        <w:outlineLvl w:val="9"/>
        <w:rPr>
          <w:rFonts w:hint="eastAsia" w:eastAsia="黑体"/>
          <w:lang w:eastAsia="zh-CN"/>
        </w:rPr>
      </w:pPr>
      <w:r>
        <w:rPr>
          <w:rFonts w:hint="eastAsia"/>
          <w:lang w:eastAsia="zh-CN"/>
        </w:rPr>
        <w:t>摘 要</w:t>
      </w:r>
    </w:p>
    <w:p w14:paraId="6AFDC43E">
      <w:pPr>
        <w:pStyle w:val="35"/>
        <w:bidi w:val="0"/>
      </w:pPr>
      <w:r>
        <w:t>本作品面向基层政务资格审核场景，设计并实现了“智策惠民——基于大模型与证据链取证的政务资格审核系统”。针对就业补贴、社会保险补贴、困难人员认定等事项中政策规则复杂、业务数据分散、人工核验成本高、审核过程需留痕等问题，系统融合大语言模型、Text-to-SQL、证据链取证、多Agent辩论仲裁和人工复核机制，构建从用户诉求输入到审核结论归档的智能辅助审核闭环。</w:t>
      </w:r>
    </w:p>
    <w:p w14:paraId="2FAFD7C4">
      <w:pPr>
        <w:pStyle w:val="35"/>
        <w:bidi w:val="0"/>
      </w:pPr>
      <w:r>
        <w:t>系统运行时，用户输入身份信息和办理诉求后，系统自动识别政策意图并匹配适用政策，将政策条件拆解为结构化审核规则；随后通过T2SQL查询人员、就业、社保、工商、补贴历史等业务数据，并结合SQL执行反馈和规则类型语义判定，将查询结果封装为可追溯的证据卡片。在此基础上，系统组织严格合规、宽松业务、探索分析、经验归纳和审计挑战等Agent围绕同一组证据开展辩论，由仲裁模块综合证据充分性、风险命中情况和Agent分歧程度形成审慎结论。对于证据不足或存在争议的情况，系统支持人工补证复核，并生成可下载、可归档、可复查的公文式审核报告。</w:t>
      </w:r>
    </w:p>
    <w:p w14:paraId="5A0CA631">
      <w:pPr>
        <w:pStyle w:val="35"/>
        <w:bidi w:val="0"/>
      </w:pPr>
      <w:r>
        <w:t>测试结果表明，系统能够较稳定地完成T2SQL取证、证据组织、多Agent辩论、人工复核和报告生成等关键流程。其中，完整T2SQL取证链路的SQL结果匹配率达到91.24%，完整多Agent链路的综合质量分达到93.27%，结论准确率达到92.18%，证据引用率达到87.43%。本作品的创新点主要体现在证据约束下的多Agent辩论仲裁机制、规则驱动的T2SQL证据链取证机制、SQL执行反馈与自诊断修复机制，以及人工复核参与的全过程留痕机制。系统不是替代人工审批，而是为基层政务资格审核提供可取证、可解释、可复核、可追责的智能辅助工具。</w:t>
      </w:r>
    </w:p>
    <w:p w14:paraId="426E604E">
      <w:pPr>
        <w:pStyle w:val="35"/>
        <w:bidi w:val="0"/>
      </w:pPr>
    </w:p>
    <w:p w14:paraId="15A29F58">
      <w:pPr>
        <w:pStyle w:val="35"/>
        <w:bidi w:val="0"/>
        <w:ind w:left="0" w:leftChars="0" w:firstLine="0" w:firstLineChars="0"/>
      </w:pPr>
      <w:r>
        <w:rPr>
          <w:b/>
          <w:bCs/>
        </w:rPr>
        <w:t>关键词：</w:t>
      </w:r>
      <w:r>
        <w:t>政务资格审核；大语言模型；Text-to-SQL；证据链取证；多Agent辩论仲裁</w:t>
      </w:r>
    </w:p>
    <w:p w14:paraId="4A858BA0">
      <w:pPr>
        <w:rPr>
          <w:rFonts w:hint="eastAsia"/>
          <w:lang w:eastAsia="zh-CN"/>
        </w:rPr>
      </w:pPr>
      <w:r>
        <w:rPr>
          <w:rFonts w:hint="eastAsia"/>
          <w:lang w:eastAsia="zh-CN"/>
        </w:rPr>
        <w:br w:type="page"/>
      </w:r>
    </w:p>
    <w:p w14:paraId="40CE93F9">
      <w:pPr>
        <w:pStyle w:val="272"/>
        <w:keepNext/>
        <w:pageBreakBefore/>
        <w:outlineLvl w:val="9"/>
        <w:rPr>
          <w:rFonts w:hint="eastAsia" w:eastAsia="黑体"/>
          <w:lang w:eastAsia="zh-CN"/>
        </w:rPr>
      </w:pPr>
      <w:r>
        <w:rPr>
          <w:rFonts w:hint="eastAsia"/>
          <w:lang w:eastAsia="zh-CN"/>
        </w:rPr>
        <w:t>Abstract</w:t>
      </w:r>
    </w:p>
    <w:p w14:paraId="68C7B62C">
      <w:pPr>
        <w:widowControl w:val="0"/>
        <w:bidi w:val="0"/>
        <w:adjustRightInd w:val="0"/>
        <w:spacing w:line="400" w:lineRule="exact"/>
        <w:ind w:firstLine="480" w:firstLineChars="200"/>
        <w:jc w:val="both"/>
        <w:outlineLvl w:val="9"/>
        <w:rPr>
          <w:rFonts w:ascii="Times New Roman" w:hAnsi="Times New Roman" w:eastAsia="宋体" w:cs="Times New Roman"/>
          <w:kern w:val="2"/>
          <w:sz w:val="24"/>
          <w:szCs w:val="24"/>
        </w:rPr>
      </w:pPr>
      <w:r>
        <w:rPr>
          <w:rFonts w:ascii="Times New Roman" w:hAnsi="Times New Roman" w:eastAsia="宋体" w:cs="Times New Roman"/>
          <w:kern w:val="2"/>
          <w:sz w:val="24"/>
          <w:szCs w:val="24"/>
        </w:rPr>
        <w:t>This project focuses on grassroots government qualification review and designs “Zhice Huimin: A Government Qualification Review System Based on Large Language Models and Evidence-Chain Retrieval.” For services such as employment subsidies, social insurance subsidies, and disadvantaged-person qualification verification, traditional review often faces scattered data sources, complex policy rules, high manual verification costs, and insufficient process traceability. To address these issues, the system integrates large language models, Text-to-SQL, evidence-chain retrieval, multi-agent debate arbitration, and human-in-the-loop review to build an intelligent auxiliary review workflow.</w:t>
      </w:r>
    </w:p>
    <w:p w14:paraId="216C5424">
      <w:pPr>
        <w:widowControl w:val="0"/>
        <w:bidi w:val="0"/>
        <w:adjustRightInd w:val="0"/>
        <w:spacing w:line="400" w:lineRule="exact"/>
        <w:ind w:leftChars="0" w:firstLine="480" w:firstLineChars="200"/>
        <w:jc w:val="both"/>
        <w:outlineLvl w:val="9"/>
        <w:rPr>
          <w:rFonts w:ascii="Times New Roman" w:hAnsi="Times New Roman" w:eastAsia="宋体" w:cs="Times New Roman"/>
          <w:kern w:val="2"/>
          <w:sz w:val="24"/>
          <w:szCs w:val="24"/>
        </w:rPr>
      </w:pPr>
      <w:r>
        <w:rPr>
          <w:rFonts w:ascii="Times New Roman" w:hAnsi="Times New Roman" w:eastAsia="宋体" w:cs="Times New Roman"/>
          <w:kern w:val="2"/>
          <w:sz w:val="24"/>
          <w:szCs w:val="24"/>
        </w:rPr>
        <w:t>After a user enters identity information and a service request, the system identifies the policy intent, matches the applicable policy, and decomposes policy conditions into structured review rules. It then uses Text-to-SQL to query personal, employment, social insurance, business registration, and subsidy history data. The query results are packaged into traceable evidence cards. Based on the same evidence set, multiple agents conduct evidence-constrained debate from compliance, business interpretation, risk analysis, experience-based reasoning, and audit perspectives. The arbitration module generates a cautious auxiliary conclusion by considering evidence sufficiency, risk-condition hits, and inter-agent disagreement. For insufficient or disputed evidence, the system supports human supplementary review and generates an official-style report.</w:t>
      </w:r>
    </w:p>
    <w:p w14:paraId="44DA1493">
      <w:pPr>
        <w:widowControl w:val="0"/>
        <w:bidi w:val="0"/>
        <w:adjustRightInd w:val="0"/>
        <w:spacing w:line="400" w:lineRule="exact"/>
        <w:ind w:leftChars="0" w:firstLine="480" w:firstLineChars="200"/>
        <w:jc w:val="both"/>
        <w:outlineLvl w:val="9"/>
        <w:rPr>
          <w:rFonts w:ascii="Times New Roman" w:hAnsi="Times New Roman" w:eastAsia="宋体" w:cs="Times New Roman"/>
          <w:kern w:val="2"/>
          <w:sz w:val="24"/>
          <w:szCs w:val="24"/>
        </w:rPr>
      </w:pPr>
      <w:r>
        <w:rPr>
          <w:rFonts w:ascii="Times New Roman" w:hAnsi="Times New Roman" w:eastAsia="宋体" w:cs="Times New Roman"/>
          <w:kern w:val="2"/>
          <w:sz w:val="24"/>
          <w:szCs w:val="24"/>
        </w:rPr>
        <w:t>Test results show that the full Text-to-SQL pipeline achieves a SQL result matching rate of 91.24%, while the complete multi-agent pipeline achieves a comprehensive quality score of 93.27%, a conclusion accuracy of 92.18%, and an evidence citation rate of 87.43%. The system provides a verifiable, explainable, reviewable, and accountable intelligent assistant for government qualification review.</w:t>
      </w:r>
    </w:p>
    <w:p w14:paraId="467A6282">
      <w:pPr>
        <w:widowControl w:val="0"/>
        <w:bidi w:val="0"/>
        <w:adjustRightInd w:val="0"/>
        <w:spacing w:line="400" w:lineRule="exact"/>
        <w:ind w:leftChars="0" w:firstLine="480" w:firstLineChars="200"/>
        <w:jc w:val="both"/>
        <w:outlineLvl w:val="9"/>
        <w:rPr>
          <w:rFonts w:ascii="Times New Roman" w:hAnsi="Times New Roman" w:eastAsia="宋体" w:cs="Times New Roman"/>
          <w:kern w:val="2"/>
          <w:sz w:val="24"/>
          <w:szCs w:val="24"/>
        </w:rPr>
      </w:pPr>
      <w:r>
        <w:rPr>
          <w:rFonts w:ascii="Times New Roman" w:hAnsi="Times New Roman" w:eastAsia="宋体" w:cs="Times New Roman"/>
          <w:kern w:val="2"/>
          <w:sz w:val="24"/>
          <w:szCs w:val="24"/>
        </w:rPr>
        <w:t>Keywords: government qualification review; large language model; Text-to-SQL; evidence-chain retrieval; multi-agent debate arbitration</w:t>
      </w:r>
    </w:p>
    <w:p w14:paraId="61C46591">
      <w:r>
        <w:br w:type="page"/>
      </w:r>
    </w:p>
    <w:p w14:paraId="3D65C6A4">
      <w:pPr>
        <w:pStyle w:val="230"/>
        <w:pageBreakBefore/>
      </w:pPr>
      <w:r>
        <w:t>目</w:t>
      </w:r>
      <w:r>
        <w:rPr>
          <w:rFonts w:hint="eastAsia"/>
          <w:lang w:eastAsia="zh-CN"/>
        </w:rPr>
        <w:t xml:space="preserve"> </w:t>
      </w:r>
      <w:r>
        <w:t>录</w:t>
      </w:r>
    </w:p>
    <w:p w14:paraId="0875A653">
      <w:pPr>
        <w:pStyle w:val="60"/>
        <w:tabs>
          <w:tab w:val="right" w:leader="dot" w:pos="8634"/>
        </w:tabs>
      </w:pPr>
      <w:r>
        <w:fldChar w:fldCharType="begin"/>
      </w:r>
      <w:r>
        <w:instrText xml:space="preserve">TOC \o "1-3" \h \u </w:instrText>
      </w:r>
      <w:r>
        <w:fldChar w:fldCharType="separate"/>
      </w:r>
      <w:r>
        <w:fldChar w:fldCharType="begin"/>
      </w:r>
      <w:r>
        <w:instrText xml:space="preserve"> HYPERLINK \l _Toc7657 </w:instrText>
      </w:r>
      <w:r>
        <w:fldChar w:fldCharType="separate"/>
      </w:r>
      <w:r>
        <w:rPr>
          <w:rFonts w:hint="eastAsia"/>
          <w:lang w:eastAsia="zh-CN"/>
        </w:rPr>
        <w:t xml:space="preserve">第一章 </w:t>
      </w:r>
      <w:r>
        <w:t>项目背景和国内外研究现状</w:t>
      </w:r>
      <w:r>
        <w:tab/>
      </w:r>
      <w:r>
        <w:fldChar w:fldCharType="begin"/>
      </w:r>
      <w:r>
        <w:instrText xml:space="preserve"> PAGEREF _Toc7657 \h </w:instrText>
      </w:r>
      <w:r>
        <w:fldChar w:fldCharType="separate"/>
      </w:r>
      <w:r>
        <w:t>6</w:t>
      </w:r>
      <w:r>
        <w:fldChar w:fldCharType="end"/>
      </w:r>
      <w:r>
        <w:fldChar w:fldCharType="end"/>
      </w:r>
    </w:p>
    <w:p w14:paraId="7227BA1C">
      <w:pPr>
        <w:pStyle w:val="75"/>
        <w:tabs>
          <w:tab w:val="right" w:leader="dot" w:pos="8634"/>
        </w:tabs>
      </w:pPr>
      <w:r>
        <w:fldChar w:fldCharType="begin"/>
      </w:r>
      <w:r>
        <w:instrText xml:space="preserve"> HYPERLINK \l _Toc30863 </w:instrText>
      </w:r>
      <w:r>
        <w:fldChar w:fldCharType="separate"/>
      </w:r>
      <w:r>
        <w:rPr>
          <w:rFonts w:hint="eastAsia"/>
          <w:lang w:eastAsia="zh-CN"/>
        </w:rPr>
        <w:t xml:space="preserve">1.1 </w:t>
      </w:r>
      <w:r>
        <w:t>项目背景</w:t>
      </w:r>
      <w:r>
        <w:tab/>
      </w:r>
      <w:r>
        <w:fldChar w:fldCharType="begin"/>
      </w:r>
      <w:r>
        <w:instrText xml:space="preserve"> PAGEREF _Toc30863 \h </w:instrText>
      </w:r>
      <w:r>
        <w:fldChar w:fldCharType="separate"/>
      </w:r>
      <w:r>
        <w:t>6</w:t>
      </w:r>
      <w:r>
        <w:fldChar w:fldCharType="end"/>
      </w:r>
      <w:r>
        <w:fldChar w:fldCharType="end"/>
      </w:r>
    </w:p>
    <w:p w14:paraId="256B43F5">
      <w:pPr>
        <w:pStyle w:val="75"/>
        <w:tabs>
          <w:tab w:val="right" w:leader="dot" w:pos="8634"/>
        </w:tabs>
      </w:pPr>
      <w:r>
        <w:fldChar w:fldCharType="begin"/>
      </w:r>
      <w:r>
        <w:instrText xml:space="preserve"> HYPERLINK \l _Toc30170 </w:instrText>
      </w:r>
      <w:r>
        <w:fldChar w:fldCharType="separate"/>
      </w:r>
      <w:r>
        <w:rPr>
          <w:rFonts w:hint="eastAsia"/>
          <w:lang w:eastAsia="zh-CN"/>
        </w:rPr>
        <w:t xml:space="preserve">1.2 </w:t>
      </w:r>
      <w:r>
        <w:t>国内外研究现状</w:t>
      </w:r>
      <w:r>
        <w:tab/>
      </w:r>
      <w:r>
        <w:fldChar w:fldCharType="begin"/>
      </w:r>
      <w:r>
        <w:instrText xml:space="preserve"> PAGEREF _Toc30170 \h </w:instrText>
      </w:r>
      <w:r>
        <w:fldChar w:fldCharType="separate"/>
      </w:r>
      <w:r>
        <w:t>7</w:t>
      </w:r>
      <w:r>
        <w:fldChar w:fldCharType="end"/>
      </w:r>
      <w:r>
        <w:fldChar w:fldCharType="end"/>
      </w:r>
    </w:p>
    <w:p w14:paraId="056075CD">
      <w:pPr>
        <w:pStyle w:val="45"/>
        <w:tabs>
          <w:tab w:val="right" w:leader="dot" w:pos="8634"/>
        </w:tabs>
      </w:pPr>
      <w:r>
        <w:fldChar w:fldCharType="begin"/>
      </w:r>
      <w:r>
        <w:instrText xml:space="preserve"> HYPERLINK \l _Toc25334 </w:instrText>
      </w:r>
      <w:r>
        <w:fldChar w:fldCharType="separate"/>
      </w:r>
      <w:r>
        <w:rPr>
          <w:rFonts w:hint="eastAsia"/>
          <w:lang w:eastAsia="zh-CN"/>
        </w:rPr>
        <w:t xml:space="preserve">1.2.1 </w:t>
      </w:r>
      <w:r>
        <w:t>政务资格审核与规则引擎式系统</w:t>
      </w:r>
      <w:r>
        <w:tab/>
      </w:r>
      <w:r>
        <w:fldChar w:fldCharType="begin"/>
      </w:r>
      <w:r>
        <w:instrText xml:space="preserve"> PAGEREF _Toc25334 \h </w:instrText>
      </w:r>
      <w:r>
        <w:fldChar w:fldCharType="separate"/>
      </w:r>
      <w:r>
        <w:t>7</w:t>
      </w:r>
      <w:r>
        <w:fldChar w:fldCharType="end"/>
      </w:r>
      <w:r>
        <w:fldChar w:fldCharType="end"/>
      </w:r>
    </w:p>
    <w:p w14:paraId="0C280BA7">
      <w:pPr>
        <w:pStyle w:val="45"/>
        <w:tabs>
          <w:tab w:val="right" w:leader="dot" w:pos="8634"/>
        </w:tabs>
      </w:pPr>
      <w:r>
        <w:fldChar w:fldCharType="begin"/>
      </w:r>
      <w:r>
        <w:instrText xml:space="preserve"> HYPERLINK \l _Toc1689 </w:instrText>
      </w:r>
      <w:r>
        <w:fldChar w:fldCharType="separate"/>
      </w:r>
      <w:r>
        <w:rPr>
          <w:rFonts w:hint="eastAsia"/>
          <w:lang w:eastAsia="zh-CN"/>
        </w:rPr>
        <w:t xml:space="preserve">1.2.2 </w:t>
      </w:r>
      <w:r>
        <w:t>大语言模型与规则推理研究</w:t>
      </w:r>
      <w:r>
        <w:tab/>
      </w:r>
      <w:r>
        <w:fldChar w:fldCharType="begin"/>
      </w:r>
      <w:r>
        <w:instrText xml:space="preserve"> PAGEREF _Toc1689 \h </w:instrText>
      </w:r>
      <w:r>
        <w:fldChar w:fldCharType="separate"/>
      </w:r>
      <w:r>
        <w:t>7</w:t>
      </w:r>
      <w:r>
        <w:fldChar w:fldCharType="end"/>
      </w:r>
      <w:r>
        <w:fldChar w:fldCharType="end"/>
      </w:r>
    </w:p>
    <w:p w14:paraId="5CE45282">
      <w:pPr>
        <w:pStyle w:val="45"/>
        <w:tabs>
          <w:tab w:val="right" w:leader="dot" w:pos="8634"/>
        </w:tabs>
      </w:pPr>
      <w:r>
        <w:fldChar w:fldCharType="begin"/>
      </w:r>
      <w:r>
        <w:instrText xml:space="preserve"> HYPERLINK \l _Toc19707 </w:instrText>
      </w:r>
      <w:r>
        <w:fldChar w:fldCharType="separate"/>
      </w:r>
      <w:r>
        <w:rPr>
          <w:rFonts w:hint="eastAsia"/>
          <w:lang w:eastAsia="zh-CN"/>
        </w:rPr>
        <w:t xml:space="preserve">1.2.3 </w:t>
      </w:r>
      <w:r>
        <w:t>Text-to-SQL与结构化数据查询研究</w:t>
      </w:r>
      <w:r>
        <w:tab/>
      </w:r>
      <w:r>
        <w:fldChar w:fldCharType="begin"/>
      </w:r>
      <w:r>
        <w:instrText xml:space="preserve"> PAGEREF _Toc19707 \h </w:instrText>
      </w:r>
      <w:r>
        <w:fldChar w:fldCharType="separate"/>
      </w:r>
      <w:r>
        <w:t>8</w:t>
      </w:r>
      <w:r>
        <w:fldChar w:fldCharType="end"/>
      </w:r>
      <w:r>
        <w:fldChar w:fldCharType="end"/>
      </w:r>
    </w:p>
    <w:p w14:paraId="679A106F">
      <w:pPr>
        <w:pStyle w:val="45"/>
        <w:tabs>
          <w:tab w:val="right" w:leader="dot" w:pos="8634"/>
        </w:tabs>
      </w:pPr>
      <w:r>
        <w:fldChar w:fldCharType="begin"/>
      </w:r>
      <w:r>
        <w:instrText xml:space="preserve"> HYPERLINK \l _Toc20323 </w:instrText>
      </w:r>
      <w:r>
        <w:fldChar w:fldCharType="separate"/>
      </w:r>
      <w:r>
        <w:rPr>
          <w:rFonts w:hint="eastAsia"/>
          <w:lang w:eastAsia="zh-CN"/>
        </w:rPr>
        <w:t xml:space="preserve">1.2.4 </w:t>
      </w:r>
      <w:r>
        <w:t>LLM Agent与多Agent辩论仲裁研究</w:t>
      </w:r>
      <w:r>
        <w:tab/>
      </w:r>
      <w:r>
        <w:fldChar w:fldCharType="begin"/>
      </w:r>
      <w:r>
        <w:instrText xml:space="preserve"> PAGEREF _Toc20323 \h </w:instrText>
      </w:r>
      <w:r>
        <w:fldChar w:fldCharType="separate"/>
      </w:r>
      <w:r>
        <w:t>8</w:t>
      </w:r>
      <w:r>
        <w:fldChar w:fldCharType="end"/>
      </w:r>
      <w:r>
        <w:fldChar w:fldCharType="end"/>
      </w:r>
    </w:p>
    <w:p w14:paraId="43E57C7E">
      <w:pPr>
        <w:pStyle w:val="45"/>
        <w:tabs>
          <w:tab w:val="right" w:leader="dot" w:pos="8634"/>
        </w:tabs>
      </w:pPr>
      <w:r>
        <w:fldChar w:fldCharType="begin"/>
      </w:r>
      <w:r>
        <w:instrText xml:space="preserve"> HYPERLINK \l _Toc19252 </w:instrText>
      </w:r>
      <w:r>
        <w:fldChar w:fldCharType="separate"/>
      </w:r>
      <w:r>
        <w:rPr>
          <w:rFonts w:hint="eastAsia"/>
          <w:lang w:eastAsia="zh-CN"/>
        </w:rPr>
        <w:t xml:space="preserve">1.2.5 </w:t>
      </w:r>
      <w:r>
        <w:t>政务大模型应用研究</w:t>
      </w:r>
      <w:r>
        <w:tab/>
      </w:r>
      <w:r>
        <w:fldChar w:fldCharType="begin"/>
      </w:r>
      <w:r>
        <w:instrText xml:space="preserve"> PAGEREF _Toc19252 \h </w:instrText>
      </w:r>
      <w:r>
        <w:fldChar w:fldCharType="separate"/>
      </w:r>
      <w:r>
        <w:t>9</w:t>
      </w:r>
      <w:r>
        <w:fldChar w:fldCharType="end"/>
      </w:r>
      <w:r>
        <w:fldChar w:fldCharType="end"/>
      </w:r>
    </w:p>
    <w:p w14:paraId="769532F1">
      <w:pPr>
        <w:pStyle w:val="75"/>
        <w:tabs>
          <w:tab w:val="right" w:leader="dot" w:pos="8634"/>
        </w:tabs>
      </w:pPr>
      <w:r>
        <w:fldChar w:fldCharType="begin"/>
      </w:r>
      <w:r>
        <w:instrText xml:space="preserve"> HYPERLINK \l _Toc919 </w:instrText>
      </w:r>
      <w:r>
        <w:fldChar w:fldCharType="separate"/>
      </w:r>
      <w:r>
        <w:rPr>
          <w:rFonts w:hint="eastAsia"/>
          <w:lang w:eastAsia="zh-CN"/>
        </w:rPr>
        <w:t xml:space="preserve">1.3 </w:t>
      </w:r>
      <w:r>
        <w:t>现有研究不足与本项目定位</w:t>
      </w:r>
      <w:r>
        <w:tab/>
      </w:r>
      <w:r>
        <w:fldChar w:fldCharType="begin"/>
      </w:r>
      <w:r>
        <w:instrText xml:space="preserve"> PAGEREF _Toc919 \h </w:instrText>
      </w:r>
      <w:r>
        <w:fldChar w:fldCharType="separate"/>
      </w:r>
      <w:r>
        <w:t>10</w:t>
      </w:r>
      <w:r>
        <w:fldChar w:fldCharType="end"/>
      </w:r>
      <w:r>
        <w:fldChar w:fldCharType="end"/>
      </w:r>
    </w:p>
    <w:p w14:paraId="4152E3F9">
      <w:pPr>
        <w:pStyle w:val="60"/>
        <w:tabs>
          <w:tab w:val="right" w:leader="dot" w:pos="8634"/>
        </w:tabs>
      </w:pPr>
      <w:r>
        <w:fldChar w:fldCharType="begin"/>
      </w:r>
      <w:r>
        <w:instrText xml:space="preserve"> HYPERLINK \l _Toc30745 </w:instrText>
      </w:r>
      <w:r>
        <w:fldChar w:fldCharType="separate"/>
      </w:r>
      <w:r>
        <w:rPr>
          <w:rFonts w:hint="eastAsia"/>
          <w:lang w:eastAsia="zh-CN"/>
        </w:rPr>
        <w:t xml:space="preserve">第二章 </w:t>
      </w:r>
      <w:r>
        <w:t>项目研究内容和技术路线</w:t>
      </w:r>
      <w:r>
        <w:tab/>
      </w:r>
      <w:r>
        <w:fldChar w:fldCharType="begin"/>
      </w:r>
      <w:r>
        <w:instrText xml:space="preserve"> PAGEREF _Toc30745 \h </w:instrText>
      </w:r>
      <w:r>
        <w:fldChar w:fldCharType="separate"/>
      </w:r>
      <w:r>
        <w:t>12</w:t>
      </w:r>
      <w:r>
        <w:fldChar w:fldCharType="end"/>
      </w:r>
      <w:r>
        <w:fldChar w:fldCharType="end"/>
      </w:r>
    </w:p>
    <w:p w14:paraId="2200E468">
      <w:pPr>
        <w:pStyle w:val="75"/>
        <w:tabs>
          <w:tab w:val="right" w:leader="dot" w:pos="8634"/>
        </w:tabs>
      </w:pPr>
      <w:r>
        <w:fldChar w:fldCharType="begin"/>
      </w:r>
      <w:r>
        <w:instrText xml:space="preserve"> HYPERLINK \l _Toc7678 </w:instrText>
      </w:r>
      <w:r>
        <w:fldChar w:fldCharType="separate"/>
      </w:r>
      <w:r>
        <w:rPr>
          <w:rFonts w:hint="eastAsia"/>
          <w:lang w:eastAsia="zh-CN"/>
        </w:rPr>
        <w:t>2.1 项目研究目标</w:t>
      </w:r>
      <w:r>
        <w:tab/>
      </w:r>
      <w:r>
        <w:fldChar w:fldCharType="begin"/>
      </w:r>
      <w:r>
        <w:instrText xml:space="preserve"> PAGEREF _Toc7678 \h </w:instrText>
      </w:r>
      <w:r>
        <w:fldChar w:fldCharType="separate"/>
      </w:r>
      <w:r>
        <w:t>12</w:t>
      </w:r>
      <w:r>
        <w:fldChar w:fldCharType="end"/>
      </w:r>
      <w:r>
        <w:fldChar w:fldCharType="end"/>
      </w:r>
    </w:p>
    <w:p w14:paraId="7888A2D3">
      <w:pPr>
        <w:pStyle w:val="75"/>
        <w:tabs>
          <w:tab w:val="right" w:leader="dot" w:pos="8634"/>
        </w:tabs>
      </w:pPr>
      <w:r>
        <w:fldChar w:fldCharType="begin"/>
      </w:r>
      <w:r>
        <w:instrText xml:space="preserve"> HYPERLINK \l _Toc19648 </w:instrText>
      </w:r>
      <w:r>
        <w:fldChar w:fldCharType="separate"/>
      </w:r>
      <w:r>
        <w:rPr>
          <w:rFonts w:hint="eastAsia"/>
          <w:lang w:eastAsia="zh-CN"/>
        </w:rPr>
        <w:t xml:space="preserve">2.2 </w:t>
      </w:r>
      <w:r>
        <w:t>项目研究内容</w:t>
      </w:r>
      <w:r>
        <w:tab/>
      </w:r>
      <w:r>
        <w:fldChar w:fldCharType="begin"/>
      </w:r>
      <w:r>
        <w:instrText xml:space="preserve"> PAGEREF _Toc19648 \h </w:instrText>
      </w:r>
      <w:r>
        <w:fldChar w:fldCharType="separate"/>
      </w:r>
      <w:r>
        <w:t>12</w:t>
      </w:r>
      <w:r>
        <w:fldChar w:fldCharType="end"/>
      </w:r>
      <w:r>
        <w:fldChar w:fldCharType="end"/>
      </w:r>
    </w:p>
    <w:p w14:paraId="2257B606">
      <w:pPr>
        <w:pStyle w:val="45"/>
        <w:tabs>
          <w:tab w:val="right" w:leader="dot" w:pos="8634"/>
        </w:tabs>
      </w:pPr>
      <w:r>
        <w:fldChar w:fldCharType="begin"/>
      </w:r>
      <w:r>
        <w:instrText xml:space="preserve"> HYPERLINK \l _Toc7965 </w:instrText>
      </w:r>
      <w:r>
        <w:fldChar w:fldCharType="separate"/>
      </w:r>
      <w:r>
        <w:rPr>
          <w:rFonts w:hint="eastAsia"/>
          <w:lang w:eastAsia="zh-CN"/>
        </w:rPr>
        <w:t xml:space="preserve">2.2.1 </w:t>
      </w:r>
      <w:r>
        <w:t>政策意图识别与规则加载</w:t>
      </w:r>
      <w:r>
        <w:tab/>
      </w:r>
      <w:r>
        <w:fldChar w:fldCharType="begin"/>
      </w:r>
      <w:r>
        <w:instrText xml:space="preserve"> PAGEREF _Toc7965 \h </w:instrText>
      </w:r>
      <w:r>
        <w:fldChar w:fldCharType="separate"/>
      </w:r>
      <w:r>
        <w:t>12</w:t>
      </w:r>
      <w:r>
        <w:fldChar w:fldCharType="end"/>
      </w:r>
      <w:r>
        <w:fldChar w:fldCharType="end"/>
      </w:r>
    </w:p>
    <w:p w14:paraId="10824FF6">
      <w:pPr>
        <w:pStyle w:val="45"/>
        <w:tabs>
          <w:tab w:val="right" w:leader="dot" w:pos="8634"/>
        </w:tabs>
      </w:pPr>
      <w:r>
        <w:fldChar w:fldCharType="begin"/>
      </w:r>
      <w:r>
        <w:instrText xml:space="preserve"> HYPERLINK \l _Toc3151 </w:instrText>
      </w:r>
      <w:r>
        <w:fldChar w:fldCharType="separate"/>
      </w:r>
      <w:r>
        <w:rPr>
          <w:rFonts w:hint="eastAsia"/>
          <w:lang w:eastAsia="zh-CN"/>
        </w:rPr>
        <w:t xml:space="preserve">2.2.2 </w:t>
      </w:r>
      <w:r>
        <w:t>规则驱动的T2SQL动态取证</w:t>
      </w:r>
      <w:r>
        <w:tab/>
      </w:r>
      <w:r>
        <w:fldChar w:fldCharType="begin"/>
      </w:r>
      <w:r>
        <w:instrText xml:space="preserve"> PAGEREF _Toc3151 \h </w:instrText>
      </w:r>
      <w:r>
        <w:fldChar w:fldCharType="separate"/>
      </w:r>
      <w:r>
        <w:t>13</w:t>
      </w:r>
      <w:r>
        <w:fldChar w:fldCharType="end"/>
      </w:r>
      <w:r>
        <w:fldChar w:fldCharType="end"/>
      </w:r>
    </w:p>
    <w:p w14:paraId="63842846">
      <w:pPr>
        <w:pStyle w:val="45"/>
        <w:tabs>
          <w:tab w:val="right" w:leader="dot" w:pos="8634"/>
        </w:tabs>
      </w:pPr>
      <w:r>
        <w:fldChar w:fldCharType="begin"/>
      </w:r>
      <w:r>
        <w:instrText xml:space="preserve"> HYPERLINK \l _Toc22348 </w:instrText>
      </w:r>
      <w:r>
        <w:fldChar w:fldCharType="separate"/>
      </w:r>
      <w:r>
        <w:rPr>
          <w:rFonts w:hint="eastAsia"/>
          <w:lang w:eastAsia="zh-CN"/>
        </w:rPr>
        <w:t xml:space="preserve">2.2.3 </w:t>
      </w:r>
      <w:r>
        <w:t>SQL执行反馈与自诊断修复</w:t>
      </w:r>
      <w:r>
        <w:tab/>
      </w:r>
      <w:r>
        <w:fldChar w:fldCharType="begin"/>
      </w:r>
      <w:r>
        <w:instrText xml:space="preserve"> PAGEREF _Toc22348 \h </w:instrText>
      </w:r>
      <w:r>
        <w:fldChar w:fldCharType="separate"/>
      </w:r>
      <w:r>
        <w:t>13</w:t>
      </w:r>
      <w:r>
        <w:fldChar w:fldCharType="end"/>
      </w:r>
      <w:r>
        <w:fldChar w:fldCharType="end"/>
      </w:r>
    </w:p>
    <w:p w14:paraId="3F94F805">
      <w:pPr>
        <w:pStyle w:val="45"/>
        <w:tabs>
          <w:tab w:val="right" w:leader="dot" w:pos="8634"/>
        </w:tabs>
      </w:pPr>
      <w:r>
        <w:fldChar w:fldCharType="begin"/>
      </w:r>
      <w:r>
        <w:instrText xml:space="preserve"> HYPERLINK \l _Toc16454 </w:instrText>
      </w:r>
      <w:r>
        <w:fldChar w:fldCharType="separate"/>
      </w:r>
      <w:r>
        <w:rPr>
          <w:rFonts w:hint="eastAsia"/>
          <w:lang w:eastAsia="zh-CN"/>
        </w:rPr>
        <w:t xml:space="preserve">2.2.4 </w:t>
      </w:r>
      <w:r>
        <w:t>证据卡片生成与证据语义判定</w:t>
      </w:r>
      <w:r>
        <w:tab/>
      </w:r>
      <w:r>
        <w:fldChar w:fldCharType="begin"/>
      </w:r>
      <w:r>
        <w:instrText xml:space="preserve"> PAGEREF _Toc16454 \h </w:instrText>
      </w:r>
      <w:r>
        <w:fldChar w:fldCharType="separate"/>
      </w:r>
      <w:r>
        <w:t>13</w:t>
      </w:r>
      <w:r>
        <w:fldChar w:fldCharType="end"/>
      </w:r>
      <w:r>
        <w:fldChar w:fldCharType="end"/>
      </w:r>
    </w:p>
    <w:p w14:paraId="70A0BE45">
      <w:pPr>
        <w:pStyle w:val="45"/>
        <w:tabs>
          <w:tab w:val="right" w:leader="dot" w:pos="8634"/>
        </w:tabs>
      </w:pPr>
      <w:r>
        <w:fldChar w:fldCharType="begin"/>
      </w:r>
      <w:r>
        <w:instrText xml:space="preserve"> HYPERLINK \l _Toc25203 </w:instrText>
      </w:r>
      <w:r>
        <w:fldChar w:fldCharType="separate"/>
      </w:r>
      <w:r>
        <w:rPr>
          <w:rFonts w:hint="eastAsia"/>
          <w:lang w:eastAsia="zh-CN"/>
        </w:rPr>
        <w:t>2.2.5 对象画像与多Agent辩论仲裁</w:t>
      </w:r>
      <w:r>
        <w:tab/>
      </w:r>
      <w:r>
        <w:fldChar w:fldCharType="begin"/>
      </w:r>
      <w:r>
        <w:instrText xml:space="preserve"> PAGEREF _Toc25203 \h </w:instrText>
      </w:r>
      <w:r>
        <w:fldChar w:fldCharType="separate"/>
      </w:r>
      <w:r>
        <w:t>14</w:t>
      </w:r>
      <w:r>
        <w:fldChar w:fldCharType="end"/>
      </w:r>
      <w:r>
        <w:fldChar w:fldCharType="end"/>
      </w:r>
    </w:p>
    <w:p w14:paraId="72BBA018">
      <w:pPr>
        <w:pStyle w:val="45"/>
        <w:tabs>
          <w:tab w:val="right" w:leader="dot" w:pos="8634"/>
        </w:tabs>
      </w:pPr>
      <w:r>
        <w:fldChar w:fldCharType="begin"/>
      </w:r>
      <w:r>
        <w:instrText xml:space="preserve"> HYPERLINK \l _Toc29645 </w:instrText>
      </w:r>
      <w:r>
        <w:fldChar w:fldCharType="separate"/>
      </w:r>
      <w:r>
        <w:rPr>
          <w:rFonts w:hint="eastAsia"/>
          <w:lang w:eastAsia="zh-CN"/>
        </w:rPr>
        <w:t xml:space="preserve">2.2.6 </w:t>
      </w:r>
      <w:r>
        <w:t>人工复核、报告生成与历史留痕</w:t>
      </w:r>
      <w:r>
        <w:tab/>
      </w:r>
      <w:r>
        <w:fldChar w:fldCharType="begin"/>
      </w:r>
      <w:r>
        <w:instrText xml:space="preserve"> PAGEREF _Toc29645 \h </w:instrText>
      </w:r>
      <w:r>
        <w:fldChar w:fldCharType="separate"/>
      </w:r>
      <w:r>
        <w:t>15</w:t>
      </w:r>
      <w:r>
        <w:fldChar w:fldCharType="end"/>
      </w:r>
      <w:r>
        <w:fldChar w:fldCharType="end"/>
      </w:r>
    </w:p>
    <w:p w14:paraId="4D8AD302">
      <w:pPr>
        <w:pStyle w:val="45"/>
        <w:tabs>
          <w:tab w:val="right" w:leader="dot" w:pos="8634"/>
        </w:tabs>
      </w:pPr>
      <w:r>
        <w:fldChar w:fldCharType="begin"/>
      </w:r>
      <w:r>
        <w:instrText xml:space="preserve"> HYPERLINK \l _Toc27275 </w:instrText>
      </w:r>
      <w:r>
        <w:fldChar w:fldCharType="separate"/>
      </w:r>
      <w:r>
        <w:rPr>
          <w:rFonts w:hint="eastAsia"/>
          <w:lang w:eastAsia="zh-CN"/>
        </w:rPr>
        <w:t>2.2.7 安全与隐私保护设计</w:t>
      </w:r>
      <w:r>
        <w:tab/>
      </w:r>
      <w:r>
        <w:fldChar w:fldCharType="begin"/>
      </w:r>
      <w:r>
        <w:instrText xml:space="preserve"> PAGEREF _Toc27275 \h </w:instrText>
      </w:r>
      <w:r>
        <w:fldChar w:fldCharType="separate"/>
      </w:r>
      <w:r>
        <w:t>15</w:t>
      </w:r>
      <w:r>
        <w:fldChar w:fldCharType="end"/>
      </w:r>
      <w:r>
        <w:fldChar w:fldCharType="end"/>
      </w:r>
    </w:p>
    <w:p w14:paraId="53A099EC">
      <w:pPr>
        <w:pStyle w:val="75"/>
        <w:tabs>
          <w:tab w:val="right" w:leader="dot" w:pos="8634"/>
        </w:tabs>
      </w:pPr>
      <w:r>
        <w:fldChar w:fldCharType="begin"/>
      </w:r>
      <w:r>
        <w:instrText xml:space="preserve"> HYPERLINK \l _Toc3746 </w:instrText>
      </w:r>
      <w:r>
        <w:fldChar w:fldCharType="separate"/>
      </w:r>
      <w:r>
        <w:rPr>
          <w:rFonts w:hint="eastAsia"/>
          <w:lang w:eastAsia="zh-CN"/>
        </w:rPr>
        <w:t>2.3 技术路线</w:t>
      </w:r>
      <w:r>
        <w:tab/>
      </w:r>
      <w:r>
        <w:fldChar w:fldCharType="begin"/>
      </w:r>
      <w:r>
        <w:instrText xml:space="preserve"> PAGEREF _Toc3746 \h </w:instrText>
      </w:r>
      <w:r>
        <w:fldChar w:fldCharType="separate"/>
      </w:r>
      <w:r>
        <w:t>16</w:t>
      </w:r>
      <w:r>
        <w:fldChar w:fldCharType="end"/>
      </w:r>
      <w:r>
        <w:fldChar w:fldCharType="end"/>
      </w:r>
    </w:p>
    <w:p w14:paraId="62E73924">
      <w:pPr>
        <w:pStyle w:val="75"/>
        <w:tabs>
          <w:tab w:val="right" w:leader="dot" w:pos="8634"/>
        </w:tabs>
      </w:pPr>
      <w:r>
        <w:fldChar w:fldCharType="begin"/>
      </w:r>
      <w:r>
        <w:instrText xml:space="preserve"> HYPERLINK \l _Toc12123 </w:instrText>
      </w:r>
      <w:r>
        <w:fldChar w:fldCharType="separate"/>
      </w:r>
      <w:r>
        <w:rPr>
          <w:rFonts w:hint="eastAsia"/>
        </w:rPr>
        <w:t>2.4 关键技术机制</w:t>
      </w:r>
      <w:r>
        <w:tab/>
      </w:r>
      <w:r>
        <w:fldChar w:fldCharType="begin"/>
      </w:r>
      <w:r>
        <w:instrText xml:space="preserve"> PAGEREF _Toc12123 \h </w:instrText>
      </w:r>
      <w:r>
        <w:fldChar w:fldCharType="separate"/>
      </w:r>
      <w:r>
        <w:t>17</w:t>
      </w:r>
      <w:r>
        <w:fldChar w:fldCharType="end"/>
      </w:r>
      <w:r>
        <w:fldChar w:fldCharType="end"/>
      </w:r>
    </w:p>
    <w:p w14:paraId="572D14D4">
      <w:pPr>
        <w:pStyle w:val="60"/>
        <w:tabs>
          <w:tab w:val="right" w:leader="dot" w:pos="8634"/>
        </w:tabs>
      </w:pPr>
      <w:r>
        <w:fldChar w:fldCharType="begin"/>
      </w:r>
      <w:r>
        <w:instrText xml:space="preserve"> HYPERLINK \l _Toc29797 </w:instrText>
      </w:r>
      <w:r>
        <w:fldChar w:fldCharType="separate"/>
      </w:r>
      <w:r>
        <w:rPr>
          <w:rFonts w:hint="eastAsia"/>
          <w:lang w:eastAsia="zh-CN"/>
        </w:rPr>
        <w:t>第三章 系统设计与实现</w:t>
      </w:r>
      <w:r>
        <w:tab/>
      </w:r>
      <w:r>
        <w:fldChar w:fldCharType="begin"/>
      </w:r>
      <w:r>
        <w:instrText xml:space="preserve"> PAGEREF _Toc29797 \h </w:instrText>
      </w:r>
      <w:r>
        <w:fldChar w:fldCharType="separate"/>
      </w:r>
      <w:r>
        <w:t>19</w:t>
      </w:r>
      <w:r>
        <w:fldChar w:fldCharType="end"/>
      </w:r>
      <w:r>
        <w:fldChar w:fldCharType="end"/>
      </w:r>
    </w:p>
    <w:p w14:paraId="3F041E6B">
      <w:pPr>
        <w:pStyle w:val="75"/>
        <w:tabs>
          <w:tab w:val="right" w:leader="dot" w:pos="8634"/>
        </w:tabs>
      </w:pPr>
      <w:r>
        <w:fldChar w:fldCharType="begin"/>
      </w:r>
      <w:r>
        <w:instrText xml:space="preserve"> HYPERLINK \l _Toc1301 </w:instrText>
      </w:r>
      <w:r>
        <w:fldChar w:fldCharType="separate"/>
      </w:r>
      <w:r>
        <w:t>3.1 系统总体架构</w:t>
      </w:r>
      <w:r>
        <w:tab/>
      </w:r>
      <w:r>
        <w:fldChar w:fldCharType="begin"/>
      </w:r>
      <w:r>
        <w:instrText xml:space="preserve"> PAGEREF _Toc1301 \h </w:instrText>
      </w:r>
      <w:r>
        <w:fldChar w:fldCharType="separate"/>
      </w:r>
      <w:r>
        <w:t>19</w:t>
      </w:r>
      <w:r>
        <w:fldChar w:fldCharType="end"/>
      </w:r>
      <w:r>
        <w:fldChar w:fldCharType="end"/>
      </w:r>
    </w:p>
    <w:p w14:paraId="15CAF860">
      <w:pPr>
        <w:pStyle w:val="75"/>
        <w:tabs>
          <w:tab w:val="right" w:leader="dot" w:pos="8634"/>
        </w:tabs>
      </w:pPr>
      <w:r>
        <w:fldChar w:fldCharType="begin"/>
      </w:r>
      <w:r>
        <w:instrText xml:space="preserve"> HYPERLINK \l _Toc29520 </w:instrText>
      </w:r>
      <w:r>
        <w:fldChar w:fldCharType="separate"/>
      </w:r>
      <w:r>
        <w:t>3.2 政策规则库与数据库设计</w:t>
      </w:r>
      <w:r>
        <w:tab/>
      </w:r>
      <w:r>
        <w:fldChar w:fldCharType="begin"/>
      </w:r>
      <w:r>
        <w:instrText xml:space="preserve"> PAGEREF _Toc29520 \h </w:instrText>
      </w:r>
      <w:r>
        <w:fldChar w:fldCharType="separate"/>
      </w:r>
      <w:r>
        <w:t>20</w:t>
      </w:r>
      <w:r>
        <w:fldChar w:fldCharType="end"/>
      </w:r>
      <w:r>
        <w:fldChar w:fldCharType="end"/>
      </w:r>
    </w:p>
    <w:p w14:paraId="7E32497C">
      <w:pPr>
        <w:pStyle w:val="75"/>
        <w:tabs>
          <w:tab w:val="right" w:leader="dot" w:pos="8634"/>
        </w:tabs>
      </w:pPr>
      <w:r>
        <w:fldChar w:fldCharType="begin"/>
      </w:r>
      <w:r>
        <w:instrText xml:space="preserve"> HYPERLINK \l _Toc18605 </w:instrText>
      </w:r>
      <w:r>
        <w:fldChar w:fldCharType="separate"/>
      </w:r>
      <w:r>
        <w:t>3.3 T2SQL取证模块实现</w:t>
      </w:r>
      <w:r>
        <w:tab/>
      </w:r>
      <w:r>
        <w:fldChar w:fldCharType="begin"/>
      </w:r>
      <w:r>
        <w:instrText xml:space="preserve"> PAGEREF _Toc18605 \h </w:instrText>
      </w:r>
      <w:r>
        <w:fldChar w:fldCharType="separate"/>
      </w:r>
      <w:r>
        <w:t>22</w:t>
      </w:r>
      <w:r>
        <w:fldChar w:fldCharType="end"/>
      </w:r>
      <w:r>
        <w:fldChar w:fldCharType="end"/>
      </w:r>
    </w:p>
    <w:p w14:paraId="3C1FECB4">
      <w:pPr>
        <w:pStyle w:val="75"/>
        <w:tabs>
          <w:tab w:val="right" w:leader="dot" w:pos="8634"/>
        </w:tabs>
      </w:pPr>
      <w:r>
        <w:fldChar w:fldCharType="begin"/>
      </w:r>
      <w:r>
        <w:instrText xml:space="preserve"> HYPERLINK \l _Toc9628 </w:instrText>
      </w:r>
      <w:r>
        <w:fldChar w:fldCharType="separate"/>
      </w:r>
      <w:r>
        <w:t>3.4 证据卡片与对象画像实现</w:t>
      </w:r>
      <w:r>
        <w:tab/>
      </w:r>
      <w:r>
        <w:fldChar w:fldCharType="begin"/>
      </w:r>
      <w:r>
        <w:instrText xml:space="preserve"> PAGEREF _Toc9628 \h </w:instrText>
      </w:r>
      <w:r>
        <w:fldChar w:fldCharType="separate"/>
      </w:r>
      <w:r>
        <w:t>23</w:t>
      </w:r>
      <w:r>
        <w:fldChar w:fldCharType="end"/>
      </w:r>
      <w:r>
        <w:fldChar w:fldCharType="end"/>
      </w:r>
    </w:p>
    <w:p w14:paraId="25A86AB8">
      <w:pPr>
        <w:pStyle w:val="75"/>
        <w:tabs>
          <w:tab w:val="right" w:leader="dot" w:pos="8634"/>
        </w:tabs>
      </w:pPr>
      <w:r>
        <w:fldChar w:fldCharType="begin"/>
      </w:r>
      <w:r>
        <w:instrText xml:space="preserve"> HYPERLINK \l _Toc41 </w:instrText>
      </w:r>
      <w:r>
        <w:fldChar w:fldCharType="separate"/>
      </w:r>
      <w:r>
        <w:t>3.5 多Agent辩论与仲裁实现</w:t>
      </w:r>
      <w:r>
        <w:tab/>
      </w:r>
      <w:r>
        <w:fldChar w:fldCharType="begin"/>
      </w:r>
      <w:r>
        <w:instrText xml:space="preserve"> PAGEREF _Toc41 \h </w:instrText>
      </w:r>
      <w:r>
        <w:fldChar w:fldCharType="separate"/>
      </w:r>
      <w:r>
        <w:t>24</w:t>
      </w:r>
      <w:r>
        <w:fldChar w:fldCharType="end"/>
      </w:r>
      <w:r>
        <w:fldChar w:fldCharType="end"/>
      </w:r>
    </w:p>
    <w:p w14:paraId="6373837A">
      <w:pPr>
        <w:pStyle w:val="45"/>
        <w:tabs>
          <w:tab w:val="right" w:leader="dot" w:pos="8634"/>
        </w:tabs>
      </w:pPr>
      <w:r>
        <w:fldChar w:fldCharType="begin"/>
      </w:r>
      <w:r>
        <w:instrText xml:space="preserve"> HYPERLINK \l _Toc17187 </w:instrText>
      </w:r>
      <w:r>
        <w:fldChar w:fldCharType="separate"/>
      </w:r>
      <w:r>
        <w:rPr>
          <w:rFonts w:hint="eastAsia"/>
          <w:lang w:val="en-US" w:eastAsia="zh-CN"/>
        </w:rPr>
        <w:t>3.5.1 辩论输入设计</w:t>
      </w:r>
      <w:r>
        <w:tab/>
      </w:r>
      <w:r>
        <w:fldChar w:fldCharType="begin"/>
      </w:r>
      <w:r>
        <w:instrText xml:space="preserve"> PAGEREF _Toc17187 \h </w:instrText>
      </w:r>
      <w:r>
        <w:fldChar w:fldCharType="separate"/>
      </w:r>
      <w:r>
        <w:t>24</w:t>
      </w:r>
      <w:r>
        <w:fldChar w:fldCharType="end"/>
      </w:r>
      <w:r>
        <w:fldChar w:fldCharType="end"/>
      </w:r>
    </w:p>
    <w:p w14:paraId="3EDCA11E">
      <w:pPr>
        <w:pStyle w:val="45"/>
        <w:tabs>
          <w:tab w:val="right" w:leader="dot" w:pos="8634"/>
        </w:tabs>
      </w:pPr>
      <w:r>
        <w:fldChar w:fldCharType="begin"/>
      </w:r>
      <w:r>
        <w:instrText xml:space="preserve"> HYPERLINK \l _Toc20031 </w:instrText>
      </w:r>
      <w:r>
        <w:fldChar w:fldCharType="separate"/>
      </w:r>
      <w:r>
        <w:rPr>
          <w:rFonts w:hint="eastAsia"/>
          <w:lang w:val="en-US" w:eastAsia="zh-CN"/>
        </w:rPr>
        <w:t>3.5.2 辩论角色设计</w:t>
      </w:r>
      <w:r>
        <w:tab/>
      </w:r>
      <w:r>
        <w:fldChar w:fldCharType="begin"/>
      </w:r>
      <w:r>
        <w:instrText xml:space="preserve"> PAGEREF _Toc20031 \h </w:instrText>
      </w:r>
      <w:r>
        <w:fldChar w:fldCharType="separate"/>
      </w:r>
      <w:r>
        <w:t>25</w:t>
      </w:r>
      <w:r>
        <w:fldChar w:fldCharType="end"/>
      </w:r>
      <w:r>
        <w:fldChar w:fldCharType="end"/>
      </w:r>
    </w:p>
    <w:p w14:paraId="3491B819">
      <w:pPr>
        <w:pStyle w:val="45"/>
        <w:tabs>
          <w:tab w:val="right" w:leader="dot" w:pos="8634"/>
        </w:tabs>
      </w:pPr>
      <w:r>
        <w:fldChar w:fldCharType="begin"/>
      </w:r>
      <w:r>
        <w:instrText xml:space="preserve"> HYPERLINK \l _Toc3329 </w:instrText>
      </w:r>
      <w:r>
        <w:fldChar w:fldCharType="separate"/>
      </w:r>
      <w:r>
        <w:rPr>
          <w:rFonts w:hint="eastAsia"/>
          <w:lang w:val="en-US" w:eastAsia="zh-CN"/>
        </w:rPr>
        <w:t>3.5.3 辩论输出约束</w:t>
      </w:r>
      <w:r>
        <w:tab/>
      </w:r>
      <w:r>
        <w:fldChar w:fldCharType="begin"/>
      </w:r>
      <w:r>
        <w:instrText xml:space="preserve"> PAGEREF _Toc3329 \h </w:instrText>
      </w:r>
      <w:r>
        <w:fldChar w:fldCharType="separate"/>
      </w:r>
      <w:r>
        <w:t>25</w:t>
      </w:r>
      <w:r>
        <w:fldChar w:fldCharType="end"/>
      </w:r>
      <w:r>
        <w:fldChar w:fldCharType="end"/>
      </w:r>
    </w:p>
    <w:p w14:paraId="1A65DB11">
      <w:pPr>
        <w:pStyle w:val="45"/>
        <w:tabs>
          <w:tab w:val="right" w:leader="dot" w:pos="8634"/>
        </w:tabs>
      </w:pPr>
      <w:r>
        <w:fldChar w:fldCharType="begin"/>
      </w:r>
      <w:r>
        <w:instrText xml:space="preserve"> HYPERLINK \l _Toc23534 </w:instrText>
      </w:r>
      <w:r>
        <w:fldChar w:fldCharType="separate"/>
      </w:r>
      <w:r>
        <w:rPr>
          <w:rFonts w:hint="eastAsia"/>
          <w:lang w:val="en-US" w:eastAsia="zh-CN"/>
        </w:rPr>
        <w:t>3.5.4 分歧暴露与保守仲裁</w:t>
      </w:r>
      <w:r>
        <w:tab/>
      </w:r>
      <w:r>
        <w:fldChar w:fldCharType="begin"/>
      </w:r>
      <w:r>
        <w:instrText xml:space="preserve"> PAGEREF _Toc23534 \h </w:instrText>
      </w:r>
      <w:r>
        <w:fldChar w:fldCharType="separate"/>
      </w:r>
      <w:r>
        <w:t>26</w:t>
      </w:r>
      <w:r>
        <w:fldChar w:fldCharType="end"/>
      </w:r>
      <w:r>
        <w:fldChar w:fldCharType="end"/>
      </w:r>
    </w:p>
    <w:p w14:paraId="7CC9D04F">
      <w:pPr>
        <w:pStyle w:val="45"/>
        <w:tabs>
          <w:tab w:val="right" w:leader="dot" w:pos="8634"/>
        </w:tabs>
      </w:pPr>
      <w:r>
        <w:fldChar w:fldCharType="begin"/>
      </w:r>
      <w:r>
        <w:instrText xml:space="preserve"> HYPERLINK \l _Toc2874 </w:instrText>
      </w:r>
      <w:r>
        <w:fldChar w:fldCharType="separate"/>
      </w:r>
      <w:r>
        <w:rPr>
          <w:rFonts w:hint="eastAsia"/>
          <w:lang w:val="en-US" w:eastAsia="zh-CN"/>
        </w:rPr>
        <w:t>3.5.5 辩论过程留痕</w:t>
      </w:r>
      <w:r>
        <w:tab/>
      </w:r>
      <w:r>
        <w:fldChar w:fldCharType="begin"/>
      </w:r>
      <w:r>
        <w:instrText xml:space="preserve"> PAGEREF _Toc2874 \h </w:instrText>
      </w:r>
      <w:r>
        <w:fldChar w:fldCharType="separate"/>
      </w:r>
      <w:r>
        <w:t>26</w:t>
      </w:r>
      <w:r>
        <w:fldChar w:fldCharType="end"/>
      </w:r>
      <w:r>
        <w:fldChar w:fldCharType="end"/>
      </w:r>
    </w:p>
    <w:p w14:paraId="2F13F486">
      <w:pPr>
        <w:pStyle w:val="75"/>
        <w:tabs>
          <w:tab w:val="right" w:leader="dot" w:pos="8634"/>
        </w:tabs>
      </w:pPr>
      <w:r>
        <w:fldChar w:fldCharType="begin"/>
      </w:r>
      <w:r>
        <w:instrText xml:space="preserve"> HYPERLINK \l _Toc12295 </w:instrText>
      </w:r>
      <w:r>
        <w:fldChar w:fldCharType="separate"/>
      </w:r>
      <w:r>
        <w:t>3.6 人工复核与报告生成实现</w:t>
      </w:r>
      <w:r>
        <w:tab/>
      </w:r>
      <w:r>
        <w:fldChar w:fldCharType="begin"/>
      </w:r>
      <w:r>
        <w:instrText xml:space="preserve"> PAGEREF _Toc12295 \h </w:instrText>
      </w:r>
      <w:r>
        <w:fldChar w:fldCharType="separate"/>
      </w:r>
      <w:r>
        <w:t>27</w:t>
      </w:r>
      <w:r>
        <w:fldChar w:fldCharType="end"/>
      </w:r>
      <w:r>
        <w:fldChar w:fldCharType="end"/>
      </w:r>
    </w:p>
    <w:p w14:paraId="73D6742B">
      <w:pPr>
        <w:pStyle w:val="60"/>
        <w:tabs>
          <w:tab w:val="right" w:leader="dot" w:pos="8634"/>
        </w:tabs>
      </w:pPr>
      <w:r>
        <w:fldChar w:fldCharType="begin"/>
      </w:r>
      <w:r>
        <w:instrText xml:space="preserve"> HYPERLINK \l _Toc21693 </w:instrText>
      </w:r>
      <w:r>
        <w:fldChar w:fldCharType="separate"/>
      </w:r>
      <w:r>
        <w:rPr>
          <w:rFonts w:hint="eastAsia"/>
          <w:lang w:val="en-US" w:eastAsia="zh-CN"/>
        </w:rPr>
        <w:t xml:space="preserve">第四章 </w:t>
      </w:r>
      <w:r>
        <w:t>项目</w:t>
      </w:r>
      <w:r>
        <w:rPr>
          <w:rFonts w:hint="eastAsia"/>
          <w:lang w:val="en-US" w:eastAsia="zh-CN"/>
        </w:rPr>
        <w:t>可信链路</w:t>
      </w:r>
      <w:r>
        <w:t>测试</w:t>
      </w:r>
      <w:r>
        <w:tab/>
      </w:r>
      <w:r>
        <w:fldChar w:fldCharType="begin"/>
      </w:r>
      <w:r>
        <w:instrText xml:space="preserve"> PAGEREF _Toc21693 \h </w:instrText>
      </w:r>
      <w:r>
        <w:fldChar w:fldCharType="separate"/>
      </w:r>
      <w:r>
        <w:t>29</w:t>
      </w:r>
      <w:r>
        <w:fldChar w:fldCharType="end"/>
      </w:r>
      <w:r>
        <w:fldChar w:fldCharType="end"/>
      </w:r>
    </w:p>
    <w:p w14:paraId="44106A14">
      <w:pPr>
        <w:pStyle w:val="75"/>
        <w:tabs>
          <w:tab w:val="right" w:leader="dot" w:pos="8634"/>
        </w:tabs>
      </w:pPr>
      <w:r>
        <w:fldChar w:fldCharType="begin"/>
      </w:r>
      <w:r>
        <w:instrText xml:space="preserve"> HYPERLINK \l _Toc27573 </w:instrText>
      </w:r>
      <w:r>
        <w:fldChar w:fldCharType="separate"/>
      </w:r>
      <w:r>
        <w:rPr>
          <w:rFonts w:hint="eastAsia"/>
          <w:vertAlign w:val="baseline"/>
          <w:lang w:val="en-US" w:eastAsia="zh-CN"/>
        </w:rPr>
        <w:t>4</w:t>
      </w:r>
      <w:r>
        <w:rPr>
          <w:rFonts w:hint="eastAsia"/>
          <w:vertAlign w:val="baseline"/>
          <w:lang w:eastAsia="zh-CN"/>
        </w:rPr>
        <w:t xml:space="preserve">.1 </w:t>
      </w:r>
      <w:r>
        <w:rPr>
          <w:vertAlign w:val="baseline"/>
        </w:rPr>
        <w:t>测试目标与测试原则</w:t>
      </w:r>
      <w:r>
        <w:tab/>
      </w:r>
      <w:r>
        <w:fldChar w:fldCharType="begin"/>
      </w:r>
      <w:r>
        <w:instrText xml:space="preserve"> PAGEREF _Toc27573 \h </w:instrText>
      </w:r>
      <w:r>
        <w:fldChar w:fldCharType="separate"/>
      </w:r>
      <w:r>
        <w:t>29</w:t>
      </w:r>
      <w:r>
        <w:fldChar w:fldCharType="end"/>
      </w:r>
      <w:r>
        <w:fldChar w:fldCharType="end"/>
      </w:r>
    </w:p>
    <w:p w14:paraId="22412EB9">
      <w:pPr>
        <w:pStyle w:val="75"/>
        <w:tabs>
          <w:tab w:val="right" w:leader="dot" w:pos="8634"/>
        </w:tabs>
      </w:pPr>
      <w:r>
        <w:fldChar w:fldCharType="begin"/>
      </w:r>
      <w:r>
        <w:instrText xml:space="preserve"> HYPERLINK \l _Toc7217 </w:instrText>
      </w:r>
      <w:r>
        <w:fldChar w:fldCharType="separate"/>
      </w:r>
      <w:r>
        <w:rPr>
          <w:rFonts w:hint="eastAsia"/>
          <w:vertAlign w:val="baseline"/>
          <w:lang w:val="en-US" w:eastAsia="zh-CN"/>
        </w:rPr>
        <w:t>4</w:t>
      </w:r>
      <w:r>
        <w:rPr>
          <w:rFonts w:hint="eastAsia"/>
          <w:vertAlign w:val="baseline"/>
          <w:lang w:eastAsia="zh-CN"/>
        </w:rPr>
        <w:t xml:space="preserve">.2 </w:t>
      </w:r>
      <w:r>
        <w:rPr>
          <w:vertAlign w:val="baseline"/>
        </w:rPr>
        <w:t>测试环境与测试数据</w:t>
      </w:r>
      <w:r>
        <w:tab/>
      </w:r>
      <w:r>
        <w:fldChar w:fldCharType="begin"/>
      </w:r>
      <w:r>
        <w:instrText xml:space="preserve"> PAGEREF _Toc7217 \h </w:instrText>
      </w:r>
      <w:r>
        <w:fldChar w:fldCharType="separate"/>
      </w:r>
      <w:r>
        <w:t>29</w:t>
      </w:r>
      <w:r>
        <w:fldChar w:fldCharType="end"/>
      </w:r>
      <w:r>
        <w:fldChar w:fldCharType="end"/>
      </w:r>
    </w:p>
    <w:p w14:paraId="35058C7F">
      <w:pPr>
        <w:pStyle w:val="75"/>
        <w:tabs>
          <w:tab w:val="right" w:leader="dot" w:pos="8634"/>
        </w:tabs>
      </w:pPr>
      <w:r>
        <w:fldChar w:fldCharType="begin"/>
      </w:r>
      <w:r>
        <w:instrText xml:space="preserve"> HYPERLINK \l _Toc23684 </w:instrText>
      </w:r>
      <w:r>
        <w:fldChar w:fldCharType="separate"/>
      </w:r>
      <w:r>
        <w:rPr>
          <w:rFonts w:hint="eastAsia"/>
          <w:vertAlign w:val="baseline"/>
          <w:lang w:val="en-US" w:eastAsia="zh-CN"/>
        </w:rPr>
        <w:t>4</w:t>
      </w:r>
      <w:r>
        <w:rPr>
          <w:rFonts w:hint="eastAsia"/>
          <w:vertAlign w:val="baseline"/>
          <w:lang w:eastAsia="zh-CN"/>
        </w:rPr>
        <w:t xml:space="preserve">.3 </w:t>
      </w:r>
      <w:r>
        <w:rPr>
          <w:vertAlign w:val="baseline"/>
        </w:rPr>
        <w:t>T2SQL数据取证链路测试</w:t>
      </w:r>
      <w:r>
        <w:tab/>
      </w:r>
      <w:r>
        <w:fldChar w:fldCharType="begin"/>
      </w:r>
      <w:r>
        <w:instrText xml:space="preserve"> PAGEREF _Toc23684 \h </w:instrText>
      </w:r>
      <w:r>
        <w:fldChar w:fldCharType="separate"/>
      </w:r>
      <w:r>
        <w:t>30</w:t>
      </w:r>
      <w:r>
        <w:fldChar w:fldCharType="end"/>
      </w:r>
      <w:r>
        <w:fldChar w:fldCharType="end"/>
      </w:r>
    </w:p>
    <w:p w14:paraId="7445624C">
      <w:pPr>
        <w:pStyle w:val="75"/>
        <w:tabs>
          <w:tab w:val="right" w:leader="dot" w:pos="8634"/>
        </w:tabs>
      </w:pPr>
      <w:r>
        <w:fldChar w:fldCharType="begin"/>
      </w:r>
      <w:r>
        <w:instrText xml:space="preserve"> HYPERLINK \l _Toc20588 </w:instrText>
      </w:r>
      <w:r>
        <w:fldChar w:fldCharType="separate"/>
      </w:r>
      <w:r>
        <w:rPr>
          <w:rFonts w:hint="eastAsia"/>
          <w:vertAlign w:val="baseline"/>
          <w:lang w:val="en-US" w:eastAsia="zh-CN"/>
        </w:rPr>
        <w:t>4</w:t>
      </w:r>
      <w:r>
        <w:rPr>
          <w:rFonts w:hint="eastAsia"/>
          <w:vertAlign w:val="baseline"/>
          <w:lang w:eastAsia="zh-CN"/>
        </w:rPr>
        <w:t xml:space="preserve">.4 </w:t>
      </w:r>
      <w:r>
        <w:rPr>
          <w:vertAlign w:val="baseline"/>
        </w:rPr>
        <w:t>多Agent研判链路测试</w:t>
      </w:r>
      <w:r>
        <w:tab/>
      </w:r>
      <w:r>
        <w:fldChar w:fldCharType="begin"/>
      </w:r>
      <w:r>
        <w:instrText xml:space="preserve"> PAGEREF _Toc20588 \h </w:instrText>
      </w:r>
      <w:r>
        <w:fldChar w:fldCharType="separate"/>
      </w:r>
      <w:r>
        <w:t>32</w:t>
      </w:r>
      <w:r>
        <w:fldChar w:fldCharType="end"/>
      </w:r>
      <w:r>
        <w:fldChar w:fldCharType="end"/>
      </w:r>
    </w:p>
    <w:p w14:paraId="3041E39D">
      <w:pPr>
        <w:pStyle w:val="75"/>
        <w:tabs>
          <w:tab w:val="right" w:leader="dot" w:pos="8634"/>
        </w:tabs>
      </w:pPr>
      <w:r>
        <w:fldChar w:fldCharType="begin"/>
      </w:r>
      <w:r>
        <w:instrText xml:space="preserve"> HYPERLINK \l _Toc6015 </w:instrText>
      </w:r>
      <w:r>
        <w:fldChar w:fldCharType="separate"/>
      </w:r>
      <w:r>
        <w:rPr>
          <w:rFonts w:hint="eastAsia"/>
          <w:vertAlign w:val="baseline"/>
          <w:lang w:val="en-US" w:eastAsia="zh-CN"/>
        </w:rPr>
        <w:t>4</w:t>
      </w:r>
      <w:r>
        <w:rPr>
          <w:rFonts w:hint="eastAsia"/>
          <w:vertAlign w:val="baseline"/>
          <w:lang w:eastAsia="zh-CN"/>
        </w:rPr>
        <w:t>.</w:t>
      </w:r>
      <w:r>
        <w:rPr>
          <w:rFonts w:hint="eastAsia"/>
          <w:vertAlign w:val="baseline"/>
          <w:lang w:val="en-US" w:eastAsia="zh-CN"/>
        </w:rPr>
        <w:t>5</w:t>
      </w:r>
      <w:r>
        <w:rPr>
          <w:rFonts w:hint="eastAsia"/>
          <w:vertAlign w:val="baseline"/>
          <w:lang w:eastAsia="zh-CN"/>
        </w:rPr>
        <w:t xml:space="preserve"> </w:t>
      </w:r>
      <w:r>
        <w:rPr>
          <w:vertAlign w:val="baseline"/>
        </w:rPr>
        <w:t>测试结论</w:t>
      </w:r>
      <w:r>
        <w:tab/>
      </w:r>
      <w:r>
        <w:fldChar w:fldCharType="begin"/>
      </w:r>
      <w:r>
        <w:instrText xml:space="preserve"> PAGEREF _Toc6015 \h </w:instrText>
      </w:r>
      <w:r>
        <w:fldChar w:fldCharType="separate"/>
      </w:r>
      <w:r>
        <w:t>34</w:t>
      </w:r>
      <w:r>
        <w:fldChar w:fldCharType="end"/>
      </w:r>
      <w:r>
        <w:fldChar w:fldCharType="end"/>
      </w:r>
    </w:p>
    <w:p w14:paraId="674DE381">
      <w:pPr>
        <w:pStyle w:val="60"/>
        <w:tabs>
          <w:tab w:val="right" w:leader="dot" w:pos="8634"/>
        </w:tabs>
      </w:pPr>
      <w:r>
        <w:fldChar w:fldCharType="begin"/>
      </w:r>
      <w:r>
        <w:instrText xml:space="preserve"> HYPERLINK \l _Toc21908 </w:instrText>
      </w:r>
      <w:r>
        <w:fldChar w:fldCharType="separate"/>
      </w:r>
      <w:r>
        <w:rPr>
          <w:rFonts w:hint="eastAsia"/>
          <w:vertAlign w:val="baseline"/>
          <w:lang w:val="en-US" w:eastAsia="zh-CN"/>
        </w:rPr>
        <w:t>第五章</w:t>
      </w:r>
      <w:r>
        <w:rPr>
          <w:rFonts w:hint="eastAsia"/>
          <w:vertAlign w:val="baseline"/>
          <w:lang w:eastAsia="zh-CN"/>
        </w:rPr>
        <w:t xml:space="preserve"> </w:t>
      </w:r>
      <w:r>
        <w:rPr>
          <w:vertAlign w:val="baseline"/>
        </w:rPr>
        <w:t>项目创新点</w:t>
      </w:r>
      <w:r>
        <w:tab/>
      </w:r>
      <w:r>
        <w:fldChar w:fldCharType="begin"/>
      </w:r>
      <w:r>
        <w:instrText xml:space="preserve"> PAGEREF _Toc21908 \h </w:instrText>
      </w:r>
      <w:r>
        <w:fldChar w:fldCharType="separate"/>
      </w:r>
      <w:r>
        <w:t>35</w:t>
      </w:r>
      <w:r>
        <w:fldChar w:fldCharType="end"/>
      </w:r>
      <w:r>
        <w:fldChar w:fldCharType="end"/>
      </w:r>
    </w:p>
    <w:p w14:paraId="104D452A">
      <w:pPr>
        <w:pStyle w:val="75"/>
        <w:tabs>
          <w:tab w:val="right" w:leader="dot" w:pos="8634"/>
        </w:tabs>
      </w:pPr>
      <w:r>
        <w:fldChar w:fldCharType="begin"/>
      </w:r>
      <w:r>
        <w:instrText xml:space="preserve"> HYPERLINK \l _Toc11865 </w:instrText>
      </w:r>
      <w:r>
        <w:fldChar w:fldCharType="separate"/>
      </w:r>
      <w:r>
        <w:rPr>
          <w:rFonts w:hint="eastAsia"/>
          <w:lang w:val="en-US" w:eastAsia="zh-CN"/>
        </w:rPr>
        <w:t>5</w:t>
      </w:r>
      <w:r>
        <w:t>.1 总体创新思路</w:t>
      </w:r>
      <w:r>
        <w:tab/>
      </w:r>
      <w:r>
        <w:fldChar w:fldCharType="begin"/>
      </w:r>
      <w:r>
        <w:instrText xml:space="preserve"> PAGEREF _Toc11865 \h </w:instrText>
      </w:r>
      <w:r>
        <w:fldChar w:fldCharType="separate"/>
      </w:r>
      <w:r>
        <w:t>35</w:t>
      </w:r>
      <w:r>
        <w:fldChar w:fldCharType="end"/>
      </w:r>
      <w:r>
        <w:fldChar w:fldCharType="end"/>
      </w:r>
    </w:p>
    <w:p w14:paraId="1D72BF2B">
      <w:pPr>
        <w:pStyle w:val="75"/>
        <w:tabs>
          <w:tab w:val="right" w:leader="dot" w:pos="8634"/>
        </w:tabs>
      </w:pPr>
      <w:r>
        <w:fldChar w:fldCharType="begin"/>
      </w:r>
      <w:r>
        <w:instrText xml:space="preserve"> HYPERLINK \l _Toc17451 </w:instrText>
      </w:r>
      <w:r>
        <w:fldChar w:fldCharType="separate"/>
      </w:r>
      <w:r>
        <w:rPr>
          <w:rFonts w:hint="eastAsia"/>
          <w:lang w:val="en-US" w:eastAsia="zh-CN"/>
        </w:rPr>
        <w:t>5</w:t>
      </w:r>
      <w:r>
        <w:t>.2 证据约束下的多Agent辩论仲裁机制</w:t>
      </w:r>
      <w:r>
        <w:tab/>
      </w:r>
      <w:r>
        <w:fldChar w:fldCharType="begin"/>
      </w:r>
      <w:r>
        <w:instrText xml:space="preserve"> PAGEREF _Toc17451 \h </w:instrText>
      </w:r>
      <w:r>
        <w:fldChar w:fldCharType="separate"/>
      </w:r>
      <w:r>
        <w:t>35</w:t>
      </w:r>
      <w:r>
        <w:fldChar w:fldCharType="end"/>
      </w:r>
      <w:r>
        <w:fldChar w:fldCharType="end"/>
      </w:r>
    </w:p>
    <w:p w14:paraId="790EECAD">
      <w:pPr>
        <w:pStyle w:val="75"/>
        <w:tabs>
          <w:tab w:val="right" w:leader="dot" w:pos="8634"/>
        </w:tabs>
      </w:pPr>
      <w:r>
        <w:fldChar w:fldCharType="begin"/>
      </w:r>
      <w:r>
        <w:instrText xml:space="preserve"> HYPERLINK \l _Toc22207 </w:instrText>
      </w:r>
      <w:r>
        <w:fldChar w:fldCharType="separate"/>
      </w:r>
      <w:r>
        <w:rPr>
          <w:rFonts w:hint="eastAsia"/>
          <w:lang w:val="en-US" w:eastAsia="zh-CN"/>
        </w:rPr>
        <w:t>5</w:t>
      </w:r>
      <w:r>
        <w:t>.3 规则驱动的T2SQL证据链取证机制</w:t>
      </w:r>
      <w:r>
        <w:tab/>
      </w:r>
      <w:r>
        <w:fldChar w:fldCharType="begin"/>
      </w:r>
      <w:r>
        <w:instrText xml:space="preserve"> PAGEREF _Toc22207 \h </w:instrText>
      </w:r>
      <w:r>
        <w:fldChar w:fldCharType="separate"/>
      </w:r>
      <w:r>
        <w:t>36</w:t>
      </w:r>
      <w:r>
        <w:fldChar w:fldCharType="end"/>
      </w:r>
      <w:r>
        <w:fldChar w:fldCharType="end"/>
      </w:r>
    </w:p>
    <w:p w14:paraId="5B5293CE">
      <w:pPr>
        <w:pStyle w:val="75"/>
        <w:tabs>
          <w:tab w:val="right" w:leader="dot" w:pos="8634"/>
        </w:tabs>
      </w:pPr>
      <w:r>
        <w:fldChar w:fldCharType="begin"/>
      </w:r>
      <w:r>
        <w:instrText xml:space="preserve"> HYPERLINK \l _Toc17817 </w:instrText>
      </w:r>
      <w:r>
        <w:fldChar w:fldCharType="separate"/>
      </w:r>
      <w:r>
        <w:rPr>
          <w:rFonts w:hint="eastAsia"/>
          <w:lang w:val="en-US" w:eastAsia="zh-CN"/>
        </w:rPr>
        <w:t>5</w:t>
      </w:r>
      <w:r>
        <w:t>.4 面向执行反馈的SQL自诊断修复机制</w:t>
      </w:r>
      <w:r>
        <w:tab/>
      </w:r>
      <w:r>
        <w:fldChar w:fldCharType="begin"/>
      </w:r>
      <w:r>
        <w:instrText xml:space="preserve"> PAGEREF _Toc17817 \h </w:instrText>
      </w:r>
      <w:r>
        <w:fldChar w:fldCharType="separate"/>
      </w:r>
      <w:r>
        <w:t>36</w:t>
      </w:r>
      <w:r>
        <w:fldChar w:fldCharType="end"/>
      </w:r>
      <w:r>
        <w:fldChar w:fldCharType="end"/>
      </w:r>
    </w:p>
    <w:p w14:paraId="03A525D7">
      <w:pPr>
        <w:pStyle w:val="75"/>
        <w:tabs>
          <w:tab w:val="right" w:leader="dot" w:pos="8634"/>
        </w:tabs>
      </w:pPr>
      <w:r>
        <w:fldChar w:fldCharType="begin"/>
      </w:r>
      <w:r>
        <w:instrText xml:space="preserve"> HYPERLINK \l _Toc23868 </w:instrText>
      </w:r>
      <w:r>
        <w:fldChar w:fldCharType="separate"/>
      </w:r>
      <w:r>
        <w:rPr>
          <w:rFonts w:hint="eastAsia"/>
          <w:lang w:val="en-US" w:eastAsia="zh-CN"/>
        </w:rPr>
        <w:t>5</w:t>
      </w:r>
      <w:r>
        <w:t>.5 面向规则类型的证据语义判定机制</w:t>
      </w:r>
      <w:r>
        <w:tab/>
      </w:r>
      <w:r>
        <w:fldChar w:fldCharType="begin"/>
      </w:r>
      <w:r>
        <w:instrText xml:space="preserve"> PAGEREF _Toc23868 \h </w:instrText>
      </w:r>
      <w:r>
        <w:fldChar w:fldCharType="separate"/>
      </w:r>
      <w:r>
        <w:t>37</w:t>
      </w:r>
      <w:r>
        <w:fldChar w:fldCharType="end"/>
      </w:r>
      <w:r>
        <w:fldChar w:fldCharType="end"/>
      </w:r>
    </w:p>
    <w:p w14:paraId="529C30CD">
      <w:pPr>
        <w:pStyle w:val="75"/>
        <w:tabs>
          <w:tab w:val="right" w:leader="dot" w:pos="8634"/>
        </w:tabs>
      </w:pPr>
      <w:r>
        <w:fldChar w:fldCharType="begin"/>
      </w:r>
      <w:r>
        <w:instrText xml:space="preserve"> HYPERLINK \l _Toc8690 </w:instrText>
      </w:r>
      <w:r>
        <w:fldChar w:fldCharType="separate"/>
      </w:r>
      <w:r>
        <w:rPr>
          <w:rFonts w:hint="eastAsia"/>
          <w:lang w:val="en-US" w:eastAsia="zh-CN"/>
        </w:rPr>
        <w:t>5</w:t>
      </w:r>
      <w:r>
        <w:t>.6 人工复核参与的全链路留痕机制</w:t>
      </w:r>
      <w:r>
        <w:tab/>
      </w:r>
      <w:r>
        <w:fldChar w:fldCharType="begin"/>
      </w:r>
      <w:r>
        <w:instrText xml:space="preserve"> PAGEREF _Toc8690 \h </w:instrText>
      </w:r>
      <w:r>
        <w:fldChar w:fldCharType="separate"/>
      </w:r>
      <w:r>
        <w:t>37</w:t>
      </w:r>
      <w:r>
        <w:fldChar w:fldCharType="end"/>
      </w:r>
      <w:r>
        <w:fldChar w:fldCharType="end"/>
      </w:r>
    </w:p>
    <w:p w14:paraId="50258475">
      <w:pPr>
        <w:pStyle w:val="60"/>
        <w:tabs>
          <w:tab w:val="right" w:leader="dot" w:pos="8634"/>
        </w:tabs>
      </w:pPr>
      <w:r>
        <w:fldChar w:fldCharType="begin"/>
      </w:r>
      <w:r>
        <w:instrText xml:space="preserve"> HYPERLINK \l _Toc18529 </w:instrText>
      </w:r>
      <w:r>
        <w:fldChar w:fldCharType="separate"/>
      </w:r>
      <w:r>
        <w:rPr>
          <w:rFonts w:hint="eastAsia"/>
          <w:vertAlign w:val="baseline"/>
          <w:lang w:val="en-US" w:eastAsia="zh-CN"/>
        </w:rPr>
        <w:t xml:space="preserve">第五章 </w:t>
      </w:r>
      <w:r>
        <w:rPr>
          <w:vertAlign w:val="baseline"/>
        </w:rPr>
        <w:t>应用背景及社会价值</w:t>
      </w:r>
      <w:r>
        <w:tab/>
      </w:r>
      <w:r>
        <w:fldChar w:fldCharType="begin"/>
      </w:r>
      <w:r>
        <w:instrText xml:space="preserve"> PAGEREF _Toc18529 \h </w:instrText>
      </w:r>
      <w:r>
        <w:fldChar w:fldCharType="separate"/>
      </w:r>
      <w:r>
        <w:t>39</w:t>
      </w:r>
      <w:r>
        <w:fldChar w:fldCharType="end"/>
      </w:r>
      <w:r>
        <w:fldChar w:fldCharType="end"/>
      </w:r>
    </w:p>
    <w:p w14:paraId="43CC2DF8">
      <w:pPr>
        <w:pStyle w:val="75"/>
        <w:tabs>
          <w:tab w:val="right" w:leader="dot" w:pos="8634"/>
        </w:tabs>
      </w:pPr>
      <w:r>
        <w:fldChar w:fldCharType="begin"/>
      </w:r>
      <w:r>
        <w:instrText xml:space="preserve"> HYPERLINK \l _Toc28942 </w:instrText>
      </w:r>
      <w:r>
        <w:fldChar w:fldCharType="separate"/>
      </w:r>
      <w:r>
        <w:rPr>
          <w:rFonts w:hint="eastAsia"/>
          <w:lang w:val="en-US" w:eastAsia="zh-CN"/>
        </w:rPr>
        <w:t>5.1 应用背景</w:t>
      </w:r>
      <w:r>
        <w:tab/>
      </w:r>
      <w:r>
        <w:fldChar w:fldCharType="begin"/>
      </w:r>
      <w:r>
        <w:instrText xml:space="preserve"> PAGEREF _Toc28942 \h </w:instrText>
      </w:r>
      <w:r>
        <w:fldChar w:fldCharType="separate"/>
      </w:r>
      <w:r>
        <w:t>39</w:t>
      </w:r>
      <w:r>
        <w:fldChar w:fldCharType="end"/>
      </w:r>
      <w:r>
        <w:fldChar w:fldCharType="end"/>
      </w:r>
    </w:p>
    <w:p w14:paraId="35806701">
      <w:pPr>
        <w:pStyle w:val="75"/>
        <w:tabs>
          <w:tab w:val="right" w:leader="dot" w:pos="8634"/>
        </w:tabs>
      </w:pPr>
      <w:r>
        <w:fldChar w:fldCharType="begin"/>
      </w:r>
      <w:r>
        <w:instrText xml:space="preserve"> HYPERLINK \l _Toc30222 </w:instrText>
      </w:r>
      <w:r>
        <w:fldChar w:fldCharType="separate"/>
      </w:r>
      <w:r>
        <w:rPr>
          <w:rFonts w:hint="eastAsia"/>
          <w:vertAlign w:val="baseline"/>
          <w:lang w:val="en-US" w:eastAsia="zh-CN"/>
        </w:rPr>
        <w:t>5</w:t>
      </w:r>
      <w:r>
        <w:rPr>
          <w:rFonts w:hint="eastAsia"/>
          <w:vertAlign w:val="baseline"/>
          <w:lang w:eastAsia="zh-CN"/>
        </w:rPr>
        <w:t xml:space="preserve">.2 </w:t>
      </w:r>
      <w:r>
        <w:rPr>
          <w:vertAlign w:val="baseline"/>
        </w:rPr>
        <w:t>典型应用场景</w:t>
      </w:r>
      <w:r>
        <w:tab/>
      </w:r>
      <w:r>
        <w:fldChar w:fldCharType="begin"/>
      </w:r>
      <w:r>
        <w:instrText xml:space="preserve"> PAGEREF _Toc30222 \h </w:instrText>
      </w:r>
      <w:r>
        <w:fldChar w:fldCharType="separate"/>
      </w:r>
      <w:r>
        <w:t>39</w:t>
      </w:r>
      <w:r>
        <w:fldChar w:fldCharType="end"/>
      </w:r>
      <w:r>
        <w:fldChar w:fldCharType="end"/>
      </w:r>
    </w:p>
    <w:p w14:paraId="145872B3">
      <w:pPr>
        <w:pStyle w:val="75"/>
        <w:tabs>
          <w:tab w:val="right" w:leader="dot" w:pos="8634"/>
        </w:tabs>
      </w:pPr>
      <w:r>
        <w:fldChar w:fldCharType="begin"/>
      </w:r>
      <w:r>
        <w:instrText xml:space="preserve"> HYPERLINK \l _Toc12581 </w:instrText>
      </w:r>
      <w:r>
        <w:fldChar w:fldCharType="separate"/>
      </w:r>
      <w:r>
        <w:rPr>
          <w:rFonts w:hint="eastAsia"/>
          <w:vertAlign w:val="baseline"/>
        </w:rPr>
        <w:t>表5-1 典型应用场景与系统作用</w:t>
      </w:r>
      <w:r>
        <w:tab/>
      </w:r>
      <w:r>
        <w:fldChar w:fldCharType="begin"/>
      </w:r>
      <w:r>
        <w:instrText xml:space="preserve"> PAGEREF _Toc12581 \h </w:instrText>
      </w:r>
      <w:r>
        <w:fldChar w:fldCharType="separate"/>
      </w:r>
      <w:r>
        <w:t>39</w:t>
      </w:r>
      <w:r>
        <w:fldChar w:fldCharType="end"/>
      </w:r>
      <w:r>
        <w:fldChar w:fldCharType="end"/>
      </w:r>
    </w:p>
    <w:p w14:paraId="797107CE">
      <w:pPr>
        <w:pStyle w:val="75"/>
        <w:tabs>
          <w:tab w:val="right" w:leader="dot" w:pos="8634"/>
        </w:tabs>
      </w:pPr>
      <w:r>
        <w:fldChar w:fldCharType="begin"/>
      </w:r>
      <w:r>
        <w:instrText xml:space="preserve"> HYPERLINK \l _Toc3082 </w:instrText>
      </w:r>
      <w:r>
        <w:fldChar w:fldCharType="separate"/>
      </w:r>
      <w:r>
        <w:rPr>
          <w:rFonts w:hint="eastAsia"/>
          <w:lang w:val="en-US" w:eastAsia="zh-CN"/>
        </w:rPr>
        <w:t>5.3 社会价值</w:t>
      </w:r>
      <w:r>
        <w:tab/>
      </w:r>
      <w:r>
        <w:fldChar w:fldCharType="begin"/>
      </w:r>
      <w:r>
        <w:instrText xml:space="preserve"> PAGEREF _Toc3082 \h </w:instrText>
      </w:r>
      <w:r>
        <w:fldChar w:fldCharType="separate"/>
      </w:r>
      <w:r>
        <w:t>39</w:t>
      </w:r>
      <w:r>
        <w:fldChar w:fldCharType="end"/>
      </w:r>
      <w:r>
        <w:fldChar w:fldCharType="end"/>
      </w:r>
    </w:p>
    <w:p w14:paraId="094BF598">
      <w:pPr>
        <w:pStyle w:val="60"/>
        <w:tabs>
          <w:tab w:val="right" w:leader="dot" w:pos="8634"/>
        </w:tabs>
      </w:pPr>
      <w:r>
        <w:fldChar w:fldCharType="begin"/>
      </w:r>
      <w:r>
        <w:instrText xml:space="preserve"> HYPERLINK \l _Toc22416 </w:instrText>
      </w:r>
      <w:r>
        <w:fldChar w:fldCharType="separate"/>
      </w:r>
      <w:r>
        <w:rPr>
          <w:rFonts w:hint="eastAsia"/>
          <w:vertAlign w:val="baseline"/>
          <w:lang w:val="en-US" w:eastAsia="zh-CN"/>
        </w:rPr>
        <w:t>第六章</w:t>
      </w:r>
      <w:r>
        <w:rPr>
          <w:rFonts w:hint="eastAsia"/>
          <w:vertAlign w:val="baseline"/>
          <w:lang w:eastAsia="zh-CN"/>
        </w:rPr>
        <w:t xml:space="preserve"> </w:t>
      </w:r>
      <w:r>
        <w:rPr>
          <w:vertAlign w:val="baseline"/>
        </w:rPr>
        <w:t>项目存在问题和改进方向</w:t>
      </w:r>
      <w:r>
        <w:tab/>
      </w:r>
      <w:r>
        <w:fldChar w:fldCharType="begin"/>
      </w:r>
      <w:r>
        <w:instrText xml:space="preserve"> PAGEREF _Toc22416 \h </w:instrText>
      </w:r>
      <w:r>
        <w:fldChar w:fldCharType="separate"/>
      </w:r>
      <w:r>
        <w:t>41</w:t>
      </w:r>
      <w:r>
        <w:fldChar w:fldCharType="end"/>
      </w:r>
      <w:r>
        <w:fldChar w:fldCharType="end"/>
      </w:r>
    </w:p>
    <w:p w14:paraId="7B32C434">
      <w:pPr>
        <w:pStyle w:val="75"/>
        <w:tabs>
          <w:tab w:val="right" w:leader="dot" w:pos="8634"/>
        </w:tabs>
      </w:pPr>
      <w:r>
        <w:fldChar w:fldCharType="begin"/>
      </w:r>
      <w:r>
        <w:instrText xml:space="preserve"> HYPERLINK \l _Toc7755 </w:instrText>
      </w:r>
      <w:r>
        <w:fldChar w:fldCharType="separate"/>
      </w:r>
      <w:r>
        <w:rPr>
          <w:rFonts w:hint="eastAsia"/>
          <w:vertAlign w:val="baseline"/>
          <w:lang w:val="en-US" w:eastAsia="zh-CN"/>
        </w:rPr>
        <w:t>6</w:t>
      </w:r>
      <w:r>
        <w:rPr>
          <w:vertAlign w:val="baseline"/>
        </w:rPr>
        <w:t>.1 当前存在的问题</w:t>
      </w:r>
      <w:r>
        <w:tab/>
      </w:r>
      <w:r>
        <w:fldChar w:fldCharType="begin"/>
      </w:r>
      <w:r>
        <w:instrText xml:space="preserve"> PAGEREF _Toc7755 \h </w:instrText>
      </w:r>
      <w:r>
        <w:fldChar w:fldCharType="separate"/>
      </w:r>
      <w:r>
        <w:t>41</w:t>
      </w:r>
      <w:r>
        <w:fldChar w:fldCharType="end"/>
      </w:r>
      <w:r>
        <w:fldChar w:fldCharType="end"/>
      </w:r>
    </w:p>
    <w:p w14:paraId="20AE3974">
      <w:pPr>
        <w:pStyle w:val="75"/>
        <w:tabs>
          <w:tab w:val="right" w:leader="dot" w:pos="8634"/>
        </w:tabs>
      </w:pPr>
      <w:r>
        <w:fldChar w:fldCharType="begin"/>
      </w:r>
      <w:r>
        <w:instrText xml:space="preserve"> HYPERLINK \l _Toc21605 </w:instrText>
      </w:r>
      <w:r>
        <w:fldChar w:fldCharType="separate"/>
      </w:r>
      <w:r>
        <w:rPr>
          <w:rFonts w:hint="eastAsia"/>
          <w:vertAlign w:val="baseline"/>
          <w:lang w:val="en-US" w:eastAsia="zh-CN"/>
        </w:rPr>
        <w:t>6</w:t>
      </w:r>
      <w:r>
        <w:rPr>
          <w:rFonts w:hint="eastAsia"/>
          <w:vertAlign w:val="baseline"/>
          <w:lang w:eastAsia="zh-CN"/>
        </w:rPr>
        <w:t xml:space="preserve">.2 </w:t>
      </w:r>
      <w:r>
        <w:rPr>
          <w:vertAlign w:val="baseline"/>
        </w:rPr>
        <w:t>改进方向</w:t>
      </w:r>
      <w:r>
        <w:tab/>
      </w:r>
      <w:r>
        <w:fldChar w:fldCharType="begin"/>
      </w:r>
      <w:r>
        <w:instrText xml:space="preserve"> PAGEREF _Toc21605 \h </w:instrText>
      </w:r>
      <w:r>
        <w:fldChar w:fldCharType="separate"/>
      </w:r>
      <w:r>
        <w:t>42</w:t>
      </w:r>
      <w:r>
        <w:fldChar w:fldCharType="end"/>
      </w:r>
      <w:r>
        <w:fldChar w:fldCharType="end"/>
      </w:r>
    </w:p>
    <w:p w14:paraId="211AAF76">
      <w:pPr>
        <w:pStyle w:val="75"/>
        <w:tabs>
          <w:tab w:val="right" w:leader="dot" w:pos="8634"/>
        </w:tabs>
      </w:pPr>
      <w:r>
        <w:fldChar w:fldCharType="begin"/>
      </w:r>
      <w:r>
        <w:instrText xml:space="preserve"> HYPERLINK \l _Toc16546 </w:instrText>
      </w:r>
      <w:r>
        <w:fldChar w:fldCharType="separate"/>
      </w:r>
      <w:r>
        <w:rPr>
          <w:rFonts w:hint="eastAsia"/>
          <w:vertAlign w:val="baseline"/>
          <w:lang w:val="en-US" w:eastAsia="zh-CN"/>
        </w:rPr>
        <w:t>6</w:t>
      </w:r>
      <w:r>
        <w:rPr>
          <w:rFonts w:hint="eastAsia"/>
          <w:vertAlign w:val="baseline"/>
          <w:lang w:eastAsia="zh-CN"/>
        </w:rPr>
        <w:t xml:space="preserve">.3 </w:t>
      </w:r>
      <w:r>
        <w:rPr>
          <w:vertAlign w:val="baseline"/>
        </w:rPr>
        <w:t>分阶段优化计划</w:t>
      </w:r>
      <w:r>
        <w:tab/>
      </w:r>
      <w:r>
        <w:fldChar w:fldCharType="begin"/>
      </w:r>
      <w:r>
        <w:instrText xml:space="preserve"> PAGEREF _Toc16546 \h </w:instrText>
      </w:r>
      <w:r>
        <w:fldChar w:fldCharType="separate"/>
      </w:r>
      <w:r>
        <w:t>42</w:t>
      </w:r>
      <w:r>
        <w:fldChar w:fldCharType="end"/>
      </w:r>
      <w:r>
        <w:fldChar w:fldCharType="end"/>
      </w:r>
    </w:p>
    <w:p w14:paraId="2828052E">
      <w:r>
        <w:fldChar w:fldCharType="end"/>
      </w:r>
    </w:p>
    <w:p w14:paraId="09794646">
      <w:r>
        <w:br w:type="page"/>
      </w:r>
    </w:p>
    <w:p w14:paraId="0537A16D">
      <w:pPr>
        <w:pStyle w:val="3"/>
        <w:keepNext/>
        <w:keepLines w:val="0"/>
        <w:pageBreakBefore/>
        <w:widowControl w:val="0"/>
        <w:numPr>
          <w:ilvl w:val="0"/>
          <w:numId w:val="0"/>
        </w:numPr>
        <w:kinsoku/>
        <w:wordWrap/>
        <w:overflowPunct/>
        <w:topLinePunct w:val="0"/>
        <w:autoSpaceDE/>
        <w:autoSpaceDN/>
        <w:bidi w:val="0"/>
        <w:adjustRightInd w:val="0"/>
        <w:snapToGrid/>
        <w:spacing w:before="0"/>
        <w:ind w:leftChars="0"/>
        <w:jc w:val="center"/>
        <w:textAlignment w:val="auto"/>
        <w:rPr>
          <w:b w:val="0"/>
        </w:rPr>
      </w:pPr>
      <w:bookmarkStart w:id="1" w:name="_Toc17278"/>
      <w:bookmarkStart w:id="2" w:name="_Toc7657"/>
      <w:r>
        <w:rPr>
          <w:rFonts w:hint="eastAsia"/>
          <w:lang w:eastAsia="zh-CN"/>
        </w:rPr>
        <w:t xml:space="preserve">第一章 </w:t>
      </w:r>
      <w:r>
        <w:t>项目背景和国内外研究现状</w:t>
      </w:r>
      <w:bookmarkEnd w:id="1"/>
      <w:bookmarkEnd w:id="2"/>
    </w:p>
    <w:p w14:paraId="7B5DE67D">
      <w:pPr>
        <w:pStyle w:val="4"/>
        <w:keepNext/>
        <w:numPr>
          <w:ilvl w:val="0"/>
          <w:numId w:val="0"/>
        </w:numPr>
        <w:ind w:leftChars="0"/>
        <w:rPr>
          <w:b w:val="0"/>
        </w:rPr>
      </w:pPr>
      <w:bookmarkStart w:id="3" w:name="_Toc7983"/>
      <w:bookmarkStart w:id="4" w:name="_Toc30863"/>
      <w:r>
        <w:rPr>
          <w:rFonts w:hint="eastAsia"/>
          <w:lang w:eastAsia="zh-CN"/>
        </w:rPr>
        <w:t xml:space="preserve">1.1 </w:t>
      </w:r>
      <w:r>
        <w:t>项目背景</w:t>
      </w:r>
      <w:bookmarkEnd w:id="3"/>
      <w:bookmarkEnd w:id="4"/>
    </w:p>
    <w:p w14:paraId="5888A2F9">
      <w:pPr>
        <w:pStyle w:val="35"/>
        <w:rPr>
          <w:rFonts w:ascii="Times New Roman" w:hAnsi="Times New Roman" w:eastAsia="宋体" w:cs="Times New Roman"/>
          <w:sz w:val="24"/>
          <w:szCs w:val="24"/>
        </w:rPr>
      </w:pPr>
      <w:r>
        <w:rPr>
          <w:rFonts w:ascii="Times New Roman" w:hAnsi="Times New Roman" w:eastAsia="宋体" w:cs="Times New Roman"/>
          <w:sz w:val="24"/>
          <w:szCs w:val="24"/>
        </w:rPr>
        <w:t>随着数字政府建设持续推进，政务服务正由“线上办理”向“智能化、精准化和主动服务化”升级。就业补贴、社会保险补贴、困难人员认定、创业扶持等政策资格审核业务，是基层政务服务中较为典型的高频场景。这类业务通常具有政策规则明确、审核材料分散、责任风险较高和结果需要留痕等特点。</w:t>
      </w:r>
    </w:p>
    <w:p w14:paraId="44F620BB">
      <w:pPr>
        <w:pStyle w:val="35"/>
        <w:rPr>
          <w:rFonts w:ascii="Times New Roman" w:hAnsi="Times New Roman" w:eastAsia="宋体" w:cs="Times New Roman"/>
          <w:sz w:val="24"/>
          <w:szCs w:val="24"/>
        </w:rPr>
      </w:pPr>
      <w:r>
        <w:rPr>
          <w:rFonts w:ascii="Times New Roman" w:hAnsi="Times New Roman" w:eastAsia="宋体" w:cs="Times New Roman"/>
          <w:sz w:val="24"/>
          <w:szCs w:val="24"/>
        </w:rPr>
        <w:t>以灵活就业社会保险补贴资格认定为例，经办人员需要同时核查申请人的就业登记、社保缴费、困难人员认定、工商登记和历史补贴领取等信息。这些事实往往分散在多张业务表中，字段口径不完全一致，人工逐项查询和比对成本较高。一旦出现关键字段缺失、历史记录遗漏或政策理解偏差，就可能影响最终审核结论。</w:t>
      </w:r>
    </w:p>
    <w:p w14:paraId="7C354AA9">
      <w:pPr>
        <w:pStyle w:val="35"/>
        <w:rPr>
          <w:rFonts w:ascii="Times New Roman" w:hAnsi="Times New Roman" w:eastAsia="宋体" w:cs="Times New Roman"/>
          <w:sz w:val="24"/>
          <w:szCs w:val="24"/>
        </w:rPr>
      </w:pPr>
      <w:r>
        <w:rPr>
          <w:rFonts w:ascii="Times New Roman" w:hAnsi="Times New Roman" w:eastAsia="宋体" w:cs="Times New Roman"/>
          <w:sz w:val="24"/>
          <w:szCs w:val="24"/>
        </w:rPr>
        <w:t>政务资格审核的难点并不只是“系统中有没有数据”，而是“这些数据是否足以支撑某一条政策规则”。例如，未查询到企业法人记录，通常可以作为未命中排除条件的正向证据；未查询到必要资格记录，可能表示条件不足；未查询到历史补贴明细，既可能说明没有领取过，也可能是数据缺失或同步延迟。也就是说，同样是“查无记录”，在不同规则类型下具有不同的审核含义。</w:t>
      </w:r>
      <w:r>
        <w:rPr>
          <w:rFonts w:hint="eastAsia" w:ascii="Times New Roman" w:hAnsi="Times New Roman" w:eastAsia="宋体" w:cs="Times New Roman"/>
          <w:sz w:val="24"/>
          <w:szCs w:val="24"/>
        </w:rPr>
        <w:t>这说明政务资格审核并不是简单的数据查询问题，而是一个“政策规则—数据库事实—证据解释—风险判断”连续耦合的过程。系统既要能够查到数据，也要能够说明数据在具体政策规则下代表什么含义，并在证据不足或存在争议时给出审慎处理方式。</w:t>
      </w:r>
    </w:p>
    <w:p w14:paraId="54A312F6">
      <w:pPr>
        <w:pStyle w:val="35"/>
        <w:rPr>
          <w:rFonts w:ascii="Times New Roman" w:hAnsi="Times New Roman" w:eastAsia="宋体" w:cs="Times New Roman"/>
          <w:sz w:val="24"/>
          <w:szCs w:val="24"/>
        </w:rPr>
      </w:pPr>
      <w:r>
        <w:rPr>
          <w:rFonts w:hint="eastAsia" w:ascii="Times New Roman" w:hAnsi="Times New Roman" w:eastAsia="宋体" w:cs="Times New Roman"/>
          <w:sz w:val="24"/>
          <w:szCs w:val="24"/>
        </w:rPr>
        <w:t>现有政务信息化系统能够支持事项办理、材料流转和部分规则校验，但在复杂资格审核场景中，仍难以充分说明“为什么符合”或“为什么不符合”。通用大模型虽然具备较强的自然语言理解和推理能力，但如果直接用于资格判断，容易出现事实依据不透明、数据库证据缺失、结论难验证和过程难复核等问题。即使引入多个Agent进行讨论，如果缺少统一证据约束，也可能只是多个模型观点的堆叠，仍然难以满足政务审核对依据清晰、风险可控和过程留痕的要求。</w:t>
      </w:r>
    </w:p>
    <w:p w14:paraId="3504BC8E">
      <w:pPr>
        <w:pStyle w:val="35"/>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于上述背景，本作品设计并实现了“智策惠民——基于大模型与证据链取证的政务资格审核系统”。系统并不将大模型简单作为“问答工具”或“自动审批工具”，而是将其嵌入政策理解、规则拆解、自动取证、证据解释、多Agent辩论仲裁和人工确认的完整流程中。系统按照“政策识别—规则拆解—T2SQL取证—证据卡片生成—多Agent辩论仲裁—人工复核归档”的流程，将政策条款、数据库事实、Agent意见和人工复核结果组织为可追溯的证据链。</w:t>
      </w:r>
    </w:p>
    <w:p w14:paraId="5D8273D7">
      <w:pPr>
        <w:pStyle w:val="35"/>
        <w:rPr>
          <w:rFonts w:ascii="Times New Roman" w:hAnsi="Times New Roman" w:eastAsia="宋体" w:cs="Times New Roman"/>
          <w:sz w:val="24"/>
          <w:szCs w:val="24"/>
        </w:rPr>
      </w:pPr>
      <w:r>
        <w:rPr>
          <w:rFonts w:hint="eastAsia" w:ascii="Times New Roman" w:hAnsi="Times New Roman" w:eastAsia="宋体" w:cs="Times New Roman"/>
          <w:sz w:val="24"/>
          <w:szCs w:val="24"/>
        </w:rPr>
        <w:t>智策惠民的目标不是替代人工审批，而是辅助经办人员更快形成审核依据、更稳健识别风险点，并输出可下载、可归档、可复查的审核报告。本项目的核心贡献在于将大语言模型、结构化数据查询、证据约束下的多Agent辩论系统和人工复核机制组合成一个面向真实业务流程的可信智能系统。系统既利用大模型的自然语言理解和推理能力，又通过数据库取证、证据卡片约束、角色化辩论、保守仲裁和人工确认降低模型幻觉和过度判断风险，为人工智能技术在高可靠政务辅助决策场景中的应用提供了可行路径。</w:t>
      </w:r>
    </w:p>
    <w:p w14:paraId="225181C0">
      <w:pPr>
        <w:pStyle w:val="4"/>
        <w:keepNext/>
        <w:numPr>
          <w:ilvl w:val="0"/>
          <w:numId w:val="0"/>
        </w:numPr>
        <w:ind w:leftChars="0"/>
        <w:rPr>
          <w:b w:val="0"/>
        </w:rPr>
      </w:pPr>
      <w:bookmarkStart w:id="5" w:name="_Toc30013"/>
      <w:bookmarkStart w:id="6" w:name="_Toc30170"/>
      <w:r>
        <w:rPr>
          <w:rFonts w:hint="eastAsia"/>
          <w:lang w:eastAsia="zh-CN"/>
        </w:rPr>
        <w:t xml:space="preserve">1.2 </w:t>
      </w:r>
      <w:r>
        <w:t>国内外研究现状</w:t>
      </w:r>
      <w:bookmarkEnd w:id="5"/>
      <w:bookmarkEnd w:id="6"/>
    </w:p>
    <w:p w14:paraId="36652100">
      <w:pPr>
        <w:pStyle w:val="5"/>
        <w:keepNext/>
        <w:numPr>
          <w:ilvl w:val="0"/>
          <w:numId w:val="0"/>
        </w:numPr>
        <w:ind w:leftChars="0"/>
        <w:rPr>
          <w:b w:val="0"/>
        </w:rPr>
      </w:pPr>
      <w:bookmarkStart w:id="7" w:name="_Toc24292"/>
      <w:bookmarkStart w:id="8" w:name="_Toc25334"/>
      <w:r>
        <w:rPr>
          <w:rFonts w:hint="eastAsia"/>
          <w:lang w:eastAsia="zh-CN"/>
        </w:rPr>
        <w:t xml:space="preserve">1.2.1 </w:t>
      </w:r>
      <w:r>
        <w:t>政务资格审核与规则引擎式系统</w:t>
      </w:r>
      <w:bookmarkEnd w:id="7"/>
      <w:bookmarkEnd w:id="8"/>
    </w:p>
    <w:p w14:paraId="6BCCDA16">
      <w:pPr>
        <w:pStyle w:val="35"/>
        <w:rPr>
          <w:rFonts w:ascii="Times New Roman" w:hAnsi="Times New Roman" w:eastAsia="宋体" w:cs="Times New Roman"/>
          <w:sz w:val="24"/>
          <w:szCs w:val="24"/>
        </w:rPr>
      </w:pPr>
      <w:r>
        <w:rPr>
          <w:rFonts w:ascii="Times New Roman" w:hAnsi="Times New Roman" w:eastAsia="宋体" w:cs="Times New Roman"/>
          <w:sz w:val="24"/>
          <w:szCs w:val="24"/>
        </w:rPr>
        <w:t>目前，政务资格审核相关方案主要包括规则引擎式审核系统、政务服务平台智能预审系统，以及基于大模型的政务问答和数据查询系统。规则引擎通常将政策条件配置为固定规则，再根据申报数据返回审核结果。这类方案适合规则稳定、字段明确的事项，但对跨表取证、字段变化、空结果解释和数据缺失诊断支持不足，容易停留在“规则命中”或“不命中”层面，难以说明每项结论对应的具体数据证据。</w:t>
      </w:r>
    </w:p>
    <w:p w14:paraId="01D55D9E">
      <w:pPr>
        <w:pStyle w:val="35"/>
        <w:rPr>
          <w:rFonts w:ascii="Times New Roman" w:hAnsi="Times New Roman" w:eastAsia="宋体" w:cs="Times New Roman"/>
          <w:sz w:val="24"/>
          <w:szCs w:val="24"/>
        </w:rPr>
      </w:pPr>
      <w:r>
        <w:rPr>
          <w:rFonts w:ascii="Times New Roman" w:hAnsi="Times New Roman" w:eastAsia="宋体" w:cs="Times New Roman"/>
          <w:sz w:val="24"/>
          <w:szCs w:val="24"/>
        </w:rPr>
        <w:t>政务服务平台中的智能预审、政策匹配和材料校验功能，能够帮助用户判断是否适用某项政策、材料是否齐全、是否存在重复申报等问题。但这类系统更多服务于事项办理和流程引导，对资格审核中的数据库取证、证据链组织、争议点解释和人工复核支撑不足。对于基层经办人员而言，仅有“通过/不通过”或“材料缺失”的提示，仍然不足以支撑复杂审核场景下的可解释、可复查和可归档要求。</w:t>
      </w:r>
    </w:p>
    <w:p w14:paraId="1C90E783">
      <w:pPr>
        <w:pStyle w:val="35"/>
        <w:rPr>
          <w:rFonts w:ascii="Times New Roman" w:hAnsi="Times New Roman" w:eastAsia="宋体" w:cs="Times New Roman"/>
          <w:sz w:val="24"/>
          <w:szCs w:val="24"/>
        </w:rPr>
      </w:pPr>
      <w:r>
        <w:rPr>
          <w:rFonts w:hint="eastAsia" w:ascii="Times New Roman" w:hAnsi="Times New Roman" w:eastAsia="宋体" w:cs="Times New Roman"/>
          <w:sz w:val="24"/>
          <w:szCs w:val="24"/>
        </w:rPr>
        <w:t>因此，规则引擎可以承担部分确定性条件校验，但在证据分散、规则解释存在差异、审核风险需要多视角判断的场景下，仍需要引入能够组织证据、解释争议并支持人工复核的智能辅助机制。</w:t>
      </w:r>
    </w:p>
    <w:p w14:paraId="1E83D812">
      <w:pPr>
        <w:pStyle w:val="5"/>
        <w:keepNext/>
        <w:numPr>
          <w:ilvl w:val="0"/>
          <w:numId w:val="0"/>
        </w:numPr>
        <w:ind w:leftChars="0"/>
        <w:rPr>
          <w:b w:val="0"/>
        </w:rPr>
      </w:pPr>
      <w:bookmarkStart w:id="9" w:name="_Toc10479"/>
      <w:bookmarkStart w:id="10" w:name="_Toc1689"/>
      <w:r>
        <w:rPr>
          <w:rFonts w:hint="eastAsia"/>
          <w:lang w:eastAsia="zh-CN"/>
        </w:rPr>
        <w:t xml:space="preserve">1.2.2 </w:t>
      </w:r>
      <w:r>
        <w:t>大语言模型与规则推理研究</w:t>
      </w:r>
      <w:bookmarkEnd w:id="9"/>
      <w:bookmarkEnd w:id="10"/>
    </w:p>
    <w:p w14:paraId="1C6C2F04">
      <w:pPr>
        <w:pStyle w:val="35"/>
        <w:rPr>
          <w:rFonts w:ascii="Times New Roman" w:hAnsi="Times New Roman" w:eastAsia="宋体" w:cs="Times New Roman"/>
          <w:sz w:val="24"/>
          <w:szCs w:val="24"/>
        </w:rPr>
      </w:pPr>
      <w:r>
        <w:rPr>
          <w:rFonts w:ascii="Times New Roman" w:hAnsi="Times New Roman" w:eastAsia="宋体" w:cs="Times New Roman"/>
          <w:sz w:val="24"/>
          <w:szCs w:val="24"/>
        </w:rPr>
        <w:t>近年来，大语言模型在自然语言理解、文本生成、逻辑推理和工具调用等方面取得明显进展。相关研究开始尝试将大模型与外部知识库、符号系统或规则推理机制结合，以缓解大模型在严格逻辑、事实一致性和可验证推理方面的不足。这类研究说明，单纯依赖大模型内部生成并不适合所有高可靠场景，引入外部规则、结构化约束和可验证执行结果，是提升智能系统可信度的重要方向。</w:t>
      </w:r>
    </w:p>
    <w:p w14:paraId="176D7B65">
      <w:pPr>
        <w:pStyle w:val="35"/>
        <w:rPr>
          <w:rFonts w:ascii="Times New Roman" w:hAnsi="Times New Roman" w:eastAsia="宋体" w:cs="Times New Roman"/>
          <w:sz w:val="24"/>
          <w:szCs w:val="24"/>
        </w:rPr>
      </w:pPr>
      <w:r>
        <w:rPr>
          <w:rFonts w:ascii="Times New Roman" w:hAnsi="Times New Roman" w:eastAsia="宋体" w:cs="Times New Roman"/>
          <w:sz w:val="24"/>
          <w:szCs w:val="24"/>
        </w:rPr>
        <w:t>与通用逻辑推理或开放式问答任务不同，政务资格审核具有明确政策依据和具体业务数据。系统不能只生成一段自然语言判断，而需要把每个结论对应到政策条款、数据库记录和审核证据上。因此，本项目采用“政策规则结构化+数据库事实取证+大模型证据解释”的混合式思路，</w:t>
      </w:r>
      <w:r>
        <w:rPr>
          <w:rFonts w:hint="eastAsia" w:ascii="Times New Roman" w:hAnsi="Times New Roman" w:eastAsia="宋体" w:cs="Times New Roman"/>
          <w:sz w:val="24"/>
          <w:szCs w:val="24"/>
        </w:rPr>
        <w:t>将大模型的作用限定在规则理解、证据摘要、角色化辩论、争议识别和辅助解释等环节，使推理过程尽量锚定在可追溯证据上，而不是让模型直接给出不可验证的审批结论。</w:t>
      </w:r>
    </w:p>
    <w:p w14:paraId="2EC3418C">
      <w:pPr>
        <w:pStyle w:val="5"/>
        <w:keepNext/>
        <w:numPr>
          <w:ilvl w:val="0"/>
          <w:numId w:val="0"/>
        </w:numPr>
        <w:ind w:leftChars="0"/>
        <w:rPr>
          <w:b w:val="0"/>
        </w:rPr>
      </w:pPr>
      <w:bookmarkStart w:id="11" w:name="_Toc5756"/>
      <w:bookmarkStart w:id="12" w:name="_Toc19707"/>
      <w:r>
        <w:rPr>
          <w:rFonts w:hint="eastAsia"/>
          <w:lang w:eastAsia="zh-CN"/>
        </w:rPr>
        <w:t xml:space="preserve">1.2.3 </w:t>
      </w:r>
      <w:r>
        <w:t>Text-to-SQL与结构化数据查询研究</w:t>
      </w:r>
      <w:bookmarkEnd w:id="11"/>
      <w:bookmarkEnd w:id="12"/>
    </w:p>
    <w:p w14:paraId="654A439B">
      <w:pPr>
        <w:pStyle w:val="35"/>
        <w:rPr>
          <w:rFonts w:ascii="Times New Roman" w:hAnsi="Times New Roman" w:eastAsia="宋体" w:cs="Times New Roman"/>
          <w:sz w:val="24"/>
          <w:szCs w:val="24"/>
        </w:rPr>
      </w:pPr>
      <w:r>
        <w:rPr>
          <w:rFonts w:ascii="Times New Roman" w:hAnsi="Times New Roman" w:eastAsia="宋体" w:cs="Times New Roman"/>
          <w:sz w:val="24"/>
          <w:szCs w:val="24"/>
        </w:rPr>
        <w:t>Text-to-SQL或NL2SQL研究主要解决自然语言问题到数据库查询语句的自动转换问题。随着大模型能力提升，基于大模型的Text-to-SQL方法已经能够在通用数据集上完成较复杂的SQL生成任务，并逐渐被应用于数据分析、问答查询和业务报表等场景。该方向为本项目实现“自然语言核查问题—SQL查询—数据库事实”之间的转换提供了重要技术基础。</w:t>
      </w:r>
    </w:p>
    <w:p w14:paraId="39CF68CC">
      <w:pPr>
        <w:pStyle w:val="35"/>
        <w:rPr>
          <w:rFonts w:ascii="Times New Roman" w:hAnsi="Times New Roman" w:eastAsia="宋体" w:cs="Times New Roman"/>
          <w:sz w:val="24"/>
          <w:szCs w:val="24"/>
        </w:rPr>
      </w:pPr>
      <w:r>
        <w:rPr>
          <w:rFonts w:ascii="Times New Roman" w:hAnsi="Times New Roman" w:eastAsia="宋体" w:cs="Times New Roman"/>
          <w:sz w:val="24"/>
          <w:szCs w:val="24"/>
        </w:rPr>
        <w:t>但传统Text-to-SQL任务多以单条自然语言问句为输入，目标是生成一条可执行SQL语句；而政务资格审核需要围绕多条政策规则进行连续取证，并将多次查询结果组织成可用于判断的证据链。本项目不是让系统简单回答“是否符合政策”，而是先将政策规则拆解为取证任务，再逐条生成SQL查询人员、就业、社保、工商、补贴历史等数据，并根据SQL执行反馈进行必要修复。这样，Text-to-SQL不只是一个查询接口，而成为证据链取证流程中的核心环节。</w:t>
      </w:r>
    </w:p>
    <w:p w14:paraId="291998CC">
      <w:pPr>
        <w:pStyle w:val="35"/>
        <w:rPr>
          <w:rFonts w:ascii="Times New Roman" w:hAnsi="Times New Roman" w:eastAsia="宋体" w:cs="Times New Roman"/>
          <w:sz w:val="24"/>
          <w:szCs w:val="24"/>
        </w:rPr>
      </w:pPr>
      <w:r>
        <w:rPr>
          <w:rFonts w:ascii="Times New Roman" w:hAnsi="Times New Roman" w:eastAsia="宋体" w:cs="Times New Roman"/>
          <w:sz w:val="24"/>
          <w:szCs w:val="24"/>
        </w:rPr>
        <w:t>在工程实现上，系统关注的不只是SQL生成是否相似，还关注SQL是否可执行、结果是否匹配取证目标、查询失败是否能够诊断、空结果是否能够按规则类型正确解释。通过SQL执行反馈、有限轮次修复、诊断信息保留和证据卡片装配，系统将“生成SQL”进一步扩展为“形成可用于审核的证据陈述”，更贴合政务资格审核对稳定性和可审计性的要求。</w:t>
      </w:r>
    </w:p>
    <w:p w14:paraId="00E86BD2">
      <w:pPr>
        <w:pStyle w:val="35"/>
        <w:rPr>
          <w:rFonts w:ascii="Times New Roman" w:hAnsi="Times New Roman" w:eastAsia="宋体" w:cs="Times New Roman"/>
          <w:sz w:val="24"/>
          <w:szCs w:val="24"/>
        </w:rPr>
      </w:pPr>
      <w:r>
        <w:rPr>
          <w:rFonts w:hint="eastAsia" w:ascii="Times New Roman" w:hAnsi="Times New Roman" w:eastAsia="宋体" w:cs="Times New Roman"/>
          <w:sz w:val="24"/>
          <w:szCs w:val="24"/>
        </w:rPr>
        <w:t>在本项目中，T2SQL取证结果并不直接等同于最终审核结论，而是作为后续证据卡片和多Agent辩论的事实输入。也就是说，Text-to-SQL负责把政策核查问题落到数据库事实，多Agent辩论系统则负责在证据约束下解释这些事实、暴露争议并形成审慎判断。</w:t>
      </w:r>
    </w:p>
    <w:p w14:paraId="47FEED16">
      <w:pPr>
        <w:pStyle w:val="5"/>
        <w:bidi w:val="0"/>
      </w:pPr>
      <w:bookmarkStart w:id="13" w:name="_Toc2233"/>
      <w:bookmarkStart w:id="14" w:name="_Toc20323"/>
      <w:r>
        <w:rPr>
          <w:rFonts w:hint="eastAsia"/>
          <w:lang w:eastAsia="zh-CN"/>
        </w:rPr>
        <w:t xml:space="preserve">1.2.4 </w:t>
      </w:r>
      <w:bookmarkEnd w:id="13"/>
      <w:r>
        <w:t>LLM Agent与多Agent辩论仲裁研究</w:t>
      </w:r>
      <w:bookmarkEnd w:id="14"/>
    </w:p>
    <w:p w14:paraId="02A0EB58">
      <w:pPr>
        <w:pStyle w:val="35"/>
        <w:rPr>
          <w:rFonts w:ascii="Times New Roman" w:hAnsi="Times New Roman" w:eastAsia="宋体" w:cs="Times New Roman"/>
          <w:sz w:val="24"/>
          <w:szCs w:val="24"/>
        </w:rPr>
      </w:pPr>
      <w:bookmarkStart w:id="15" w:name="_Toc26503"/>
      <w:r>
        <w:rPr>
          <w:rFonts w:ascii="Times New Roman" w:hAnsi="Times New Roman" w:eastAsia="宋体" w:cs="Times New Roman"/>
          <w:sz w:val="24"/>
          <w:szCs w:val="24"/>
        </w:rPr>
        <w:t>LLM Agent框架强调大模型通过规划、工具调用、观察反馈和反思等方式完成复杂任务。多智能体系统则进一步通过不同角色、不同立场或不同任务分工的Agent协作，提高复杂问题处理能力。现有Agent研究多集中在通用任务自动化、软件开发、开放式问答和工具使用等方向，为本项目中的多Agent辩论仲裁机制提供了技术参考。</w:t>
      </w:r>
    </w:p>
    <w:p w14:paraId="6B118C1F">
      <w:pPr>
        <w:pStyle w:val="35"/>
        <w:rPr>
          <w:rFonts w:ascii="Times New Roman" w:hAnsi="Times New Roman" w:eastAsia="宋体" w:cs="Times New Roman"/>
          <w:sz w:val="24"/>
          <w:szCs w:val="24"/>
        </w:rPr>
      </w:pPr>
      <w:r>
        <w:rPr>
          <w:rFonts w:ascii="Times New Roman" w:hAnsi="Times New Roman" w:eastAsia="宋体" w:cs="Times New Roman"/>
          <w:sz w:val="24"/>
          <w:szCs w:val="24"/>
        </w:rPr>
        <w:t>但是，政务资格审核场景中的多Agent机制不能简单理解为“多个模型轮流发言”。如果各Agent缺少共同的事实输入和证据约束，讨论过程仍可能出现脱离事实、重复生成、观点堆叠或结论过度自信等问题。对于需要留痕和复核的政务审核任务而言，多Agent系统不仅要能够表达不同观点，更要能够说明每个观点依据什么证据、针对哪条规则、是否存在争议以及是否需要人工介入。</w:t>
      </w:r>
    </w:p>
    <w:p w14:paraId="5B0D693F">
      <w:pPr>
        <w:pStyle w:val="35"/>
        <w:rPr>
          <w:rFonts w:ascii="Times New Roman" w:hAnsi="Times New Roman" w:eastAsia="宋体" w:cs="Times New Roman"/>
          <w:sz w:val="24"/>
          <w:szCs w:val="24"/>
        </w:rPr>
      </w:pPr>
      <w:r>
        <w:rPr>
          <w:rFonts w:ascii="Times New Roman" w:hAnsi="Times New Roman" w:eastAsia="宋体" w:cs="Times New Roman"/>
          <w:sz w:val="24"/>
          <w:szCs w:val="24"/>
        </w:rPr>
        <w:t>因此，本项目中的多Agent机制被设计为证据约束下的辩论仲裁系统。系统先由T2SQL取证模块围绕政策规则生成数据库查询结果，并将结果封装为标准化证据卡片；随后，严格合规Agent、宽松业务Agent、探索分析Agent、经验归纳Agent和审计挑战Agent围绕同一组证据卡片进行分析，从硬性条件、便民解释、异常冲突、典型经验和审计风险等角度提出判断意见。各Agent不独立生成事实，也不直接替代规则引擎作出审批决定，而是在证据约束下暴露分歧、识别风险和补充解释。</w:t>
      </w:r>
    </w:p>
    <w:p w14:paraId="4E3A7E46">
      <w:pPr>
        <w:pStyle w:val="35"/>
        <w:rPr>
          <w:rFonts w:ascii="Times New Roman" w:hAnsi="Times New Roman" w:eastAsia="宋体" w:cs="Times New Roman"/>
          <w:sz w:val="24"/>
          <w:szCs w:val="24"/>
        </w:rPr>
      </w:pPr>
      <w:r>
        <w:rPr>
          <w:rFonts w:ascii="Times New Roman" w:hAnsi="Times New Roman" w:eastAsia="宋体" w:cs="Times New Roman"/>
          <w:sz w:val="24"/>
          <w:szCs w:val="24"/>
        </w:rPr>
        <w:t>在仲裁环节，系统不简单依赖多数投票，而是结合证据充分性、规则重要性、排除条件命中情况和Agent意见冲突程度形成保守结论。当关键证据不足、排除条件命中或不同Agent存在明显分歧时，系统不直接输出确定通过结论，而是提示人工复核或补充证据。该机制使多Agent协同从一般性的“讨论生成”转向面向政务审核的“证据化、审慎化、可复核”辩论过程。</w:t>
      </w:r>
    </w:p>
    <w:p w14:paraId="2B2DF40E">
      <w:pPr>
        <w:pStyle w:val="5"/>
        <w:bidi w:val="0"/>
        <w:rPr>
          <w:b w:val="0"/>
        </w:rPr>
      </w:pPr>
      <w:bookmarkStart w:id="16" w:name="_Toc19252"/>
      <w:r>
        <w:rPr>
          <w:rFonts w:hint="eastAsia"/>
          <w:lang w:eastAsia="zh-CN"/>
        </w:rPr>
        <w:t xml:space="preserve">1.2.5 </w:t>
      </w:r>
      <w:r>
        <w:t>政务大模型应用研究</w:t>
      </w:r>
      <w:bookmarkEnd w:id="15"/>
      <w:bookmarkEnd w:id="16"/>
    </w:p>
    <w:p w14:paraId="03FA2EE9">
      <w:pPr>
        <w:pStyle w:val="35"/>
        <w:rPr>
          <w:rFonts w:ascii="Times New Roman" w:hAnsi="Times New Roman" w:eastAsia="宋体" w:cs="Times New Roman"/>
          <w:sz w:val="24"/>
          <w:szCs w:val="24"/>
        </w:rPr>
      </w:pPr>
      <w:r>
        <w:rPr>
          <w:rFonts w:ascii="Times New Roman" w:hAnsi="Times New Roman" w:eastAsia="宋体" w:cs="Times New Roman"/>
          <w:sz w:val="24"/>
          <w:szCs w:val="24"/>
        </w:rPr>
        <w:t>目前，大模型在政务领域的探索主要集中在政策问答、智能导办、公文写作、材料生成、办事咨询和知识检索等辅助性场景。这些场景能够改善用户交互体验，降低政策查询和材料撰写成本，但对结论可审计性、数据取证和过程留痕的要求相对不同。</w:t>
      </w:r>
    </w:p>
    <w:p w14:paraId="4C765D44">
      <w:pPr>
        <w:pStyle w:val="35"/>
        <w:rPr>
          <w:rFonts w:ascii="Times New Roman" w:hAnsi="Times New Roman" w:eastAsia="宋体" w:cs="Times New Roman"/>
          <w:sz w:val="24"/>
          <w:szCs w:val="24"/>
        </w:rPr>
      </w:pPr>
      <w:r>
        <w:rPr>
          <w:rFonts w:ascii="Times New Roman" w:hAnsi="Times New Roman" w:eastAsia="宋体" w:cs="Times New Roman"/>
          <w:sz w:val="24"/>
          <w:szCs w:val="24"/>
        </w:rPr>
        <w:t>政务资格审核属于更接近业务决策的场景，需要面向申请人数据形成审查建议、风险提示和证据引用。该类任务对系统提出更高要求：一是政策依据必须明确；二是事实证据必须能够追溯；三是缺失、冲突和边界情况必须能够标注；四是最终结果需要人工确认并可归档复查。现有政务大模型应用若停留在政策问答或文本生成层面，难以完整满足这些要求。</w:t>
      </w:r>
    </w:p>
    <w:p w14:paraId="1BED6D61">
      <w:pPr>
        <w:pStyle w:val="35"/>
        <w:rPr>
          <w:rFonts w:ascii="Times New Roman" w:hAnsi="Times New Roman" w:eastAsia="宋体" w:cs="Times New Roman"/>
          <w:sz w:val="24"/>
          <w:szCs w:val="24"/>
        </w:rPr>
      </w:pPr>
      <w:r>
        <w:rPr>
          <w:rFonts w:hint="eastAsia" w:ascii="Times New Roman" w:hAnsi="Times New Roman" w:eastAsia="宋体" w:cs="Times New Roman"/>
          <w:sz w:val="24"/>
          <w:szCs w:val="24"/>
        </w:rPr>
        <w:t>因此，面向政务资格审核的大模型应用不能停留在政策问答或材料生成层面，而应进一步与数据库取证、证据解释、多角色审慎评议和人工复核机制结合，形成可验证、可追溯的辅助审核闭环。</w:t>
      </w:r>
    </w:p>
    <w:p w14:paraId="1870711B">
      <w:pPr>
        <w:pStyle w:val="4"/>
        <w:keepNext/>
        <w:numPr>
          <w:ilvl w:val="0"/>
          <w:numId w:val="0"/>
        </w:numPr>
        <w:ind w:leftChars="0"/>
        <w:rPr>
          <w:b w:val="0"/>
        </w:rPr>
      </w:pPr>
      <w:bookmarkStart w:id="17" w:name="_Toc14336"/>
      <w:bookmarkStart w:id="18" w:name="_Toc919"/>
      <w:r>
        <w:rPr>
          <w:rFonts w:hint="eastAsia"/>
          <w:lang w:eastAsia="zh-CN"/>
        </w:rPr>
        <w:t xml:space="preserve">1.3 </w:t>
      </w:r>
      <w:r>
        <w:t>现有研究不足与本项目定位</w:t>
      </w:r>
      <w:bookmarkEnd w:id="17"/>
      <w:bookmarkEnd w:id="18"/>
    </w:p>
    <w:p w14:paraId="234EFB2A">
      <w:pPr>
        <w:pStyle w:val="35"/>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综合来看，现有方案和相关研究已经在规则配置、政务预审、Text-to-SQL、大模型问答和Agent协同等方面形成了较多成果，但在面向政务资格审核的完整链路上仍存在不足：一是重政策匹配，轻证据取证，难以说明具体资格判断对应哪些数据库事实；二是重流程办理，轻审核解释，难以支撑基层经办人员复查“为什么通过”或“为什么不通过”；三是重单次判断，轻争议暴露，大模型或普通规则引擎往往直接输出结论，缺少多视角风险审查；四是重结果展示，轻过程留痕，难以保存政策依据、SQL取证、证据解释、争议意见和人工复核记录。</w:t>
      </w:r>
    </w:p>
    <w:p w14:paraId="67A4DF9F">
      <w:pPr>
        <w:pStyle w:val="35"/>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针对上述不足，本项目构建“规则驱动取证、证据卡片约束、多Agent辩论仲裁、人工复核归档”的智能审核闭环。系统不直接让大模型给出资格判断，而是先将政策条款拆解为结构化规则，明确每条规则的类型、判断依据和取证目标；随后通过T2SQL模块生成查询语句，从人员、就业、社保、工商、补贴历史等业务数据中提取关键事实；查询结果被封装为证据卡片，并根据规则类型判断其证据含义；在此基础上，多个Agent围绕同一组证据卡片，从合规、业务、异常识别、经验解释和审计风险等角度开展辩论；仲裁模块综合证据充分性、风险命中情况和Agent分歧程度形成保守结论；对于证据不足或存在争议的情况，系统提供人工补证与复核确认入口，最终生成可下载、可归档的公文式审核报告。</w:t>
      </w:r>
    </w:p>
    <w:p w14:paraId="14D52906">
      <w:pPr>
        <w:pStyle w:val="35"/>
        <w:rPr>
          <w:rFonts w:ascii="Times New Roman" w:hAnsi="Times New Roman" w:eastAsia="宋体" w:cs="Times New Roman"/>
          <w:sz w:val="24"/>
          <w:szCs w:val="24"/>
        </w:rPr>
      </w:pPr>
      <w:r>
        <w:rPr>
          <w:rFonts w:hint="eastAsia" w:ascii="Times New Roman" w:hAnsi="Times New Roman" w:eastAsia="宋体" w:cs="Times New Roman"/>
          <w:sz w:val="24"/>
          <w:szCs w:val="24"/>
        </w:rPr>
        <w:t>因此，智策惠民不是简单用大模型替代人工审核，也不是让多个Agent进行无约束讨论，而是将大模型能力嵌入“规则理解、自动取证、证据解释、角色化辩论、保守仲裁和人工确认”的完整流程中。系统通过证据链约束模型推理边界，通过多Agent辩论暴露审核分歧，通过人工复核保留最终确认权，使政策资格认定既具备自动化效率，又满足政务场景对依据清晰、过程留痕和结果可复核的要求。现有研究与本作品的多维对比如表1所示。</w:t>
      </w:r>
      <w:r>
        <w:rPr>
          <w:rFonts w:ascii="Times New Roman" w:hAnsi="Times New Roman" w:eastAsia="宋体" w:cs="Times New Roman"/>
          <w:sz w:val="24"/>
          <w:szCs w:val="24"/>
        </w:rPr>
        <w:br w:type="page"/>
      </w:r>
    </w:p>
    <w:tbl>
      <w:tblPr>
        <w:tblStyle w:val="90"/>
        <w:tblW w:w="885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8"/>
        <w:gridCol w:w="3564"/>
        <w:gridCol w:w="3918"/>
      </w:tblGrid>
      <w:tr w14:paraId="66FA5E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68" w:type="dxa"/>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16ABD463">
            <w:pPr>
              <w:keepNext w:val="0"/>
              <w:keepLines w:val="0"/>
              <w:widowControl/>
              <w:suppressLineNumbers w:val="0"/>
              <w:snapToGrid w:val="0"/>
              <w:spacing w:after="0" w:line="240" w:lineRule="auto"/>
              <w:ind w:left="0" w:leftChars="0" w:right="0" w:rightChars="0" w:firstLine="0" w:firstLineChars="0"/>
              <w:jc w:val="center"/>
              <w:rPr>
                <w:rFonts w:ascii="宋体" w:eastAsia="宋体"/>
                <w:b/>
                <w:i w:val="0"/>
                <w:color w:val="FFFFFF" w:themeColor="background1"/>
                <w:sz w:val="24"/>
                <w:szCs w:val="21"/>
                <w:vertAlign w:val="baseline"/>
                <w14:textFill>
                  <w14:solidFill>
                    <w14:schemeClr w14:val="bg1"/>
                  </w14:solidFill>
                </w14:textFill>
              </w:rPr>
            </w:pPr>
            <w:r>
              <w:rPr>
                <w:rFonts w:ascii="宋体" w:hAnsi="宋体" w:eastAsia="宋体" w:cs="宋体"/>
                <w:b/>
                <w:bCs/>
                <w:color w:val="auto"/>
                <w:kern w:val="0"/>
                <w:sz w:val="24"/>
                <w:szCs w:val="24"/>
                <w:lang w:val="en-US" w:eastAsia="zh-CN" w:bidi="ar"/>
              </w:rPr>
              <w:t>对比维度</w:t>
            </w:r>
          </w:p>
        </w:tc>
        <w:tc>
          <w:tcPr>
            <w:tcW w:w="3564" w:type="dxa"/>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68317B08">
            <w:pPr>
              <w:keepNext w:val="0"/>
              <w:keepLines w:val="0"/>
              <w:widowControl/>
              <w:suppressLineNumbers w:val="0"/>
              <w:snapToGrid w:val="0"/>
              <w:spacing w:after="0" w:line="240" w:lineRule="auto"/>
              <w:ind w:left="0" w:leftChars="0" w:right="0" w:rightChars="0" w:firstLine="0" w:firstLineChars="0"/>
              <w:jc w:val="center"/>
              <w:rPr>
                <w:rFonts w:ascii="宋体" w:eastAsia="宋体"/>
                <w:b/>
                <w:i w:val="0"/>
                <w:color w:val="FFFFFF" w:themeColor="background1"/>
                <w:sz w:val="24"/>
                <w:szCs w:val="21"/>
                <w:vertAlign w:val="baseline"/>
                <w14:textFill>
                  <w14:solidFill>
                    <w14:schemeClr w14:val="bg1"/>
                  </w14:solidFill>
                </w14:textFill>
              </w:rPr>
            </w:pPr>
            <w:r>
              <w:rPr>
                <w:rFonts w:ascii="宋体" w:hAnsi="宋体" w:eastAsia="宋体" w:cs="宋体"/>
                <w:b/>
                <w:bCs/>
                <w:color w:val="auto"/>
                <w:kern w:val="0"/>
                <w:sz w:val="24"/>
                <w:szCs w:val="24"/>
                <w:lang w:val="en-US" w:eastAsia="zh-CN" w:bidi="ar"/>
              </w:rPr>
              <w:t>现有方案的主要特点</w:t>
            </w:r>
          </w:p>
        </w:tc>
        <w:tc>
          <w:tcPr>
            <w:tcW w:w="3918" w:type="dxa"/>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3D0E92F8">
            <w:pPr>
              <w:keepNext w:val="0"/>
              <w:keepLines w:val="0"/>
              <w:widowControl/>
              <w:suppressLineNumbers w:val="0"/>
              <w:snapToGrid w:val="0"/>
              <w:spacing w:after="0" w:line="240" w:lineRule="auto"/>
              <w:ind w:left="0" w:leftChars="0" w:right="0" w:rightChars="0" w:firstLine="0" w:firstLineChars="0"/>
              <w:jc w:val="center"/>
              <w:rPr>
                <w:rFonts w:ascii="宋体" w:eastAsia="宋体"/>
                <w:b/>
                <w:i w:val="0"/>
                <w:color w:val="FFFFFF" w:themeColor="background1"/>
                <w:sz w:val="24"/>
                <w:szCs w:val="21"/>
                <w:vertAlign w:val="baseline"/>
                <w14:textFill>
                  <w14:solidFill>
                    <w14:schemeClr w14:val="bg1"/>
                  </w14:solidFill>
                </w14:textFill>
              </w:rPr>
            </w:pPr>
            <w:r>
              <w:rPr>
                <w:rFonts w:ascii="宋体" w:hAnsi="宋体" w:eastAsia="宋体" w:cs="宋体"/>
                <w:b/>
                <w:bCs/>
                <w:color w:val="auto"/>
                <w:kern w:val="0"/>
                <w:sz w:val="24"/>
                <w:szCs w:val="24"/>
                <w:lang w:val="en-US" w:eastAsia="zh-CN" w:bidi="ar"/>
              </w:rPr>
              <w:t>智策惠民的改进方式</w:t>
            </w:r>
          </w:p>
        </w:tc>
      </w:tr>
      <w:tr w14:paraId="2DE8CD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8" w:type="dxa"/>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11E900FF">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政策处理</w:t>
            </w:r>
          </w:p>
        </w:tc>
        <w:tc>
          <w:tcPr>
            <w:tcW w:w="3564" w:type="dxa"/>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26C1C138">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侧重判断用户适用哪类政策</w:t>
            </w:r>
          </w:p>
        </w:tc>
        <w:tc>
          <w:tcPr>
            <w:tcW w:w="3918" w:type="dxa"/>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43A59D86">
            <w:pPr>
              <w:keepNext w:val="0"/>
              <w:keepLines w:val="0"/>
              <w:widowControl/>
              <w:suppressLineNumbers w:val="0"/>
              <w:snapToGrid w:val="0"/>
              <w:spacing w:after="0" w:line="240" w:lineRule="auto"/>
              <w:ind w:left="0" w:leftChars="0" w:right="0" w:rightChars="0" w:firstLine="0" w:firstLineChars="0"/>
              <w:jc w:val="left"/>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在政策匹配基础上进一步判断是否符合具体资格条件</w:t>
            </w:r>
          </w:p>
        </w:tc>
      </w:tr>
      <w:tr w14:paraId="5AAEFD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49AC90F">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数据取证</w:t>
            </w:r>
          </w:p>
        </w:tc>
        <w:tc>
          <w:tcPr>
            <w:tcW w:w="356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A05EE0">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多依赖固定字段校验或人工查询</w:t>
            </w:r>
          </w:p>
        </w:tc>
        <w:tc>
          <w:tcPr>
            <w:tcW w:w="391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743F2D7">
            <w:pPr>
              <w:keepNext w:val="0"/>
              <w:keepLines w:val="0"/>
              <w:widowControl/>
              <w:suppressLineNumbers w:val="0"/>
              <w:snapToGrid w:val="0"/>
              <w:spacing w:after="0" w:line="240" w:lineRule="auto"/>
              <w:ind w:left="0" w:leftChars="0" w:right="0" w:rightChars="0" w:firstLine="0" w:firstLineChars="0"/>
              <w:jc w:val="left"/>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通过T2SQL围绕政策规则动态生成取证SQL</w:t>
            </w:r>
          </w:p>
        </w:tc>
      </w:tr>
      <w:tr w14:paraId="5A17DB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8" w:type="dxa"/>
            <w:tcBorders>
              <w:top w:val="nil"/>
              <w:left w:val="nil"/>
              <w:bottom w:val="nil"/>
              <w:right w:val="nil"/>
            </w:tcBorders>
            <w:shd w:val="clear" w:color="auto" w:fill="FFFFFF"/>
            <w:noWrap w:val="0"/>
            <w:tcMar>
              <w:top w:w="-1" w:type="dxa"/>
              <w:left w:w="-1" w:type="dxa"/>
              <w:bottom w:w="-1" w:type="dxa"/>
              <w:right w:w="-1" w:type="dxa"/>
            </w:tcMar>
            <w:vAlign w:val="center"/>
          </w:tcPr>
          <w:p w14:paraId="4FA74A39">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异常处理</w:t>
            </w:r>
          </w:p>
        </w:tc>
        <w:tc>
          <w:tcPr>
            <w:tcW w:w="3564" w:type="dxa"/>
            <w:tcBorders>
              <w:top w:val="nil"/>
              <w:left w:val="nil"/>
              <w:bottom w:val="nil"/>
              <w:right w:val="nil"/>
            </w:tcBorders>
            <w:shd w:val="clear" w:color="auto" w:fill="FFFFFF"/>
            <w:noWrap w:val="0"/>
            <w:tcMar>
              <w:top w:w="-1" w:type="dxa"/>
              <w:left w:w="-1" w:type="dxa"/>
              <w:bottom w:w="-1" w:type="dxa"/>
              <w:right w:w="-1" w:type="dxa"/>
            </w:tcMar>
            <w:vAlign w:val="center"/>
          </w:tcPr>
          <w:p w14:paraId="739B4320">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查询失败或空结果时解释不足</w:t>
            </w:r>
          </w:p>
        </w:tc>
        <w:tc>
          <w:tcPr>
            <w:tcW w:w="3918" w:type="dxa"/>
            <w:tcBorders>
              <w:top w:val="nil"/>
              <w:left w:val="nil"/>
              <w:bottom w:val="nil"/>
              <w:right w:val="nil"/>
            </w:tcBorders>
            <w:shd w:val="clear" w:color="auto" w:fill="FFFFFF"/>
            <w:noWrap w:val="0"/>
            <w:tcMar>
              <w:top w:w="-1" w:type="dxa"/>
              <w:left w:w="-1" w:type="dxa"/>
              <w:bottom w:w="-1" w:type="dxa"/>
              <w:right w:w="-1" w:type="dxa"/>
            </w:tcMar>
            <w:vAlign w:val="center"/>
          </w:tcPr>
          <w:p w14:paraId="2B3796D1">
            <w:pPr>
              <w:keepNext w:val="0"/>
              <w:keepLines w:val="0"/>
              <w:widowControl/>
              <w:suppressLineNumbers w:val="0"/>
              <w:snapToGrid w:val="0"/>
              <w:spacing w:after="0" w:line="240" w:lineRule="auto"/>
              <w:ind w:left="0" w:leftChars="0" w:right="0" w:rightChars="0" w:firstLine="0" w:firstLineChars="0"/>
              <w:jc w:val="left"/>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保留SQL执行状态、诊断信息、修复过程和缺失原因</w:t>
            </w:r>
          </w:p>
        </w:tc>
      </w:tr>
      <w:tr w14:paraId="6C61AC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521E50F">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审核判断</w:t>
            </w:r>
          </w:p>
        </w:tc>
        <w:tc>
          <w:tcPr>
            <w:tcW w:w="356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87A80C5">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多为规则引擎判断、单次模型输出或无证据约束的Agent讨论</w:t>
            </w:r>
          </w:p>
        </w:tc>
        <w:tc>
          <w:tcPr>
            <w:tcW w:w="391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6FCC3F8">
            <w:pPr>
              <w:keepNext w:val="0"/>
              <w:keepLines w:val="0"/>
              <w:widowControl/>
              <w:suppressLineNumbers w:val="0"/>
              <w:snapToGrid w:val="0"/>
              <w:spacing w:after="0" w:line="240" w:lineRule="auto"/>
              <w:ind w:left="0" w:leftChars="0" w:right="0" w:rightChars="0" w:firstLine="0" w:firstLineChars="0"/>
              <w:jc w:val="left"/>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引入证据卡片约束下的多Agent辩论仲裁机制，暴露分歧并形成保守结论</w:t>
            </w:r>
          </w:p>
        </w:tc>
      </w:tr>
      <w:tr w14:paraId="4D7CDC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8" w:type="dxa"/>
            <w:tcBorders>
              <w:top w:val="nil"/>
              <w:left w:val="nil"/>
              <w:bottom w:val="nil"/>
              <w:right w:val="nil"/>
            </w:tcBorders>
            <w:shd w:val="clear" w:color="auto" w:fill="FFFFFF"/>
            <w:noWrap w:val="0"/>
            <w:tcMar>
              <w:top w:w="-1" w:type="dxa"/>
              <w:left w:w="-1" w:type="dxa"/>
              <w:bottom w:w="-1" w:type="dxa"/>
              <w:right w:w="-1" w:type="dxa"/>
            </w:tcMar>
            <w:vAlign w:val="center"/>
          </w:tcPr>
          <w:p w14:paraId="102EBAD5">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结果解释</w:t>
            </w:r>
          </w:p>
        </w:tc>
        <w:tc>
          <w:tcPr>
            <w:tcW w:w="3564" w:type="dxa"/>
            <w:tcBorders>
              <w:top w:val="nil"/>
              <w:left w:val="nil"/>
              <w:bottom w:val="nil"/>
              <w:right w:val="nil"/>
            </w:tcBorders>
            <w:shd w:val="clear" w:color="auto" w:fill="FFFFFF"/>
            <w:noWrap w:val="0"/>
            <w:tcMar>
              <w:top w:w="-1" w:type="dxa"/>
              <w:left w:w="-1" w:type="dxa"/>
              <w:bottom w:w="-1" w:type="dxa"/>
              <w:right w:w="-1" w:type="dxa"/>
            </w:tcMar>
            <w:vAlign w:val="center"/>
          </w:tcPr>
          <w:p w14:paraId="74A48CEF">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偏向展示办理状态或审核结果</w:t>
            </w:r>
          </w:p>
        </w:tc>
        <w:tc>
          <w:tcPr>
            <w:tcW w:w="3918" w:type="dxa"/>
            <w:tcBorders>
              <w:top w:val="nil"/>
              <w:left w:val="nil"/>
              <w:bottom w:val="nil"/>
              <w:right w:val="nil"/>
            </w:tcBorders>
            <w:shd w:val="clear" w:color="auto" w:fill="FFFFFF"/>
            <w:noWrap w:val="0"/>
            <w:tcMar>
              <w:top w:w="-1" w:type="dxa"/>
              <w:left w:w="-1" w:type="dxa"/>
              <w:bottom w:w="-1" w:type="dxa"/>
              <w:right w:w="-1" w:type="dxa"/>
            </w:tcMar>
            <w:vAlign w:val="center"/>
          </w:tcPr>
          <w:p w14:paraId="0147D6D0">
            <w:pPr>
              <w:keepNext w:val="0"/>
              <w:keepLines w:val="0"/>
              <w:widowControl/>
              <w:suppressLineNumbers w:val="0"/>
              <w:snapToGrid w:val="0"/>
              <w:spacing w:after="0" w:line="240" w:lineRule="auto"/>
              <w:ind w:left="0" w:leftChars="0" w:right="0" w:rightChars="0" w:firstLine="0" w:firstLineChars="0"/>
              <w:jc w:val="left"/>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同时输出政策依据、SQL查询、证据摘要、Agent意见和争议点</w:t>
            </w:r>
          </w:p>
        </w:tc>
      </w:tr>
      <w:tr w14:paraId="64B266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8" w:type="dxa"/>
            <w:tcBorders>
              <w:top w:val="nil"/>
              <w:left w:val="nil"/>
              <w:bottom w:val="single" w:color="4874CB" w:themeColor="accent1" w:sz="12" w:space="0"/>
              <w:right w:val="nil"/>
            </w:tcBorders>
            <w:shd w:val="clear" w:color="auto" w:fill="EDF1F9" w:themeFill="accent1" w:themeFillTint="19"/>
            <w:noWrap w:val="0"/>
            <w:tcMar>
              <w:top w:w="-1" w:type="dxa"/>
              <w:left w:w="-1" w:type="dxa"/>
              <w:bottom w:w="-1" w:type="dxa"/>
              <w:right w:w="-1" w:type="dxa"/>
            </w:tcMar>
            <w:vAlign w:val="center"/>
          </w:tcPr>
          <w:p w14:paraId="2D1A9AFD">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复核留痕</w:t>
            </w:r>
          </w:p>
        </w:tc>
        <w:tc>
          <w:tcPr>
            <w:tcW w:w="3564" w:type="dxa"/>
            <w:tcBorders>
              <w:top w:val="nil"/>
              <w:left w:val="nil"/>
              <w:bottom w:val="single" w:color="4874CB" w:themeColor="accent1" w:sz="12" w:space="0"/>
              <w:right w:val="nil"/>
            </w:tcBorders>
            <w:shd w:val="clear" w:color="auto" w:fill="EDF1F9" w:themeFill="accent1" w:themeFillTint="19"/>
            <w:noWrap w:val="0"/>
            <w:tcMar>
              <w:top w:w="-1" w:type="dxa"/>
              <w:left w:w="-1" w:type="dxa"/>
              <w:bottom w:w="-1" w:type="dxa"/>
              <w:right w:w="-1" w:type="dxa"/>
            </w:tcMar>
            <w:vAlign w:val="center"/>
          </w:tcPr>
          <w:p w14:paraId="70BE7E73">
            <w:pPr>
              <w:keepNext w:val="0"/>
              <w:keepLines w:val="0"/>
              <w:widowControl/>
              <w:suppressLineNumbers w:val="0"/>
              <w:snapToGrid w:val="0"/>
              <w:spacing w:after="0" w:line="240" w:lineRule="auto"/>
              <w:ind w:left="0" w:leftChars="0" w:right="0" w:rightChars="0" w:firstLine="0" w:firstLineChars="0"/>
              <w:jc w:val="center"/>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偏重在线办理流程，复核链路较弱</w:t>
            </w:r>
          </w:p>
        </w:tc>
        <w:tc>
          <w:tcPr>
            <w:tcW w:w="3918" w:type="dxa"/>
            <w:tcBorders>
              <w:top w:val="nil"/>
              <w:left w:val="nil"/>
              <w:bottom w:val="single" w:color="4874CB" w:themeColor="accent1" w:sz="12" w:space="0"/>
              <w:right w:val="nil"/>
            </w:tcBorders>
            <w:shd w:val="clear" w:color="auto" w:fill="EDF1F9" w:themeFill="accent1" w:themeFillTint="19"/>
            <w:noWrap w:val="0"/>
            <w:tcMar>
              <w:top w:w="-1" w:type="dxa"/>
              <w:left w:w="-1" w:type="dxa"/>
              <w:bottom w:w="-1" w:type="dxa"/>
              <w:right w:w="-1" w:type="dxa"/>
            </w:tcMar>
            <w:vAlign w:val="center"/>
          </w:tcPr>
          <w:p w14:paraId="3E3FD8F4">
            <w:pPr>
              <w:keepNext w:val="0"/>
              <w:keepLines w:val="0"/>
              <w:widowControl/>
              <w:suppressLineNumbers w:val="0"/>
              <w:snapToGrid w:val="0"/>
              <w:spacing w:after="0" w:line="240" w:lineRule="auto"/>
              <w:ind w:left="0" w:leftChars="0" w:right="0" w:rightChars="0" w:firstLine="0" w:firstLineChars="0"/>
              <w:jc w:val="left"/>
              <w:rPr>
                <w:rFonts w:ascii="宋体" w:eastAsia="宋体"/>
                <w:b w:val="0"/>
                <w:i w:val="0"/>
                <w:color w:val="000000"/>
                <w:sz w:val="24"/>
                <w:szCs w:val="21"/>
                <w:vertAlign w:val="baseline"/>
              </w:rPr>
            </w:pPr>
            <w:r>
              <w:rPr>
                <w:rFonts w:ascii="宋体" w:hAnsi="宋体" w:eastAsia="宋体" w:cs="宋体"/>
                <w:color w:val="auto"/>
                <w:kern w:val="0"/>
                <w:sz w:val="24"/>
                <w:szCs w:val="24"/>
                <w:lang w:val="en-US" w:eastAsia="zh-CN" w:bidi="ar"/>
              </w:rPr>
              <w:t>支持人工补证复核、历史会话回放和公文式报告归档</w:t>
            </w:r>
          </w:p>
        </w:tc>
      </w:tr>
    </w:tbl>
    <w:p w14:paraId="0FF79C34">
      <w:pPr>
        <w:pStyle w:val="22"/>
        <w:ind w:left="0" w:leftChars="0" w:firstLine="0" w:firstLineChars="0"/>
        <w:jc w:val="center"/>
        <w:rPr>
          <w:rFonts w:hint="eastAsia" w:eastAsia="宋体"/>
          <w:lang w:eastAsia="zh-CN"/>
        </w:rPr>
      </w:pPr>
      <w:bookmarkStart w:id="19" w:name="_Toc6045"/>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现有方案与智策惠民的多维对比</w:t>
      </w:r>
    </w:p>
    <w:p w14:paraId="28E486FB">
      <w:pPr>
        <w:ind w:left="0" w:leftChars="0" w:firstLine="0" w:firstLineChars="0"/>
        <w:rPr>
          <w:rFonts w:hint="eastAsia"/>
          <w:lang w:eastAsia="zh-CN"/>
        </w:rPr>
      </w:pPr>
      <w:r>
        <w:rPr>
          <w:rFonts w:hint="eastAsia"/>
          <w:lang w:eastAsia="zh-CN"/>
        </w:rPr>
        <w:br w:type="page"/>
      </w:r>
    </w:p>
    <w:p w14:paraId="396C5E5C">
      <w:pPr>
        <w:pStyle w:val="3"/>
        <w:keepNext/>
        <w:keepLines w:val="0"/>
        <w:pageBreakBefore/>
        <w:widowControl w:val="0"/>
        <w:numPr>
          <w:ilvl w:val="0"/>
          <w:numId w:val="0"/>
        </w:numPr>
        <w:kinsoku/>
        <w:wordWrap/>
        <w:overflowPunct/>
        <w:topLinePunct w:val="0"/>
        <w:autoSpaceDE/>
        <w:autoSpaceDN/>
        <w:bidi w:val="0"/>
        <w:adjustRightInd w:val="0"/>
        <w:snapToGrid/>
        <w:spacing w:before="0"/>
        <w:ind w:leftChars="0"/>
        <w:jc w:val="center"/>
        <w:textAlignment w:val="auto"/>
        <w:rPr>
          <w:b w:val="0"/>
        </w:rPr>
      </w:pPr>
      <w:bookmarkStart w:id="20" w:name="_Toc30745"/>
      <w:r>
        <w:rPr>
          <w:rFonts w:hint="eastAsia"/>
          <w:lang w:eastAsia="zh-CN"/>
        </w:rPr>
        <w:t xml:space="preserve">第二章 </w:t>
      </w:r>
      <w:r>
        <w:t>项目研究内容和技术路线</w:t>
      </w:r>
      <w:bookmarkEnd w:id="19"/>
      <w:bookmarkEnd w:id="20"/>
    </w:p>
    <w:p w14:paraId="77E304EF">
      <w:pPr>
        <w:pStyle w:val="4"/>
        <w:keepNext/>
        <w:numPr>
          <w:ilvl w:val="0"/>
          <w:numId w:val="0"/>
        </w:numPr>
        <w:ind w:leftChars="0"/>
        <w:rPr>
          <w:rFonts w:hint="eastAsia"/>
          <w:lang w:eastAsia="zh-CN"/>
        </w:rPr>
      </w:pPr>
      <w:bookmarkStart w:id="21" w:name="_Toc7678"/>
      <w:bookmarkStart w:id="22" w:name="_Toc3420"/>
      <w:r>
        <w:rPr>
          <w:rFonts w:hint="eastAsia"/>
          <w:lang w:eastAsia="zh-CN"/>
        </w:rPr>
        <w:t>2.1 项目研究目标</w:t>
      </w:r>
      <w:bookmarkEnd w:id="21"/>
    </w:p>
    <w:p w14:paraId="2CBD402E">
      <w:pPr>
        <w:pStyle w:val="35"/>
        <w:rPr>
          <w:rFonts w:hint="eastAsia" w:ascii="Times New Roman" w:hAnsi="Times New Roman" w:eastAsia="宋体" w:cs="Times New Roman"/>
          <w:sz w:val="24"/>
          <w:szCs w:val="24"/>
          <w:lang w:eastAsia="zh-CN"/>
        </w:rPr>
      </w:pPr>
      <w:r>
        <w:rPr>
          <w:rFonts w:hint="eastAsia"/>
          <w:lang w:eastAsia="zh-CN"/>
        </w:rPr>
        <w:t>本</w:t>
      </w:r>
      <w:r>
        <w:rPr>
          <w:rFonts w:hint="eastAsia" w:ascii="Times New Roman" w:hAnsi="Times New Roman" w:eastAsia="宋体" w:cs="Times New Roman"/>
          <w:sz w:val="24"/>
          <w:szCs w:val="24"/>
          <w:lang w:eastAsia="zh-CN"/>
        </w:rPr>
        <w:t>项目围绕基层政务资格审核中的政策理解、跨表取证、证据解释、争议研判和结果归档问题，研究并实现一个面向政务资格审核场景的智能辅助审核系统。系统的总体目标为：在不替代人工最终审批的前提下，利用大语言模型、Text-to-SQL、证据链取证和多Agent辩论仲裁机制，辅助经办人员快速完成政策匹配、数据取证、风险提示、证据解释、人工复核和报告生成。</w:t>
      </w:r>
    </w:p>
    <w:p w14:paraId="4C41CB9E">
      <w:pPr>
        <w:pStyle w:val="35"/>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系统建设遵循“证据先行、审慎判断、人工兜底、全程留痕”的原则。与直接让模型输出审核结论不同，本项目将审核过程拆分为政策规则结构化、取证任务生成、数据库查询、证据卡片装配、证据约束下的多Agent辩论、保守仲裁和人工复核归档等环节，使最终结论能够回溯到具体政策条款、SQL查询结果、证据摘要、Agent意见、仲裁依据和人工复核记录。</w:t>
      </w:r>
    </w:p>
    <w:p w14:paraId="11ECEC18">
      <w:pPr>
        <w:pStyle w:val="35"/>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本项目重点解决三个问题：一是政策规则如何转化为可执行、可复查的数据库取证任务；二是数据库查询结果如何组织为可解释、可引用的证据卡片；三是多个Agent如何在统一证据约束下开展辩论、暴露分歧并形成审慎仲裁结论。</w:t>
      </w:r>
    </w:p>
    <w:p w14:paraId="3DADDA2E">
      <w:pPr>
        <w:pStyle w:val="4"/>
        <w:keepNext/>
        <w:numPr>
          <w:ilvl w:val="0"/>
          <w:numId w:val="0"/>
        </w:numPr>
        <w:ind w:leftChars="0"/>
        <w:rPr>
          <w:b w:val="0"/>
        </w:rPr>
      </w:pPr>
      <w:bookmarkStart w:id="23" w:name="_Toc19648"/>
      <w:r>
        <w:rPr>
          <w:rFonts w:hint="eastAsia"/>
          <w:lang w:eastAsia="zh-CN"/>
        </w:rPr>
        <w:t xml:space="preserve">2.2 </w:t>
      </w:r>
      <w:r>
        <w:t>项目研究内容</w:t>
      </w:r>
      <w:bookmarkEnd w:id="22"/>
      <w:bookmarkEnd w:id="23"/>
    </w:p>
    <w:p w14:paraId="40FADD03">
      <w:pPr>
        <w:pStyle w:val="5"/>
        <w:keepNext/>
        <w:numPr>
          <w:ilvl w:val="0"/>
          <w:numId w:val="0"/>
        </w:numPr>
        <w:ind w:leftChars="0"/>
        <w:rPr>
          <w:b w:val="0"/>
        </w:rPr>
      </w:pPr>
      <w:bookmarkStart w:id="24" w:name="_Toc22114"/>
      <w:bookmarkStart w:id="25" w:name="_Toc7965"/>
      <w:r>
        <w:rPr>
          <w:rFonts w:hint="eastAsia"/>
          <w:lang w:eastAsia="zh-CN"/>
        </w:rPr>
        <w:t xml:space="preserve">2.2.1 </w:t>
      </w:r>
      <w:r>
        <w:t>政策意图识别与规则加载</w:t>
      </w:r>
      <w:bookmarkEnd w:id="24"/>
      <w:bookmarkEnd w:id="25"/>
    </w:p>
    <w:p w14:paraId="1A4891E7">
      <w:pPr>
        <w:pStyle w:val="35"/>
        <w:rPr>
          <w:rFonts w:ascii="Times New Roman" w:hAnsi="Times New Roman" w:eastAsia="宋体" w:cs="Times New Roman"/>
          <w:sz w:val="24"/>
          <w:szCs w:val="24"/>
        </w:rPr>
      </w:pPr>
      <w:r>
        <w:rPr>
          <w:rFonts w:ascii="Times New Roman" w:hAnsi="Times New Roman" w:eastAsia="宋体" w:cs="Times New Roman"/>
          <w:sz w:val="24"/>
          <w:szCs w:val="24"/>
        </w:rPr>
        <w:t>系统首先研究如何将用户的自然语言诉求转化为可执行的审核任务。用户可以输入身份证号和业务诉求，例如“判断该人员是否符合灵活就业社保补贴条件”。系统通过政策意图识别模块识别办理事项和审核对象，匹配对应政策；当存在多个候选政策时，系统返回政策确认信息，避免错误路由。</w:t>
      </w:r>
    </w:p>
    <w:p w14:paraId="29D71EAD">
      <w:pPr>
        <w:pStyle w:val="35"/>
        <w:rPr>
          <w:rFonts w:ascii="Times New Roman" w:hAnsi="Times New Roman" w:eastAsia="宋体" w:cs="Times New Roman"/>
          <w:sz w:val="24"/>
          <w:szCs w:val="24"/>
        </w:rPr>
      </w:pPr>
      <w:r>
        <w:rPr>
          <w:rFonts w:ascii="Times New Roman" w:hAnsi="Times New Roman" w:eastAsia="宋体" w:cs="Times New Roman"/>
          <w:sz w:val="24"/>
          <w:szCs w:val="24"/>
        </w:rPr>
        <w:t>政策确认后，系统从规则库加载对应政策下的基础条件、排除条件和灵活评判条件，并将每条政策规则转化为具体核查问题。该研究内容解决的是“政策条款如何进入系统执行链路”的问题，使系统能够从自然语言诉求进入结构化审核流程，而不是依赖人工逐条查找政策和手写SQL。</w:t>
      </w:r>
    </w:p>
    <w:p w14:paraId="761ACA42">
      <w:pPr>
        <w:pStyle w:val="35"/>
        <w:rPr>
          <w:rFonts w:ascii="Times New Roman" w:hAnsi="Times New Roman" w:eastAsia="宋体" w:cs="Times New Roman"/>
          <w:sz w:val="24"/>
          <w:szCs w:val="24"/>
        </w:rPr>
      </w:pPr>
      <w:r>
        <w:rPr>
          <w:rFonts w:hint="eastAsia" w:ascii="Times New Roman" w:hAnsi="Times New Roman" w:eastAsia="宋体" w:cs="Times New Roman"/>
          <w:sz w:val="24"/>
          <w:szCs w:val="24"/>
        </w:rPr>
        <w:t>政策规则加载后不仅用于生成取证任务，也作为后续Agent辩论的共同约束。各Agent在发表判断意见时，必须围绕已加载的政策规则和对应证据卡片展开，避免脱离政策依据进行自由推理。</w:t>
      </w:r>
    </w:p>
    <w:p w14:paraId="3FEDD7EA">
      <w:pPr>
        <w:pStyle w:val="5"/>
        <w:keepNext/>
        <w:numPr>
          <w:ilvl w:val="0"/>
          <w:numId w:val="0"/>
        </w:numPr>
        <w:ind w:leftChars="0"/>
        <w:rPr>
          <w:b w:val="0"/>
        </w:rPr>
      </w:pPr>
      <w:bookmarkStart w:id="26" w:name="_Toc6673"/>
      <w:bookmarkStart w:id="27" w:name="_Toc3151"/>
      <w:r>
        <w:rPr>
          <w:rFonts w:hint="eastAsia"/>
          <w:lang w:eastAsia="zh-CN"/>
        </w:rPr>
        <w:t xml:space="preserve">2.2.2 </w:t>
      </w:r>
      <w:r>
        <w:t>规则驱动的T2SQL动态取证</w:t>
      </w:r>
      <w:bookmarkEnd w:id="26"/>
      <w:bookmarkEnd w:id="27"/>
    </w:p>
    <w:p w14:paraId="3EF892E3">
      <w:pPr>
        <w:pStyle w:val="35"/>
        <w:rPr>
          <w:rFonts w:ascii="Times New Roman" w:hAnsi="Times New Roman" w:eastAsia="宋体" w:cs="Times New Roman"/>
          <w:sz w:val="24"/>
          <w:szCs w:val="24"/>
        </w:rPr>
      </w:pPr>
      <w:r>
        <w:rPr>
          <w:rFonts w:ascii="Times New Roman" w:hAnsi="Times New Roman" w:eastAsia="宋体" w:cs="Times New Roman"/>
          <w:sz w:val="24"/>
          <w:szCs w:val="24"/>
        </w:rPr>
        <w:t>T2SQL动态取证是系统的核心研究内容之一。系统不直接让大模型判断申请人是否符合政策，而是先围绕每条政策规则生成取证任务，再由T2SQL模块结合数据库Schema和目标人员信息生成SQL查询语句。查询范围覆盖人员基础信息、就业登记信息、困难人员认定信息、社会保险缴费信息、工商登记信息、补贴历史信息等业务数据。</w:t>
      </w:r>
    </w:p>
    <w:p w14:paraId="105ED4E5">
      <w:pPr>
        <w:pStyle w:val="35"/>
        <w:rPr>
          <w:rFonts w:ascii="Times New Roman" w:hAnsi="Times New Roman" w:eastAsia="宋体" w:cs="Times New Roman"/>
          <w:sz w:val="24"/>
          <w:szCs w:val="24"/>
        </w:rPr>
      </w:pPr>
      <w:r>
        <w:rPr>
          <w:rFonts w:ascii="Times New Roman" w:hAnsi="Times New Roman" w:eastAsia="宋体" w:cs="Times New Roman"/>
          <w:sz w:val="24"/>
          <w:szCs w:val="24"/>
        </w:rPr>
        <w:t>在一次完整审核中，系统需要对多条规则分别进行取证。例如，针对“是否正常缴纳社会保险”的必要条件，系统查询申请人最近缴费状态和缴费月份；针对“不得存在有效工商登记”的排除条件，系统查询申请人是否存在企业法人、股东或有效营业执照记录；针对“是否超过补贴期限”的规则，系统查询历史补贴领取月份和最后领取时间。通过这种方式，系统将政策资格判断拆分为若干可执行、可复查的数据库取证任务。</w:t>
      </w:r>
    </w:p>
    <w:p w14:paraId="7EAB52B3">
      <w:pPr>
        <w:pStyle w:val="35"/>
        <w:rPr>
          <w:rFonts w:ascii="Times New Roman" w:hAnsi="Times New Roman" w:eastAsia="宋体" w:cs="Times New Roman"/>
          <w:sz w:val="24"/>
          <w:szCs w:val="24"/>
        </w:rPr>
      </w:pPr>
      <w:r>
        <w:rPr>
          <w:rFonts w:hint="eastAsia" w:ascii="Times New Roman" w:hAnsi="Times New Roman" w:eastAsia="宋体" w:cs="Times New Roman"/>
          <w:sz w:val="24"/>
          <w:szCs w:val="24"/>
        </w:rPr>
        <w:t>因此，T2SQL动态取证并不是独立的数据查询功能，而是多Agent辩论仲裁机制的事实基础。只有先形成可追溯的SQL取证结果，后续Agent才能在统一证据链上进行观点比较、分歧暴露和风险研判。</w:t>
      </w:r>
    </w:p>
    <w:p w14:paraId="6CD55F17">
      <w:pPr>
        <w:pStyle w:val="5"/>
        <w:keepNext/>
        <w:numPr>
          <w:ilvl w:val="0"/>
          <w:numId w:val="0"/>
        </w:numPr>
        <w:ind w:leftChars="0"/>
        <w:rPr>
          <w:b w:val="0"/>
        </w:rPr>
      </w:pPr>
      <w:bookmarkStart w:id="28" w:name="_Toc14004"/>
      <w:bookmarkStart w:id="29" w:name="_Toc22348"/>
      <w:r>
        <w:rPr>
          <w:rFonts w:hint="eastAsia"/>
          <w:lang w:eastAsia="zh-CN"/>
        </w:rPr>
        <w:t xml:space="preserve">2.2.3 </w:t>
      </w:r>
      <w:r>
        <w:t>SQL执行反馈与自诊断修复</w:t>
      </w:r>
      <w:bookmarkEnd w:id="28"/>
      <w:bookmarkEnd w:id="29"/>
    </w:p>
    <w:p w14:paraId="70F562F5">
      <w:pPr>
        <w:pStyle w:val="35"/>
        <w:rPr>
          <w:rFonts w:ascii="Times New Roman" w:hAnsi="Times New Roman" w:eastAsia="宋体" w:cs="Times New Roman"/>
          <w:sz w:val="24"/>
          <w:szCs w:val="24"/>
        </w:rPr>
      </w:pPr>
      <w:r>
        <w:rPr>
          <w:rFonts w:ascii="Times New Roman" w:hAnsi="Times New Roman" w:eastAsia="宋体" w:cs="Times New Roman"/>
          <w:sz w:val="24"/>
          <w:szCs w:val="24"/>
        </w:rPr>
        <w:t>政务业务数据库通常存在字段口径复杂、表间关系多、历史数据不完整等情况。为了提高取证稳定性，系统研究并实现面向执行反馈的SQL自诊断修复机制。T2SQL生成SQL后，系统将其交由数据库执行，并根据执行结果记录状态。如果出现字段不存在、表名不匹配、语法异常、空结果或结果不符合预期等情况，系统会在有限轮次内结合错误反馈进行修复。</w:t>
      </w:r>
    </w:p>
    <w:p w14:paraId="7067BF48">
      <w:pPr>
        <w:pStyle w:val="35"/>
        <w:rPr>
          <w:rFonts w:ascii="Times New Roman" w:hAnsi="Times New Roman" w:eastAsia="宋体" w:cs="Times New Roman"/>
          <w:sz w:val="24"/>
          <w:szCs w:val="24"/>
        </w:rPr>
      </w:pPr>
      <w:r>
        <w:rPr>
          <w:rFonts w:ascii="Times New Roman" w:hAnsi="Times New Roman" w:eastAsia="宋体" w:cs="Times New Roman"/>
          <w:sz w:val="24"/>
          <w:szCs w:val="24"/>
        </w:rPr>
        <w:t>修复过程不会覆盖原始执行记录，而是作为证据链的一部分保留。每条取证结果都记录执行SQL、执行状态、错误类型、诊断信息、修复过程和最终结果。</w:t>
      </w:r>
      <w:r>
        <w:rPr>
          <w:rFonts w:hint="eastAsia" w:ascii="Times New Roman" w:hAnsi="Times New Roman" w:eastAsia="宋体" w:cs="Times New Roman"/>
          <w:sz w:val="24"/>
          <w:szCs w:val="24"/>
        </w:rPr>
        <w:t>这样既能提高动态取证链路的可执行性，也能让经办人员、复核人员和后续Agent看到系统取证失败或数据缺失的具体原因，避免将SQL生成错误或数据缺失误当作真实业务结论，从而提高后续辩论仲裁的可信度。</w:t>
      </w:r>
    </w:p>
    <w:p w14:paraId="68367BC7">
      <w:pPr>
        <w:pStyle w:val="5"/>
        <w:keepNext/>
        <w:numPr>
          <w:ilvl w:val="0"/>
          <w:numId w:val="0"/>
        </w:numPr>
        <w:ind w:leftChars="0"/>
        <w:rPr>
          <w:b w:val="0"/>
        </w:rPr>
      </w:pPr>
      <w:bookmarkStart w:id="30" w:name="_Toc7660"/>
      <w:bookmarkStart w:id="31" w:name="_Toc16454"/>
      <w:r>
        <w:rPr>
          <w:rFonts w:hint="eastAsia"/>
          <w:lang w:eastAsia="zh-CN"/>
        </w:rPr>
        <w:t xml:space="preserve">2.2.4 </w:t>
      </w:r>
      <w:r>
        <w:t>证据卡片生成与证据语义判定</w:t>
      </w:r>
      <w:bookmarkEnd w:id="30"/>
      <w:bookmarkEnd w:id="31"/>
    </w:p>
    <w:p w14:paraId="1BA6FBA3">
      <w:pPr>
        <w:pStyle w:val="35"/>
        <w:rPr>
          <w:rFonts w:hint="eastAsia" w:ascii="Times New Roman" w:hAnsi="Times New Roman" w:eastAsia="宋体" w:cs="Times New Roman"/>
          <w:sz w:val="24"/>
          <w:szCs w:val="24"/>
        </w:rPr>
      </w:pPr>
      <w:r>
        <w:rPr>
          <w:rFonts w:ascii="Times New Roman" w:hAnsi="Times New Roman" w:eastAsia="宋体" w:cs="Times New Roman"/>
          <w:sz w:val="24"/>
          <w:szCs w:val="24"/>
        </w:rPr>
        <w:t>查询结果不会直接作为最终审核结论，而是被封装为标准化证据卡片。证据卡片包括规则编号、规则类型、目标人员、执行SQL、原始查询结果、结果摘要、执行状态、诊断信息和证据倾向等内容。</w:t>
      </w:r>
      <w:r>
        <w:rPr>
          <w:rFonts w:hint="eastAsia" w:ascii="Times New Roman" w:hAnsi="Times New Roman" w:eastAsia="宋体" w:cs="Times New Roman"/>
          <w:sz w:val="24"/>
          <w:szCs w:val="24"/>
        </w:rPr>
        <w:t>证据卡片既是前端展示的基础，也是多Agent辩论系统的统一事实输入和人工复核的主要依据。</w:t>
      </w:r>
    </w:p>
    <w:p w14:paraId="4101A04F">
      <w:pPr>
        <w:pStyle w:val="35"/>
        <w:rPr>
          <w:rFonts w:ascii="Times New Roman" w:hAnsi="Times New Roman" w:eastAsia="宋体" w:cs="Times New Roman"/>
          <w:sz w:val="24"/>
          <w:szCs w:val="24"/>
        </w:rPr>
      </w:pPr>
      <w:r>
        <w:rPr>
          <w:rFonts w:ascii="Times New Roman" w:hAnsi="Times New Roman" w:eastAsia="宋体" w:cs="Times New Roman"/>
          <w:sz w:val="24"/>
          <w:szCs w:val="24"/>
        </w:rPr>
        <w:t>在证据解释过程中，系统重点区分不同规则类型下查询结果的含义。对于“必须满足”条件，查到有效事实通常支持通过，查不到可能表示条件不足；对于“必须排除”条件，查到风险事实通常反对通过，查不到通常表示未发现该项风险；对于“灵活评判”条件，系统保留上下文和诊断信息，交由证据语义层与Agent综合判断。该机制能够避免简单按照“有数据”或“无数据”判断资格，提高系统对空结果、缺失数据和边界样本的解释能力。</w:t>
      </w:r>
    </w:p>
    <w:p w14:paraId="5A3480E1">
      <w:pPr>
        <w:pStyle w:val="35"/>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过证据卡片，系统将原本分散的数据库查询结果转化为可引用、可比较、可追溯的审核材料。后续不同Agent的判断意见都需要引用证据卡片中的规则编号、SQL结果或证据倾向，从而避免多Agent讨论脱离事实依据。</w:t>
      </w:r>
      <w:bookmarkStart w:id="32" w:name="_Toc5197"/>
    </w:p>
    <w:bookmarkEnd w:id="32"/>
    <w:p w14:paraId="2A7E3E72">
      <w:pPr>
        <w:pStyle w:val="5"/>
        <w:keepNext/>
        <w:numPr>
          <w:ilvl w:val="0"/>
          <w:numId w:val="0"/>
        </w:numPr>
        <w:ind w:leftChars="0"/>
        <w:rPr>
          <w:rFonts w:hint="eastAsia"/>
          <w:lang w:eastAsia="zh-CN"/>
        </w:rPr>
      </w:pPr>
      <w:bookmarkStart w:id="33" w:name="_Toc25203"/>
      <w:bookmarkStart w:id="34" w:name="_Toc17085"/>
      <w:r>
        <w:rPr>
          <w:rFonts w:hint="eastAsia"/>
          <w:lang w:eastAsia="zh-CN"/>
        </w:rPr>
        <w:t>2.2.5 对象画像与多Agent辩论仲裁</w:t>
      </w:r>
      <w:bookmarkEnd w:id="33"/>
    </w:p>
    <w:p w14:paraId="4603F971">
      <w:pPr>
        <w:pStyle w:val="35"/>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在形成证据卡片后，系统进一步生成申请对象画像，汇总申请人的基本情况、就业状态、社保缴费、困难认定、工商登记、补贴历史和主要风险点。对象画像不是新的事实来源，而是对证据卡片和结构化事实的归纳整理，用于帮助Agent快速理解当前审核对象的整体情况。</w:t>
      </w:r>
    </w:p>
    <w:p w14:paraId="3DF65920">
      <w:pPr>
        <w:pStyle w:val="35"/>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本项目重点研究证据约束下的多Agent辩论仲裁机制。与普通多Agent自由讨论不同，本系统中的Agent并不独立生成事实，也不直接替代人工作出审批决定，而是围绕同一组政策规则、证据卡片和对象画像开展角色化辩论。系统设置严格合规Agent、宽松业务Agent、探索分析Agent、经验归纳Agent、审计挑战Agent和仲裁Agent等角色，不同Agent分别从硬性政策条件、便民办理空间、跨表冲突识别、典型案例经验和审计可追责性等角度提出判断意见。</w:t>
      </w:r>
    </w:p>
    <w:p w14:paraId="0BC93F7A">
      <w:pPr>
        <w:pStyle w:val="35"/>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在辩论过程中，各Agent的输出需要包含判断立场、引用证据、理由说明、风险提示和是否建议人工复核等内容。严格合规Agent关注基础条件是否满足、关键材料是否缺失和排除情形是否命中；宽松业务Agent关注已证实事实和合理解释空间，避免把技术性缺失直接等同于资格不符；探索分析Agent关注跨表冲突、边界情况和潜在异常；经验归纳Agent从典型案例和业务经验角度辅助解释；审计挑战Agent关注政策口径、责任风险和报告可审计性。</w:t>
      </w:r>
    </w:p>
    <w:p w14:paraId="14778F6B">
      <w:pPr>
        <w:pStyle w:val="35"/>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仲裁Agent不简单采用多数投票，而是综合证据充分性、规则重要性、排除条件命中情况和Agent意见分歧程度形成辅助结论。当关键证据不足、排除条件命中或不同Agent存在明显冲突时，系统不直接输出确定通过结论，而是标记为“需人工复核”或“需补充材料”。通过该机制，系统能够在复杂审核样本中暴露争议点、识别风险项，并为经办人员提供更审慎的辅助判断。</w:t>
      </w:r>
    </w:p>
    <w:p w14:paraId="7208F49E">
      <w:pPr>
        <w:pStyle w:val="5"/>
        <w:bidi w:val="0"/>
        <w:rPr>
          <w:b w:val="0"/>
        </w:rPr>
      </w:pPr>
      <w:bookmarkStart w:id="35" w:name="_Toc29645"/>
      <w:r>
        <w:rPr>
          <w:rFonts w:hint="eastAsia"/>
          <w:lang w:eastAsia="zh-CN"/>
        </w:rPr>
        <w:t xml:space="preserve">2.2.6 </w:t>
      </w:r>
      <w:r>
        <w:t>人工复核、报告生成与历史留痕</w:t>
      </w:r>
      <w:bookmarkEnd w:id="34"/>
      <w:bookmarkEnd w:id="35"/>
    </w:p>
    <w:p w14:paraId="26C07F6B">
      <w:pPr>
        <w:pStyle w:val="35"/>
        <w:rPr>
          <w:rFonts w:ascii="Times New Roman" w:hAnsi="Times New Roman" w:eastAsia="宋体" w:cs="Times New Roman"/>
          <w:sz w:val="24"/>
          <w:szCs w:val="24"/>
        </w:rPr>
      </w:pPr>
      <w:r>
        <w:rPr>
          <w:rFonts w:ascii="Times New Roman" w:hAnsi="Times New Roman" w:eastAsia="宋体" w:cs="Times New Roman"/>
          <w:sz w:val="24"/>
          <w:szCs w:val="24"/>
        </w:rPr>
        <w:t>政务资格审核最终需要人工确认和正式归档，因此系统研究并实现人工补证复核与报告生成机制。对于证据不足或存在争议的情况，经办人员可以补充证据、确认复核意见，并在系统中更新最终结果。系统保留经办人员最终确认权，符合政务审核中“机器辅助、人工兜底”的要求。</w:t>
      </w:r>
    </w:p>
    <w:p w14:paraId="7A2026A2">
      <w:pPr>
        <w:pStyle w:val="35"/>
        <w:rPr>
          <w:rFonts w:ascii="Times New Roman" w:hAnsi="Times New Roman" w:eastAsia="宋体" w:cs="Times New Roman"/>
          <w:sz w:val="24"/>
          <w:szCs w:val="24"/>
        </w:rPr>
      </w:pPr>
      <w:r>
        <w:rPr>
          <w:rFonts w:hint="eastAsia" w:ascii="Times New Roman" w:hAnsi="Times New Roman" w:eastAsia="宋体" w:cs="Times New Roman"/>
          <w:sz w:val="24"/>
          <w:szCs w:val="24"/>
        </w:rPr>
        <w:t>复核完成后，系统生成政府公文式PDF报告，并保存历史会话记录、证据卡片、Agent辩论过程、仲裁结果、人工复核意见和报告路径。</w:t>
      </w:r>
      <w:r>
        <w:rPr>
          <w:rFonts w:ascii="Times New Roman" w:hAnsi="Times New Roman" w:eastAsia="宋体" w:cs="Times New Roman"/>
          <w:sz w:val="24"/>
          <w:szCs w:val="24"/>
        </w:rPr>
        <w:t>历史会话可以回放，报告可以下载归档，便于后续监督、复查和审计追溯。该功能使系统从“智能判断展示”进一步扩展为“可归档、可复查、可追责”的完整政务辅助审核工具。</w:t>
      </w:r>
    </w:p>
    <w:p w14:paraId="12390626">
      <w:pPr>
        <w:pStyle w:val="35"/>
        <w:rPr>
          <w:rFonts w:ascii="Times New Roman" w:hAnsi="Times New Roman" w:eastAsia="宋体" w:cs="Times New Roman"/>
          <w:sz w:val="24"/>
          <w:szCs w:val="24"/>
        </w:rPr>
      </w:pPr>
      <w:r>
        <w:rPr>
          <w:rFonts w:ascii="Times New Roman" w:hAnsi="Times New Roman" w:eastAsia="宋体" w:cs="Times New Roman"/>
          <w:sz w:val="24"/>
          <w:szCs w:val="24"/>
        </w:rPr>
        <w:t>系统以会话为单位保存审核记录，debate_session表保存会话编号、审核对象、政策编号、最终状态、创建时间和报告路径等主记录；</w:t>
      </w:r>
      <w:r>
        <w:rPr>
          <w:rFonts w:hint="eastAsia" w:ascii="Times New Roman" w:hAnsi="Times New Roman" w:eastAsia="宋体" w:cs="Times New Roman"/>
          <w:sz w:val="24"/>
          <w:szCs w:val="24"/>
        </w:rPr>
        <w:t>agent_debate_log表保存各Agent的发言轮次、判断立场、引用证据、理由说明、风险提示和仲裁摘要，支持后续追溯辩论过程。</w:t>
      </w:r>
      <w:r>
        <w:rPr>
          <w:rFonts w:ascii="Times New Roman" w:hAnsi="Times New Roman" w:eastAsia="宋体" w:cs="Times New Roman"/>
          <w:sz w:val="24"/>
          <w:szCs w:val="24"/>
        </w:rPr>
        <w:t>后端在审核流程中通过会话编号关联证据、画像、辩论、复核和报告，使不同模块输出能够被统一回放。</w:t>
      </w:r>
    </w:p>
    <w:p w14:paraId="16DBF4DD">
      <w:pPr>
        <w:pStyle w:val="5"/>
        <w:bidi w:val="0"/>
        <w:rPr>
          <w:rFonts w:hint="eastAsia"/>
          <w:lang w:eastAsia="zh-CN"/>
        </w:rPr>
      </w:pPr>
      <w:bookmarkStart w:id="36" w:name="_Toc27275"/>
      <w:r>
        <w:rPr>
          <w:rFonts w:hint="eastAsia"/>
          <w:lang w:eastAsia="zh-CN"/>
        </w:rPr>
        <w:t>2.2.7 安全与隐私保护设计</w:t>
      </w:r>
      <w:bookmarkEnd w:id="36"/>
    </w:p>
    <w:p w14:paraId="4648A9A8">
      <w:pPr>
        <w:pStyle w:val="35"/>
        <w:rPr>
          <w:rFonts w:hint="eastAsia"/>
          <w:lang w:eastAsia="zh-CN"/>
        </w:rPr>
      </w:pPr>
      <w:r>
        <w:rPr>
          <w:rFonts w:hint="eastAsia"/>
          <w:lang w:eastAsia="zh-CN"/>
        </w:rPr>
        <w:t>政务资格审核涉及身份证号、就业状态、社会保险缴费、工商登记、补贴领取历史等敏感信息。为降低系统在数据取证、模型调用、结果展示和报告归档过程中的安全风险，本项目在设计中引入敏感字段脱敏、后端统一封装数据库访问、模型输入最小必要原则、SQL执行约束、操作日志留痕和报告下载控制等措施。</w:t>
      </w:r>
    </w:p>
    <w:p w14:paraId="6506CDF0">
      <w:pPr>
        <w:pStyle w:val="35"/>
        <w:rPr>
          <w:rFonts w:hint="eastAsia"/>
          <w:lang w:eastAsia="zh-CN"/>
        </w:rPr>
      </w:pPr>
      <w:r>
        <w:rPr>
          <w:rFonts w:hint="eastAsia"/>
          <w:lang w:eastAsia="zh-CN"/>
        </w:rPr>
        <w:t>在前端展示方面，系统对身份证号等敏感字段进行脱敏处理；在数据库访问方面，前端不直接连接业务数据库，所有查询均通过后端取证模块完成；在大模型调用方面，系统仅传入当前任务所需的政策规则、Schema摘要、核查目标和必要证据，避免传入完整个人档案；在报告生成方面，系统要求完成人工复核确认后才开放正式报告下载，避免未经确认的模型辅助结论被误用。</w:t>
      </w:r>
    </w:p>
    <w:p w14:paraId="0DF91ED8">
      <w:pPr>
        <w:pStyle w:val="35"/>
        <w:rPr>
          <w:rFonts w:ascii="Times New Roman" w:hAnsi="Times New Roman" w:eastAsia="宋体" w:cs="Times New Roman"/>
          <w:sz w:val="24"/>
          <w:szCs w:val="24"/>
        </w:rPr>
      </w:pPr>
      <w:r>
        <w:rPr>
          <w:rFonts w:hint="eastAsia"/>
          <w:lang w:eastAsia="zh-CN"/>
        </w:rPr>
        <w:t>该设计使系统在实现智能辅助审核的同时，尽量降低敏感数据暴露、越权查询、模型调用泄露和报告误用风险，为后续真实政务场景部署提供安全基础。</w:t>
      </w:r>
    </w:p>
    <w:tbl>
      <w:tblPr>
        <w:tblStyle w:val="90"/>
        <w:tblW w:w="885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59"/>
        <w:gridCol w:w="3273"/>
        <w:gridCol w:w="4118"/>
      </w:tblGrid>
      <w:tr w14:paraId="00B615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2584D45A">
            <w:pPr>
              <w:keepNext w:val="0"/>
              <w:keepLines w:val="0"/>
              <w:widowControl/>
              <w:suppressLineNumbers w:val="0"/>
              <w:snapToGrid w:val="0"/>
              <w:spacing w:after="0" w:line="240" w:lineRule="auto"/>
              <w:ind w:left="0" w:leftChars="0" w:right="0" w:rightChars="0" w:firstLine="0" w:firstLineChars="0"/>
              <w:jc w:val="center"/>
              <w:rPr>
                <w:rFonts w:hint="default" w:ascii="宋体" w:eastAsia="宋体"/>
                <w:b/>
                <w:i w:val="0"/>
                <w:color w:val="FFFFFF"/>
                <w:sz w:val="21"/>
                <w:szCs w:val="21"/>
                <w:vertAlign w:val="baseline"/>
                <w:lang w:val="en-US" w:eastAsia="zh-CN"/>
              </w:rPr>
            </w:pPr>
            <w:r>
              <w:rPr>
                <w:rFonts w:ascii="宋体" w:hAnsi="宋体" w:eastAsia="宋体" w:cs="宋体"/>
                <w:b/>
                <w:bCs/>
                <w:i w:val="0"/>
                <w:color w:val="FFFFFF"/>
                <w:kern w:val="0"/>
                <w:sz w:val="21"/>
                <w:szCs w:val="21"/>
                <w:lang w:val="en-US" w:eastAsia="zh-CN" w:bidi="ar"/>
              </w:rPr>
              <w:t>安全问题</w:t>
            </w:r>
          </w:p>
        </w:tc>
        <w:tc>
          <w:tcPr>
            <w:tcW w:w="0" w:type="auto"/>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33FBFC64">
            <w:pPr>
              <w:keepNext w:val="0"/>
              <w:keepLines w:val="0"/>
              <w:widowControl/>
              <w:suppressLineNumbers w:val="0"/>
              <w:snapToGrid w:val="0"/>
              <w:spacing w:after="0" w:line="240" w:lineRule="auto"/>
              <w:ind w:left="0" w:leftChars="0" w:right="0" w:rightChars="0" w:firstLine="0" w:firstLineChars="0"/>
              <w:jc w:val="center"/>
              <w:rPr>
                <w:rFonts w:hint="default" w:ascii="宋体" w:eastAsia="宋体"/>
                <w:b/>
                <w:i w:val="0"/>
                <w:color w:val="FFFFFF"/>
                <w:sz w:val="21"/>
                <w:szCs w:val="21"/>
                <w:vertAlign w:val="baseline"/>
                <w:lang w:val="en-US" w:eastAsia="zh-CN"/>
              </w:rPr>
            </w:pPr>
            <w:r>
              <w:rPr>
                <w:rFonts w:ascii="宋体" w:hAnsi="宋体" w:eastAsia="宋体" w:cs="宋体"/>
                <w:b/>
                <w:bCs/>
                <w:i w:val="0"/>
                <w:color w:val="FFFFFF"/>
                <w:kern w:val="0"/>
                <w:sz w:val="21"/>
                <w:szCs w:val="21"/>
                <w:lang w:val="en-US" w:eastAsia="zh-CN" w:bidi="ar"/>
              </w:rPr>
              <w:t>风险表现</w:t>
            </w:r>
          </w:p>
        </w:tc>
        <w:tc>
          <w:tcPr>
            <w:tcW w:w="4118" w:type="dxa"/>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7A48CE24">
            <w:pPr>
              <w:keepNext w:val="0"/>
              <w:keepLines w:val="0"/>
              <w:widowControl/>
              <w:suppressLineNumbers w:val="0"/>
              <w:snapToGrid w:val="0"/>
              <w:spacing w:after="0" w:line="240" w:lineRule="auto"/>
              <w:ind w:left="0" w:leftChars="0" w:right="0" w:rightChars="0" w:firstLine="0" w:firstLineChars="0"/>
              <w:jc w:val="center"/>
              <w:rPr>
                <w:rFonts w:hint="default" w:ascii="宋体" w:eastAsia="宋体"/>
                <w:b/>
                <w:i w:val="0"/>
                <w:color w:val="FFFFFF"/>
                <w:sz w:val="21"/>
                <w:szCs w:val="21"/>
                <w:vertAlign w:val="baseline"/>
                <w:lang w:val="en-US" w:eastAsia="zh-CN"/>
              </w:rPr>
            </w:pPr>
            <w:r>
              <w:rPr>
                <w:rFonts w:ascii="宋体" w:hAnsi="宋体" w:eastAsia="宋体" w:cs="宋体"/>
                <w:b/>
                <w:bCs/>
                <w:i w:val="0"/>
                <w:color w:val="FFFFFF"/>
                <w:kern w:val="0"/>
                <w:sz w:val="21"/>
                <w:szCs w:val="21"/>
                <w:lang w:val="en-US" w:eastAsia="zh-CN" w:bidi="ar"/>
              </w:rPr>
              <w:t>设计措施</w:t>
            </w:r>
          </w:p>
        </w:tc>
      </w:tr>
      <w:tr w14:paraId="115BC3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3AE92EAB">
            <w:pPr>
              <w:keepNext w:val="0"/>
              <w:keepLines w:val="0"/>
              <w:widowControl/>
              <w:suppressLineNumbers w:val="0"/>
              <w:snapToGrid w:val="0"/>
              <w:spacing w:after="0" w:line="240" w:lineRule="auto"/>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身份证号等个人信息敏感</w:t>
            </w:r>
          </w:p>
        </w:tc>
        <w:tc>
          <w:tcPr>
            <w:tcW w:w="0" w:type="auto"/>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748E016F">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页面展示、截图传播或报告流转中可能泄露个人身份信息</w:t>
            </w:r>
          </w:p>
        </w:tc>
        <w:tc>
          <w:tcPr>
            <w:tcW w:w="4118" w:type="dxa"/>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2594DCA3">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前端对身份证号等字段进行脱敏展示，仅保留必要识别信息</w:t>
            </w:r>
          </w:p>
        </w:tc>
      </w:tr>
      <w:tr w14:paraId="49B8BC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F07A8E1">
            <w:pPr>
              <w:keepNext w:val="0"/>
              <w:keepLines w:val="0"/>
              <w:widowControl/>
              <w:suppressLineNumbers w:val="0"/>
              <w:snapToGrid w:val="0"/>
              <w:spacing w:after="0" w:line="240" w:lineRule="auto"/>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数据库访问风险</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551A09">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前端直接访问数据库可能造成越权查询或误操作</w:t>
            </w:r>
          </w:p>
        </w:tc>
        <w:tc>
          <w:tcPr>
            <w:tcW w:w="411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65EBAE5">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后端统一封装数据库查询接口，前端不暴露数据库连接和表结构操作权限</w:t>
            </w:r>
          </w:p>
        </w:tc>
      </w:tr>
      <w:tr w14:paraId="77C509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B7A6B07">
            <w:pPr>
              <w:keepNext w:val="0"/>
              <w:keepLines w:val="0"/>
              <w:widowControl/>
              <w:suppressLineNumbers w:val="0"/>
              <w:snapToGrid w:val="0"/>
              <w:spacing w:after="0" w:line="240" w:lineRule="auto"/>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大模型调用泄露风险</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B7B3ADB">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将完整个人档案或无关业务数据传入模型，可能增加隐私暴露风险</w:t>
            </w:r>
          </w:p>
        </w:tc>
        <w:tc>
          <w:tcPr>
            <w:tcW w:w="4118" w:type="dxa"/>
            <w:tcBorders>
              <w:top w:val="nil"/>
              <w:left w:val="nil"/>
              <w:bottom w:val="nil"/>
              <w:right w:val="nil"/>
            </w:tcBorders>
            <w:shd w:val="clear" w:color="auto" w:fill="FFFFFF"/>
            <w:noWrap w:val="0"/>
            <w:tcMar>
              <w:top w:w="-1" w:type="dxa"/>
              <w:left w:w="-1" w:type="dxa"/>
              <w:bottom w:w="-1" w:type="dxa"/>
              <w:right w:w="-1" w:type="dxa"/>
            </w:tcMar>
            <w:vAlign w:val="center"/>
          </w:tcPr>
          <w:p w14:paraId="458D3E17">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模型输入采用最小必要原则，仅传入政策规则、Schema 摘要、核查目标和必要证据</w:t>
            </w:r>
          </w:p>
        </w:tc>
      </w:tr>
      <w:tr w14:paraId="57A5A7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236557">
            <w:pPr>
              <w:keepNext w:val="0"/>
              <w:keepLines w:val="0"/>
              <w:widowControl/>
              <w:suppressLineNumbers w:val="0"/>
              <w:snapToGrid w:val="0"/>
              <w:spacing w:after="0" w:line="240" w:lineRule="auto"/>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SQL生成与执行风险</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E7F0A23">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生成 SQL 可能出现越权查询、错误查询或无关查询</w:t>
            </w:r>
          </w:p>
        </w:tc>
        <w:tc>
          <w:tcPr>
            <w:tcW w:w="411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5D1B704">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SQL 由后端统一执行，结合 Schema 约束、执行校验和诊断记录进行控制</w:t>
            </w:r>
          </w:p>
        </w:tc>
      </w:tr>
      <w:tr w14:paraId="281839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6DCBB">
            <w:pPr>
              <w:keepNext w:val="0"/>
              <w:keepLines w:val="0"/>
              <w:widowControl/>
              <w:suppressLineNumbers w:val="0"/>
              <w:snapToGrid w:val="0"/>
              <w:spacing w:after="0" w:line="240" w:lineRule="auto"/>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操作追责风险</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62C5C32">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只保存最终结论，难以还原审核过程和责任链路</w:t>
            </w:r>
          </w:p>
        </w:tc>
        <w:tc>
          <w:tcPr>
            <w:tcW w:w="4118" w:type="dxa"/>
            <w:tcBorders>
              <w:top w:val="nil"/>
              <w:left w:val="nil"/>
              <w:bottom w:val="nil"/>
              <w:right w:val="nil"/>
            </w:tcBorders>
            <w:shd w:val="clear" w:color="auto" w:fill="FFFFFF"/>
            <w:noWrap w:val="0"/>
            <w:tcMar>
              <w:top w:w="-1" w:type="dxa"/>
              <w:left w:w="-1" w:type="dxa"/>
              <w:bottom w:w="-1" w:type="dxa"/>
              <w:right w:w="-1" w:type="dxa"/>
            </w:tcMar>
            <w:vAlign w:val="center"/>
          </w:tcPr>
          <w:p w14:paraId="10DA7853">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保存审核会话、SQL、证据卡片、Agent 意见、仲裁结论和人工复核记录</w:t>
            </w:r>
          </w:p>
        </w:tc>
      </w:tr>
      <w:tr w14:paraId="623606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59" w:type="dxa"/>
            <w:tcBorders>
              <w:top w:val="nil"/>
              <w:left w:val="nil"/>
              <w:bottom w:val="single" w:color="4874CB" w:themeColor="accent1" w:sz="12" w:space="0"/>
              <w:right w:val="nil"/>
            </w:tcBorders>
            <w:shd w:val="clear" w:color="auto" w:fill="EDF1F9" w:themeFill="accent1" w:themeFillTint="19"/>
            <w:noWrap w:val="0"/>
            <w:tcMar>
              <w:top w:w="-1" w:type="dxa"/>
              <w:left w:w="-1" w:type="dxa"/>
              <w:bottom w:w="-1" w:type="dxa"/>
              <w:right w:w="-1" w:type="dxa"/>
            </w:tcMar>
            <w:vAlign w:val="center"/>
          </w:tcPr>
          <w:p w14:paraId="2E68F617">
            <w:pPr>
              <w:keepNext w:val="0"/>
              <w:keepLines w:val="0"/>
              <w:widowControl/>
              <w:suppressLineNumbers w:val="0"/>
              <w:snapToGrid w:val="0"/>
              <w:spacing w:after="0" w:line="240" w:lineRule="auto"/>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报告误用风险</w:t>
            </w:r>
          </w:p>
        </w:tc>
        <w:tc>
          <w:tcPr>
            <w:tcW w:w="3273" w:type="dxa"/>
            <w:tcBorders>
              <w:top w:val="nil"/>
              <w:left w:val="nil"/>
              <w:bottom w:val="single" w:color="4874CB" w:themeColor="accent1" w:sz="12" w:space="0"/>
              <w:right w:val="nil"/>
            </w:tcBorders>
            <w:shd w:val="clear" w:color="auto" w:fill="EDF1F9" w:themeFill="accent1" w:themeFillTint="19"/>
            <w:noWrap w:val="0"/>
            <w:tcMar>
              <w:top w:w="-1" w:type="dxa"/>
              <w:left w:w="-1" w:type="dxa"/>
              <w:bottom w:w="-1" w:type="dxa"/>
              <w:right w:w="-1" w:type="dxa"/>
            </w:tcMar>
            <w:vAlign w:val="center"/>
          </w:tcPr>
          <w:p w14:paraId="5004415D">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未确认的模型辅助结论可能被直接作为正式材料使用</w:t>
            </w:r>
          </w:p>
        </w:tc>
        <w:tc>
          <w:tcPr>
            <w:tcW w:w="4118" w:type="dxa"/>
            <w:tcBorders>
              <w:top w:val="nil"/>
              <w:left w:val="nil"/>
              <w:bottom w:val="single" w:color="4874CB" w:themeColor="accent1" w:sz="12" w:space="0"/>
              <w:right w:val="nil"/>
            </w:tcBorders>
            <w:shd w:val="clear" w:color="auto" w:fill="EDF1F9" w:themeFill="accent1" w:themeFillTint="19"/>
            <w:noWrap w:val="0"/>
            <w:tcMar>
              <w:top w:w="-1" w:type="dxa"/>
              <w:left w:w="-1" w:type="dxa"/>
              <w:bottom w:w="-1" w:type="dxa"/>
              <w:right w:w="-1" w:type="dxa"/>
            </w:tcMar>
            <w:vAlign w:val="center"/>
          </w:tcPr>
          <w:p w14:paraId="7EB48667">
            <w:pPr>
              <w:keepNext w:val="0"/>
              <w:keepLines w:val="0"/>
              <w:widowControl/>
              <w:suppressLineNumbers w:val="0"/>
              <w:snapToGrid w:val="0"/>
              <w:spacing w:after="0" w:line="240" w:lineRule="auto"/>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未完成人工复核前不开放正式 PDF 报告下载，确认后再生成归档报告</w:t>
            </w:r>
          </w:p>
        </w:tc>
      </w:tr>
    </w:tbl>
    <w:p w14:paraId="28D9E8EB">
      <w:pPr>
        <w:pStyle w:val="277"/>
      </w:pPr>
      <w:r>
        <w:t>表 2 安全与隐私保护设计</w:t>
      </w:r>
    </w:p>
    <w:p w14:paraId="79632E5F">
      <w:pPr>
        <w:pStyle w:val="4"/>
        <w:bidi w:val="0"/>
        <w:rPr>
          <w:rFonts w:hint="eastAsia"/>
          <w:lang w:eastAsia="zh-CN"/>
        </w:rPr>
      </w:pPr>
      <w:bookmarkStart w:id="37" w:name="_Toc3746"/>
      <w:r>
        <w:rPr>
          <w:rFonts w:hint="eastAsia"/>
          <w:lang w:eastAsia="zh-CN"/>
        </w:rPr>
        <w:t>2.3 技术路线</w:t>
      </w:r>
      <w:bookmarkEnd w:id="37"/>
    </w:p>
    <w:p w14:paraId="5D204EFB">
      <w:pPr>
        <w:rPr>
          <w:rFonts w:hint="eastAsia"/>
          <w:lang w:eastAsia="zh-CN"/>
        </w:rPr>
      </w:pPr>
      <w:r>
        <w:rPr>
          <w:rFonts w:hint="eastAsia"/>
          <w:lang w:eastAsia="zh-CN"/>
        </w:rPr>
        <w:t>本项目采用“规则驱动取证—证据卡片组织—多Agent辩论仲裁—人工复核归档”的技术路线。整体流程如图1所示。</w:t>
      </w:r>
    </w:p>
    <w:p w14:paraId="151021FF">
      <w:pPr>
        <w:ind w:left="0" w:leftChars="0" w:firstLine="0" w:firstLineChars="0"/>
        <w:rPr>
          <w:rFonts w:hint="eastAsia"/>
          <w:lang w:eastAsia="zh-CN"/>
        </w:rPr>
      </w:pPr>
      <w:r>
        <w:rPr>
          <w:rFonts w:hint="eastAsia" w:eastAsia="宋体"/>
          <w:lang w:eastAsia="zh-CN"/>
        </w:rPr>
        <w:drawing>
          <wp:inline distT="0" distB="0" distL="114300" distR="114300">
            <wp:extent cx="5610225" cy="2405380"/>
            <wp:effectExtent l="0" t="0" r="3175" b="7620"/>
            <wp:docPr id="26" name="图片 26" descr="7a0b699a-58af-43d1-82a7-46719b67f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a0b699a-58af-43d1-82a7-46719b67f1aa"/>
                    <pic:cNvPicPr>
                      <a:picLocks noChangeAspect="1"/>
                    </pic:cNvPicPr>
                  </pic:nvPicPr>
                  <pic:blipFill>
                    <a:blip r:embed="rId7"/>
                    <a:srcRect/>
                    <a:stretch>
                      <a:fillRect/>
                    </a:stretch>
                  </pic:blipFill>
                  <pic:spPr>
                    <a:xfrm>
                      <a:off x="0" y="0"/>
                      <a:ext cx="5610225" cy="2405380"/>
                    </a:xfrm>
                    <a:prstGeom prst="rect">
                      <a:avLst/>
                    </a:prstGeom>
                  </pic:spPr>
                </pic:pic>
              </a:graphicData>
            </a:graphic>
          </wp:inline>
        </w:drawing>
      </w:r>
    </w:p>
    <w:p w14:paraId="2C092CFD">
      <w:pPr>
        <w:rPr>
          <w:rFonts w:hint="eastAsia"/>
          <w:lang w:eastAsia="zh-CN"/>
        </w:rPr>
      </w:pPr>
      <w:r>
        <w:rPr>
          <w:rFonts w:hint="eastAsia"/>
          <w:lang w:eastAsia="zh-CN"/>
        </w:rPr>
        <w:t>首先，用户输入身份信息和自然语言诉求后，系统通过政策意图识别模块判断办理事项，并匹配对应政策。当存在多个候选政策时，系统返回政策确认信息，避免错误路由。</w:t>
      </w:r>
    </w:p>
    <w:p w14:paraId="0EBD6D87">
      <w:pPr>
        <w:rPr>
          <w:rFonts w:hint="eastAsia"/>
          <w:lang w:eastAsia="zh-CN"/>
        </w:rPr>
      </w:pPr>
      <w:r>
        <w:rPr>
          <w:rFonts w:hint="eastAsia"/>
          <w:lang w:eastAsia="zh-CN"/>
        </w:rPr>
        <w:t>其次，系统加载对应政策的结构化规则，将政策条件拆解为基础条件、排除条件和灵活评判条件，并进一步转化为可执行的取证任务。每个取证任务都对应具体政策依据、核查目标和预期证据类型。</w:t>
      </w:r>
    </w:p>
    <w:p w14:paraId="3147D034">
      <w:pPr>
        <w:rPr>
          <w:rFonts w:hint="eastAsia"/>
          <w:lang w:eastAsia="zh-CN"/>
        </w:rPr>
      </w:pPr>
      <w:r>
        <w:rPr>
          <w:rFonts w:hint="eastAsia"/>
          <w:lang w:eastAsia="zh-CN"/>
        </w:rPr>
        <w:t>再次，T2SQL模块根据取证任务、目标人员信息和数据库Schema生成SQL查询语句，并在业务数据库中检索人员、就业、社保、工商、补贴历史等数据。系统根据SQL执行结果记录执行状态、错误类型、诊断信息和修复过程，必要时进行有限轮次修复。</w:t>
      </w:r>
    </w:p>
    <w:p w14:paraId="31B95528">
      <w:pPr>
        <w:rPr>
          <w:rFonts w:hint="eastAsia"/>
          <w:lang w:eastAsia="zh-CN"/>
        </w:rPr>
      </w:pPr>
      <w:r>
        <w:rPr>
          <w:rFonts w:hint="eastAsia"/>
          <w:lang w:eastAsia="zh-CN"/>
        </w:rPr>
        <w:t>随后，系统将SQL语句、执行结果、结果摘要、执行状态、诊断信息和证据倾向封装为标准化证据卡片，并结合规则类型解释证据含义。证据卡片既用于前端展示，也作为多Agent辩论系统的统一事实输入。</w:t>
      </w:r>
    </w:p>
    <w:p w14:paraId="39C393C6">
      <w:pPr>
        <w:rPr>
          <w:rFonts w:hint="eastAsia"/>
          <w:lang w:eastAsia="zh-CN"/>
        </w:rPr>
      </w:pPr>
      <w:r>
        <w:rPr>
          <w:rFonts w:hint="eastAsia"/>
          <w:lang w:eastAsia="zh-CN"/>
        </w:rPr>
        <w:t>在智能研判阶段，多个Agent围绕同一组政策规则、证据卡片和对象画像进行辩论。不同Agent分别从严格合规、业务解释、异常识别、经验归纳和审计挑战等角度提出意见；仲裁Agent综合证据充分性、风险命中情况和Agent分歧程度形成辅助结论。当关键证据不足或意见冲突明显时，系统转入人工复核流程。</w:t>
      </w:r>
    </w:p>
    <w:p w14:paraId="03D1D5D6">
      <w:pPr>
        <w:rPr>
          <w:rFonts w:hint="eastAsia"/>
          <w:lang w:eastAsia="zh-CN"/>
        </w:rPr>
      </w:pPr>
      <w:r>
        <w:rPr>
          <w:rFonts w:hint="eastAsia"/>
          <w:lang w:eastAsia="zh-CN"/>
        </w:rPr>
        <w:t>最后，经办人员可以补充证据、确认复核意见并生成最终审核结果。系统保存政策命中、取证SQL、证据卡片、Agent辩论过程、仲裁结果、人工复核记录和PDF报告路径，实现全过程留痕和可追溯归档。</w:t>
      </w:r>
    </w:p>
    <w:p w14:paraId="5F6CB98A">
      <w:pPr>
        <w:pStyle w:val="4"/>
        <w:bidi w:val="0"/>
        <w:rPr>
          <w:rFonts w:hint="eastAsia"/>
        </w:rPr>
      </w:pPr>
      <w:bookmarkStart w:id="38" w:name="_Toc12123"/>
      <w:r>
        <w:rPr>
          <w:rFonts w:hint="eastAsia"/>
        </w:rPr>
        <w:t>2.4 关键技术机制</w:t>
      </w:r>
      <w:bookmarkEnd w:id="38"/>
    </w:p>
    <w:p w14:paraId="63C289DF">
      <w:pPr>
        <w:ind w:left="0" w:leftChars="0" w:firstLine="0" w:firstLineChars="0"/>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（1）证据约束下的多Agent辩论仲裁机制</w:t>
      </w:r>
    </w:p>
    <w:p w14:paraId="0629BF2C">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将政策规则、证据卡片和对象画像作为多Agent辩论的统一输入，不同Agent从严格合规、业务解释、异常识别、经验归纳和审计挑战等角度提出判断意见。仲裁模块结合证据充分性、规则重要性、风险条件命中情况和Agent分歧程度形成审慎结论，避免单一模型直接判断带来的过度自信和依据不透明问题。</w:t>
      </w:r>
    </w:p>
    <w:p w14:paraId="7B3ED996">
      <w:pPr>
        <w:ind w:left="0" w:leftChars="0" w:firstLine="0" w:firstLineChars="0"/>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（2）规则驱动的取证规划机制</w:t>
      </w:r>
    </w:p>
    <w:p w14:paraId="498C6264">
      <w:pPr>
        <w:ind w:left="0" w:leftChars="0"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系统以结构化政策规则为入口，将基础条件、排除条件和灵活评判条件分别转化为取证任务。该机制使每次数据库查询都对应具体政策依据，避免模型直接给出缺少事实支撑的审核结论。</w:t>
      </w:r>
    </w:p>
    <w:p w14:paraId="60E3BD12">
      <w:pPr>
        <w:ind w:left="0" w:leftChars="0" w:firstLine="0" w:firstLineChars="0"/>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（3）T2SQL执行反馈与修复机制</w:t>
      </w:r>
    </w:p>
    <w:p w14:paraId="5B4FDBD3">
      <w:pPr>
        <w:ind w:left="0" w:leftChars="0"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系统根据取证任务、目标人员信息和数据库Schema生成候选SQL，并在数据库中执行。对于字段错误、表名错误、语法异常、空结果或结果不符合预期等情况，系统记录错误类型和诊断信息，并进行有限轮次修复。</w:t>
      </w:r>
    </w:p>
    <w:p w14:paraId="441BA376">
      <w:pPr>
        <w:ind w:left="0" w:leftChars="0" w:firstLine="0" w:firstLineChars="0"/>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（4）证据卡片标准化机制</w:t>
      </w:r>
    </w:p>
    <w:p w14:paraId="325128DD">
      <w:pPr>
        <w:ind w:left="0" w:leftChars="0"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系统将SQL语句、执行结果、结果摘要、执行状态、诊断信息和证据倾向封装为标准化证据卡片，使数据库查询结果能够被前端展示、Agent引用、人工复核和报告归档。</w:t>
      </w:r>
    </w:p>
    <w:p w14:paraId="00986418">
      <w:pPr>
        <w:ind w:left="0" w:leftChars="0" w:firstLine="0" w:firstLineChars="0"/>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（5）规则类型语义判定机制</w:t>
      </w:r>
    </w:p>
    <w:p w14:paraId="67BD9FD1">
      <w:pPr>
        <w:ind w:left="0" w:leftChars="0"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系统区分“必须满足”“必须排除”“灵活评判”等规则类型，对查询结果进行差异化解释，避免简单按照“有数据”或“无数据”判断资格。</w:t>
      </w:r>
    </w:p>
    <w:p w14:paraId="12E72299">
      <w:pPr>
        <w:ind w:left="0" w:leftChars="0" w:firstLine="0" w:firstLineChars="0"/>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（6）保守仲裁与人工复核机制</w:t>
      </w:r>
    </w:p>
    <w:p w14:paraId="57CB71EF">
      <w:pPr>
        <w:ind w:left="0" w:leftChars="0"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系统在关键证据缺失、风险条件命中或Agent意见分歧明显时，不直接输出确定通过结论，而是提示人工补证或人工确认。人工复核意见、最终结论和报告文件会被保存，形成全过程留痕。</w:t>
      </w:r>
    </w:p>
    <w:p w14:paraId="3E597B6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br w:type="page"/>
      </w:r>
    </w:p>
    <w:p w14:paraId="0B7DFCD9">
      <w:pPr>
        <w:pStyle w:val="3"/>
        <w:keepNext w:val="0"/>
        <w:keepLines w:val="0"/>
        <w:pageBreakBefore w:val="0"/>
        <w:widowControl w:val="0"/>
        <w:kinsoku/>
        <w:wordWrap/>
        <w:overflowPunct/>
        <w:topLinePunct w:val="0"/>
        <w:autoSpaceDE/>
        <w:autoSpaceDN/>
        <w:bidi w:val="0"/>
        <w:adjustRightInd w:val="0"/>
        <w:snapToGrid/>
        <w:spacing w:before="0" w:beforeAutospacing="0" w:after="360" w:afterAutospacing="0"/>
        <w:textAlignment w:val="auto"/>
        <w:rPr>
          <w:rFonts w:hint="eastAsia"/>
          <w:lang w:eastAsia="zh-CN"/>
        </w:rPr>
      </w:pPr>
      <w:bookmarkStart w:id="39" w:name="_Toc29797"/>
      <w:r>
        <w:rPr>
          <w:rFonts w:hint="eastAsia"/>
          <w:lang w:eastAsia="zh-CN"/>
        </w:rPr>
        <w:t>第三章 系统设计与实现</w:t>
      </w:r>
      <w:bookmarkEnd w:id="39"/>
    </w:p>
    <w:p w14:paraId="08363B4D">
      <w:pPr>
        <w:pStyle w:val="4"/>
        <w:bidi w:val="0"/>
        <w:rPr>
          <w:rStyle w:val="278"/>
        </w:rPr>
      </w:pPr>
      <w:bookmarkStart w:id="40" w:name="_Toc1301"/>
      <w:r>
        <w:rPr>
          <w:rStyle w:val="278"/>
        </w:rPr>
        <w:t>3.1 系统总体架构</w:t>
      </w:r>
      <w:bookmarkEnd w:id="40"/>
    </w:p>
    <w:p w14:paraId="67823ECA">
      <w:pPr>
        <w:rPr>
          <w:rFonts w:hint="eastAsia"/>
          <w:lang w:eastAsia="zh-CN"/>
        </w:rPr>
      </w:pPr>
      <w:r>
        <w:rPr>
          <w:rFonts w:hint="eastAsia"/>
          <w:lang w:eastAsia="zh-CN"/>
        </w:rPr>
        <w:t>智策惠民采用分层架构设计，整体包括交互展示层、服务接口层、智能评审编排层、多Agent辩论仲裁层、知识与数据支持层以及可信评审机制六个部分。系统总体架构如图3-1所示。</w:t>
      </w:r>
    </w:p>
    <w:p w14:paraId="27B65F6A">
      <w:pPr>
        <w:ind w:left="0" w:leftChars="0" w:firstLine="0" w:firstLineChars="0"/>
        <w:rPr>
          <w:rFonts w:hint="eastAsia"/>
          <w:lang w:eastAsia="zh-CN"/>
        </w:rPr>
      </w:pPr>
      <w:r>
        <w:drawing>
          <wp:inline distT="0" distB="0" distL="114300" distR="114300">
            <wp:extent cx="5608955" cy="2903220"/>
            <wp:effectExtent l="0" t="0" r="444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608955" cy="2903220"/>
                    </a:xfrm>
                    <a:prstGeom prst="rect">
                      <a:avLst/>
                    </a:prstGeom>
                    <a:noFill/>
                    <a:ln>
                      <a:noFill/>
                    </a:ln>
                  </pic:spPr>
                </pic:pic>
              </a:graphicData>
            </a:graphic>
          </wp:inline>
        </w:drawing>
      </w:r>
    </w:p>
    <w:p w14:paraId="3573DB89">
      <w:pPr>
        <w:rPr>
          <w:rFonts w:hint="eastAsia"/>
          <w:lang w:eastAsia="zh-CN"/>
        </w:rPr>
      </w:pPr>
      <w:r>
        <w:rPr>
          <w:rFonts w:hint="eastAsia"/>
          <w:lang w:eastAsia="zh-CN"/>
        </w:rPr>
        <w:t>图3-1 智策惠民系统总体架构图</w:t>
      </w:r>
    </w:p>
    <w:p w14:paraId="26EADB71">
      <w:pPr>
        <w:rPr>
          <w:rFonts w:hint="eastAsia"/>
          <w:lang w:eastAsia="zh-CN"/>
        </w:rPr>
      </w:pPr>
      <w:r>
        <w:rPr>
          <w:rFonts w:hint="eastAsia"/>
          <w:lang w:eastAsia="zh-CN"/>
        </w:rPr>
        <w:t>交互展示层面向政务经办人员或审核人员，提供身份信息输入、诉求填写、政策匹配结果展示、规则清单查看、证据卡片浏览、多Agent意见查看、人工补证复核和PDF报告下载等功能。该层的设计重点不是只展示最终结论，而是展示“结论如何产生”，使经办人员能够围绕政策规则和证据链进行复核。</w:t>
      </w:r>
    </w:p>
    <w:p w14:paraId="4C296FDF">
      <w:pPr>
        <w:rPr>
          <w:rFonts w:hint="eastAsia"/>
          <w:lang w:eastAsia="zh-CN"/>
        </w:rPr>
      </w:pPr>
      <w:r>
        <w:rPr>
          <w:rFonts w:hint="eastAsia"/>
          <w:lang w:eastAsia="zh-CN"/>
        </w:rPr>
        <w:t>服务接口层采用统一后端接口承接前端请求，包括政策意图识别接口、审核任务启动接口、流式审核接口、历史会话查询接口、人工复核确认接口和报告下载接口。对于审核流程较长的任务，系统可通过流式响应方式向前端持续返回阶段性结果，使用户能够看到政策识别、规则取证、证据生成、Agent辩论和仲裁输出等过程。</w:t>
      </w:r>
    </w:p>
    <w:p w14:paraId="561EBEB5">
      <w:pPr>
        <w:rPr>
          <w:rFonts w:hint="eastAsia"/>
          <w:lang w:eastAsia="zh-CN"/>
        </w:rPr>
      </w:pPr>
      <w:r>
        <w:rPr>
          <w:rFonts w:hint="eastAsia"/>
          <w:lang w:eastAsia="zh-CN"/>
        </w:rPr>
        <w:t>智能评审编排层是系统核心流程控制部分，负责将政策识别、规则加载、取证任务生成、SQL生成与执行、证据卡片装配、对象画像生成和仲裁输入组织起来。该层不直接输出审核结论，而是先组织证据，再将证据交给多Agent辩论仲裁层进行审慎研判。</w:t>
      </w:r>
    </w:p>
    <w:p w14:paraId="19930981">
      <w:pPr>
        <w:rPr>
          <w:rFonts w:hint="eastAsia"/>
          <w:lang w:eastAsia="zh-CN"/>
        </w:rPr>
      </w:pPr>
      <w:r>
        <w:rPr>
          <w:rFonts w:hint="eastAsia"/>
          <w:lang w:eastAsia="zh-CN"/>
        </w:rPr>
        <w:t>多Agent辩论仲裁层是本系统的重要创新模块。系统设置严格合规Agent、宽松业务Agent、探索分析Agent、经验归纳Agent、审计挑战Agent和仲裁Agent等角色，各Agent围绕同一组政策规则、证据卡片和对象画像发表意见，不能脱离证据自由生成事实。仲裁Agent综合证据充分性、风险条件命中情况和Agent分歧程度，形成通过、不通过、需补证或需人工复核的辅助结论。</w:t>
      </w:r>
    </w:p>
    <w:p w14:paraId="58C7285F">
      <w:pPr>
        <w:rPr>
          <w:rFonts w:hint="eastAsia"/>
          <w:lang w:eastAsia="zh-CN"/>
        </w:rPr>
      </w:pPr>
      <w:r>
        <w:rPr>
          <w:rFonts w:hint="eastAsia"/>
          <w:lang w:eastAsia="zh-CN"/>
        </w:rPr>
        <w:t>知识与数据支持层为系统提供政策规则库、数据库Schema、业务字典、模拟业务数据和历史会话记录。政策规则库用于支撑政策条件拆解，数据库Schema用于约束T2SQL生成范围，业务数据用于模拟人员、就业、社保、工商和补贴历史等取证场景，历史会话记录用于支撑后续回放和审计追溯。</w:t>
      </w:r>
    </w:p>
    <w:p w14:paraId="5256C670">
      <w:r>
        <w:rPr>
          <w:rFonts w:hint="eastAsia"/>
          <w:lang w:eastAsia="zh-CN"/>
        </w:rPr>
        <w:t>贯穿可信评审机制主要包括证据约束、SQL执行反馈、规则类型语义判定、多Agent分歧暴露、保守仲裁、人工复核和全链路留痕。该机制贯穿系统运行全过程，保证系统不是简单生成答案，而是形成可检查、可复核、可归档的审核过程。</w:t>
      </w:r>
    </w:p>
    <w:p w14:paraId="6E08EE1F">
      <w:pPr>
        <w:pStyle w:val="4"/>
        <w:bidi w:val="0"/>
      </w:pPr>
      <w:bookmarkStart w:id="41" w:name="_Toc29520"/>
      <w:r>
        <w:t>3.2 政策规则库与数据库设计</w:t>
      </w:r>
      <w:bookmarkEnd w:id="41"/>
    </w:p>
    <w:p w14:paraId="0AF82EFA">
      <w:pPr>
        <w:rPr>
          <w:rFonts w:hint="eastAsia"/>
          <w:lang w:eastAsia="zh-CN"/>
        </w:rPr>
      </w:pPr>
      <w:r>
        <w:rPr>
          <w:rFonts w:hint="eastAsia"/>
          <w:lang w:eastAsia="zh-CN"/>
        </w:rPr>
        <w:t>系统的政策规则库用于将自然语言政策条款转化为可执行、可取证的结构化规则。每项政策包含政策编号、政策名称、适用对象、基础条件、排除条件、灵活评判条件、计算规则和判断依据等字段。通过规则结构化处理，系统能够明确每条政策条件对应的核查目标和证据类型，为后续T2SQL取证提供依据。</w:t>
      </w:r>
    </w:p>
    <w:p w14:paraId="54C39535">
      <w:pPr>
        <w:rPr>
          <w:rFonts w:hint="eastAsia"/>
          <w:lang w:eastAsia="zh-CN"/>
        </w:rPr>
      </w:pPr>
      <w:r>
        <w:rPr>
          <w:rFonts w:hint="eastAsia"/>
          <w:lang w:eastAsia="zh-CN"/>
        </w:rPr>
        <w:t>在规则类型上，系统将政策条件划分为三类：必须满足、必须排除和灵活评判。必须满足类规则用于核查申请人是否具备基本资格，例如生存状态、就业登记、困难人员认定和社保缴费状态；必须排除类规则用于核查是否存在不应通过的风险情形，例如有效工商登记、单位参保或重复领取补贴；灵活评判类规则用于处理需要结合上下文分析的情况，例如缴费连续性、历史补贴期限、身份状态切换和数据口径差异。</w:t>
      </w:r>
    </w:p>
    <w:tbl>
      <w:tblPr>
        <w:tblStyle w:val="229"/>
        <w:tblW w:w="8850" w:type="dxa"/>
        <w:jc w:val="center"/>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Layout w:type="autofit"/>
        <w:tblCellMar>
          <w:top w:w="0" w:type="dxa"/>
          <w:left w:w="0" w:type="dxa"/>
          <w:bottom w:w="0" w:type="dxa"/>
          <w:right w:w="0" w:type="dxa"/>
        </w:tblCellMar>
      </w:tblPr>
      <w:tblGrid>
        <w:gridCol w:w="880"/>
        <w:gridCol w:w="2453"/>
        <w:gridCol w:w="2681"/>
        <w:gridCol w:w="2836"/>
      </w:tblGrid>
      <w:tr w14:paraId="042E55C1">
        <w:tblPrEx>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CellMar>
            <w:top w:w="0" w:type="dxa"/>
            <w:left w:w="0" w:type="dxa"/>
            <w:bottom w:w="0" w:type="dxa"/>
            <w:right w:w="0" w:type="dxa"/>
          </w:tblCellMar>
        </w:tblPrEx>
        <w:trPr>
          <w:trHeight w:val="0" w:hRule="atLeast"/>
          <w:tblHeader/>
          <w:jc w:val="center"/>
        </w:trPr>
        <w:tc>
          <w:tcPr>
            <w:tcW w:w="880" w:type="dxa"/>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1383BEC1">
            <w:pPr>
              <w:pStyle w:val="228"/>
              <w:keepNext/>
              <w:snapToGrid w:val="0"/>
              <w:spacing w:before="107" w:line="240" w:lineRule="auto"/>
              <w:ind w:left="0" w:leftChars="0" w:right="0" w:rightChars="0" w:firstLine="0" w:firstLineChars="0"/>
              <w:jc w:val="center"/>
              <w:rPr>
                <w:rFonts w:hint="eastAsia" w:ascii="宋体" w:hAnsi="宋体" w:eastAsia="宋体" w:cs="宋体"/>
                <w:b/>
                <w:i w:val="0"/>
                <w:sz w:val="16"/>
                <w:szCs w:val="16"/>
              </w:rPr>
            </w:pPr>
            <w:r>
              <w:rPr>
                <w:rFonts w:hint="eastAsia" w:ascii="宋体" w:hAnsi="宋体" w:eastAsia="宋体" w:cs="宋体"/>
                <w:b/>
                <w:i w:val="0"/>
                <w:color w:val="FFFFFF"/>
                <w:spacing w:val="-2"/>
                <w:sz w:val="16"/>
                <w:szCs w:val="16"/>
              </w:rPr>
              <w:t>规则类型</w:t>
            </w:r>
          </w:p>
        </w:tc>
        <w:tc>
          <w:tcPr>
            <w:tcW w:w="2453" w:type="dxa"/>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77D9B5C5">
            <w:pPr>
              <w:pStyle w:val="228"/>
              <w:keepNext/>
              <w:snapToGrid w:val="0"/>
              <w:spacing w:before="106" w:line="240" w:lineRule="auto"/>
              <w:ind w:left="0" w:leftChars="0" w:right="0" w:rightChars="0" w:firstLine="0" w:firstLineChars="0"/>
              <w:jc w:val="center"/>
              <w:rPr>
                <w:rFonts w:hint="eastAsia" w:ascii="宋体" w:hAnsi="宋体" w:eastAsia="宋体" w:cs="宋体"/>
                <w:b/>
                <w:i w:val="0"/>
                <w:sz w:val="16"/>
                <w:szCs w:val="16"/>
              </w:rPr>
            </w:pPr>
            <w:r>
              <w:rPr>
                <w:rFonts w:hint="eastAsia" w:ascii="宋体" w:hAnsi="宋体" w:eastAsia="宋体" w:cs="宋体"/>
                <w:b/>
                <w:i w:val="0"/>
                <w:color w:val="FFFFFF"/>
                <w:spacing w:val="-2"/>
                <w:sz w:val="16"/>
                <w:szCs w:val="16"/>
              </w:rPr>
              <w:t>判断语义</w:t>
            </w:r>
          </w:p>
        </w:tc>
        <w:tc>
          <w:tcPr>
            <w:tcW w:w="2681" w:type="dxa"/>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61C89EF0">
            <w:pPr>
              <w:pStyle w:val="228"/>
              <w:keepNext/>
              <w:snapToGrid w:val="0"/>
              <w:spacing w:before="105" w:line="240" w:lineRule="auto"/>
              <w:ind w:left="0" w:leftChars="0" w:right="0" w:rightChars="0" w:firstLine="0" w:firstLineChars="0"/>
              <w:jc w:val="center"/>
              <w:rPr>
                <w:rFonts w:hint="eastAsia" w:ascii="宋体" w:hAnsi="宋体" w:eastAsia="宋体" w:cs="宋体"/>
                <w:b/>
                <w:i w:val="0"/>
                <w:sz w:val="16"/>
                <w:szCs w:val="16"/>
              </w:rPr>
            </w:pPr>
            <w:r>
              <w:rPr>
                <w:rFonts w:hint="eastAsia" w:ascii="宋体" w:hAnsi="宋体" w:eastAsia="宋体" w:cs="宋体"/>
                <w:b/>
                <w:i w:val="0"/>
                <w:color w:val="FFFFFF"/>
                <w:spacing w:val="-2"/>
                <w:sz w:val="16"/>
                <w:szCs w:val="16"/>
              </w:rPr>
              <w:t>典型核查内容</w:t>
            </w:r>
          </w:p>
        </w:tc>
        <w:tc>
          <w:tcPr>
            <w:tcW w:w="2836" w:type="dxa"/>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6E308A57">
            <w:pPr>
              <w:pStyle w:val="228"/>
              <w:keepNext/>
              <w:snapToGrid w:val="0"/>
              <w:spacing w:before="107" w:line="240" w:lineRule="auto"/>
              <w:ind w:left="0" w:leftChars="0" w:right="0" w:rightChars="0" w:firstLine="0" w:firstLineChars="0"/>
              <w:jc w:val="center"/>
              <w:rPr>
                <w:rFonts w:hint="eastAsia" w:ascii="宋体" w:hAnsi="宋体" w:eastAsia="宋体" w:cs="宋体"/>
                <w:b/>
                <w:i w:val="0"/>
                <w:sz w:val="16"/>
                <w:szCs w:val="16"/>
              </w:rPr>
            </w:pPr>
            <w:r>
              <w:rPr>
                <w:rFonts w:hint="eastAsia" w:ascii="宋体" w:hAnsi="宋体" w:eastAsia="宋体" w:cs="宋体"/>
                <w:b/>
                <w:i w:val="0"/>
                <w:color w:val="FFFFFF"/>
                <w:spacing w:val="-2"/>
                <w:sz w:val="16"/>
                <w:szCs w:val="16"/>
              </w:rPr>
              <w:t>取证与解释策略</w:t>
            </w:r>
          </w:p>
        </w:tc>
      </w:tr>
      <w:tr w14:paraId="7787E018">
        <w:tblPrEx>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CellMar>
            <w:top w:w="0" w:type="dxa"/>
            <w:left w:w="0" w:type="dxa"/>
            <w:bottom w:w="0" w:type="dxa"/>
            <w:right w:w="0" w:type="dxa"/>
          </w:tblCellMar>
        </w:tblPrEx>
        <w:trPr>
          <w:trHeight w:val="0" w:hRule="atLeast"/>
          <w:jc w:val="center"/>
        </w:trPr>
        <w:tc>
          <w:tcPr>
            <w:tcW w:w="880" w:type="dxa"/>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5FE9D056">
            <w:pPr>
              <w:pStyle w:val="228"/>
              <w:keepNext/>
              <w:snapToGrid w:val="0"/>
              <w:spacing w:before="104" w:line="240" w:lineRule="auto"/>
              <w:ind w:left="0" w:leftChars="0" w:right="0" w:rightChars="0" w:firstLine="0" w:firstLineChars="0"/>
              <w:jc w:val="center"/>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3"/>
                <w:sz w:val="16"/>
                <w:szCs w:val="16"/>
              </w:rPr>
              <w:t>必须满足</w:t>
            </w:r>
          </w:p>
        </w:tc>
        <w:tc>
          <w:tcPr>
            <w:tcW w:w="2453" w:type="dxa"/>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256E5264">
            <w:pPr>
              <w:pStyle w:val="228"/>
              <w:keepNext/>
              <w:snapToGrid w:val="0"/>
              <w:spacing w:before="102" w:line="240" w:lineRule="auto"/>
              <w:ind w:left="0" w:leftChars="0" w:right="0" w:rightChars="0" w:firstLine="0" w:firstLineChars="0"/>
              <w:jc w:val="center"/>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5"/>
                <w:sz w:val="16"/>
                <w:szCs w:val="16"/>
              </w:rPr>
              <w:t>查到有效事实通常支持通过</w:t>
            </w:r>
            <w:r>
              <w:rPr>
                <w:rFonts w:hint="eastAsia" w:ascii="宋体" w:hAnsi="宋体" w:eastAsia="宋体" w:cs="宋体"/>
                <w:b w:val="0"/>
                <w:i w:val="0"/>
                <w:color w:val="000000"/>
                <w:spacing w:val="2"/>
                <w:sz w:val="16"/>
                <w:szCs w:val="16"/>
              </w:rPr>
              <w:t xml:space="preserve"> </w:t>
            </w:r>
            <w:r>
              <w:rPr>
                <w:rFonts w:hint="eastAsia" w:ascii="宋体" w:hAnsi="宋体" w:eastAsia="宋体" w:cs="宋体"/>
                <w:b w:val="0"/>
                <w:i w:val="0"/>
                <w:color w:val="000000"/>
                <w:spacing w:val="1"/>
                <w:sz w:val="16"/>
                <w:szCs w:val="16"/>
              </w:rPr>
              <w:t>；查不到可能反对通过。</w:t>
            </w:r>
          </w:p>
        </w:tc>
        <w:tc>
          <w:tcPr>
            <w:tcW w:w="2681" w:type="dxa"/>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4475BA8B">
            <w:pPr>
              <w:pStyle w:val="228"/>
              <w:keepNext/>
              <w:snapToGrid w:val="0"/>
              <w:spacing w:before="105" w:line="240" w:lineRule="auto"/>
              <w:ind w:left="0" w:leftChars="0" w:right="0" w:rightChars="0" w:firstLine="0" w:firstLineChars="0"/>
              <w:jc w:val="center"/>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5"/>
                <w:sz w:val="16"/>
                <w:szCs w:val="16"/>
              </w:rPr>
              <w:t>生存状态、失业登记、困难</w:t>
            </w:r>
            <w:r>
              <w:rPr>
                <w:rFonts w:hint="eastAsia" w:ascii="宋体" w:hAnsi="宋体" w:eastAsia="宋体" w:cs="宋体"/>
                <w:b w:val="0"/>
                <w:i w:val="0"/>
                <w:color w:val="000000"/>
                <w:spacing w:val="1"/>
                <w:sz w:val="16"/>
                <w:szCs w:val="16"/>
              </w:rPr>
              <w:t>认定等基本资格。</w:t>
            </w:r>
          </w:p>
        </w:tc>
        <w:tc>
          <w:tcPr>
            <w:tcW w:w="2836" w:type="dxa"/>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4138401C">
            <w:pPr>
              <w:pStyle w:val="228"/>
              <w:keepNext/>
              <w:snapToGrid w:val="0"/>
              <w:spacing w:before="105" w:line="240" w:lineRule="auto"/>
              <w:ind w:left="0" w:leftChars="0" w:right="0" w:rightChars="0" w:firstLine="0" w:firstLineChars="0"/>
              <w:jc w:val="left"/>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5"/>
                <w:sz w:val="16"/>
                <w:szCs w:val="16"/>
              </w:rPr>
              <w:t>优先取证，缺失时提示补正或形成反</w:t>
            </w:r>
            <w:r>
              <w:rPr>
                <w:rFonts w:hint="eastAsia" w:ascii="宋体" w:hAnsi="宋体" w:eastAsia="宋体" w:cs="宋体"/>
                <w:b w:val="0"/>
                <w:i w:val="0"/>
                <w:color w:val="000000"/>
                <w:spacing w:val="-5"/>
                <w:sz w:val="16"/>
                <w:szCs w:val="16"/>
              </w:rPr>
              <w:t>向证据。</w:t>
            </w:r>
          </w:p>
        </w:tc>
      </w:tr>
      <w:tr w14:paraId="27EC885A">
        <w:tblPrEx>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CellMar>
            <w:top w:w="0" w:type="dxa"/>
            <w:left w:w="0" w:type="dxa"/>
            <w:bottom w:w="0" w:type="dxa"/>
            <w:right w:w="0" w:type="dxa"/>
          </w:tblCellMar>
        </w:tblPrEx>
        <w:trPr>
          <w:trHeight w:val="0" w:hRule="atLeast"/>
          <w:jc w:val="center"/>
        </w:trPr>
        <w:tc>
          <w:tcPr>
            <w:tcW w:w="880"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935F220">
            <w:pPr>
              <w:pStyle w:val="228"/>
              <w:keepNext/>
              <w:snapToGrid w:val="0"/>
              <w:spacing w:before="104" w:line="240" w:lineRule="auto"/>
              <w:ind w:left="0" w:leftChars="0" w:right="0" w:rightChars="0" w:firstLine="0" w:firstLineChars="0"/>
              <w:jc w:val="center"/>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3"/>
                <w:sz w:val="16"/>
                <w:szCs w:val="16"/>
              </w:rPr>
              <w:t>必须排除</w:t>
            </w:r>
          </w:p>
        </w:tc>
        <w:tc>
          <w:tcPr>
            <w:tcW w:w="2453"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DA462B3">
            <w:pPr>
              <w:pStyle w:val="228"/>
              <w:keepNext/>
              <w:snapToGrid w:val="0"/>
              <w:spacing w:before="105" w:line="240" w:lineRule="auto"/>
              <w:ind w:left="0" w:leftChars="0" w:right="0" w:rightChars="0" w:firstLine="0" w:firstLineChars="0"/>
              <w:jc w:val="center"/>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5"/>
                <w:sz w:val="16"/>
                <w:szCs w:val="16"/>
              </w:rPr>
              <w:t>查到风险事实通常反对通过</w:t>
            </w:r>
            <w:r>
              <w:rPr>
                <w:rFonts w:hint="eastAsia" w:ascii="宋体" w:hAnsi="宋体" w:eastAsia="宋体" w:cs="宋体"/>
                <w:b w:val="0"/>
                <w:i w:val="0"/>
                <w:color w:val="000000"/>
                <w:spacing w:val="2"/>
                <w:sz w:val="16"/>
                <w:szCs w:val="16"/>
              </w:rPr>
              <w:t xml:space="preserve"> </w:t>
            </w:r>
            <w:r>
              <w:rPr>
                <w:rFonts w:hint="eastAsia" w:ascii="宋体" w:hAnsi="宋体" w:eastAsia="宋体" w:cs="宋体"/>
                <w:b w:val="0"/>
                <w:i w:val="0"/>
                <w:color w:val="000000"/>
                <w:spacing w:val="1"/>
                <w:sz w:val="16"/>
                <w:szCs w:val="16"/>
              </w:rPr>
              <w:t>；查不到通常支持通过。</w:t>
            </w:r>
          </w:p>
        </w:tc>
        <w:tc>
          <w:tcPr>
            <w:tcW w:w="2681"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B15CD01">
            <w:pPr>
              <w:pStyle w:val="228"/>
              <w:keepNext/>
              <w:snapToGrid w:val="0"/>
              <w:spacing w:before="105" w:line="240" w:lineRule="auto"/>
              <w:ind w:left="0" w:leftChars="0" w:right="0" w:rightChars="0" w:firstLine="0" w:firstLineChars="0"/>
              <w:jc w:val="center"/>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5"/>
                <w:sz w:val="16"/>
                <w:szCs w:val="16"/>
              </w:rPr>
              <w:t>企业法人、股东身份、单位</w:t>
            </w:r>
            <w:r>
              <w:rPr>
                <w:rFonts w:hint="eastAsia" w:ascii="宋体" w:hAnsi="宋体" w:eastAsia="宋体" w:cs="宋体"/>
                <w:b w:val="0"/>
                <w:i w:val="0"/>
                <w:color w:val="000000"/>
                <w:spacing w:val="1"/>
                <w:sz w:val="16"/>
                <w:szCs w:val="16"/>
              </w:rPr>
              <w:t>缴费等排除情形。</w:t>
            </w:r>
          </w:p>
        </w:tc>
        <w:tc>
          <w:tcPr>
            <w:tcW w:w="283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94548F6">
            <w:pPr>
              <w:pStyle w:val="228"/>
              <w:keepNext/>
              <w:snapToGrid w:val="0"/>
              <w:spacing w:before="104" w:line="240" w:lineRule="auto"/>
              <w:ind w:left="0" w:leftChars="0" w:right="0" w:rightChars="0" w:firstLine="0" w:firstLineChars="0"/>
              <w:jc w:val="left"/>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4"/>
                <w:sz w:val="16"/>
                <w:szCs w:val="16"/>
              </w:rPr>
              <w:t>重点识别风险命中；对</w:t>
            </w:r>
            <w:r>
              <w:rPr>
                <w:rFonts w:hint="eastAsia" w:ascii="宋体" w:hAnsi="宋体" w:eastAsia="宋体" w:cs="宋体"/>
                <w:b w:val="0"/>
                <w:i w:val="0"/>
                <w:color w:val="000000"/>
                <w:spacing w:val="4"/>
                <w:sz w:val="16"/>
                <w:szCs w:val="16"/>
                <w:lang w:eastAsia="zh-CN"/>
              </w:rPr>
              <w:t>“</w:t>
            </w:r>
            <w:r>
              <w:rPr>
                <w:rFonts w:hint="eastAsia" w:ascii="宋体" w:hAnsi="宋体" w:eastAsia="宋体" w:cs="宋体"/>
                <w:b w:val="0"/>
                <w:i w:val="0"/>
                <w:color w:val="000000"/>
                <w:spacing w:val="4"/>
                <w:sz w:val="16"/>
                <w:szCs w:val="16"/>
              </w:rPr>
              <w:t>查无记录</w:t>
            </w:r>
            <w:r>
              <w:rPr>
                <w:rFonts w:hint="eastAsia" w:ascii="宋体" w:hAnsi="宋体" w:eastAsia="宋体" w:cs="宋体"/>
                <w:b w:val="0"/>
                <w:i w:val="0"/>
                <w:color w:val="000000"/>
                <w:spacing w:val="4"/>
                <w:sz w:val="16"/>
                <w:szCs w:val="16"/>
                <w:lang w:eastAsia="zh-CN"/>
              </w:rPr>
              <w:t>”</w:t>
            </w:r>
            <w:r>
              <w:rPr>
                <w:rFonts w:hint="eastAsia" w:ascii="宋体" w:hAnsi="宋体" w:eastAsia="宋体" w:cs="宋体"/>
                <w:b w:val="0"/>
                <w:i w:val="0"/>
                <w:color w:val="000000"/>
                <w:spacing w:val="4"/>
                <w:sz w:val="16"/>
                <w:szCs w:val="16"/>
              </w:rPr>
              <w:t>作正</w:t>
            </w:r>
            <w:r>
              <w:rPr>
                <w:rFonts w:hint="eastAsia" w:ascii="宋体" w:hAnsi="宋体" w:eastAsia="宋体" w:cs="宋体"/>
                <w:b w:val="0"/>
                <w:i w:val="0"/>
                <w:color w:val="000000"/>
                <w:spacing w:val="-5"/>
                <w:sz w:val="16"/>
                <w:szCs w:val="16"/>
              </w:rPr>
              <w:t>向解释。</w:t>
            </w:r>
          </w:p>
        </w:tc>
      </w:tr>
      <w:tr w14:paraId="02B321FA">
        <w:tblPrEx>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CellMar>
            <w:top w:w="0" w:type="dxa"/>
            <w:left w:w="0" w:type="dxa"/>
            <w:bottom w:w="0" w:type="dxa"/>
            <w:right w:w="0" w:type="dxa"/>
          </w:tblCellMar>
        </w:tblPrEx>
        <w:trPr>
          <w:trHeight w:val="0" w:hRule="atLeast"/>
          <w:jc w:val="center"/>
        </w:trPr>
        <w:tc>
          <w:tcPr>
            <w:tcW w:w="880"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16EA9293">
            <w:pPr>
              <w:pStyle w:val="228"/>
              <w:keepNext/>
              <w:snapToGrid w:val="0"/>
              <w:spacing w:before="106" w:line="240" w:lineRule="auto"/>
              <w:ind w:left="0" w:leftChars="0" w:right="0" w:rightChars="0" w:firstLine="0" w:firstLineChars="0"/>
              <w:jc w:val="center"/>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3"/>
                <w:sz w:val="16"/>
                <w:szCs w:val="16"/>
              </w:rPr>
              <w:t>灵活评判</w:t>
            </w:r>
          </w:p>
        </w:tc>
        <w:tc>
          <w:tcPr>
            <w:tcW w:w="2453"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299A0086">
            <w:pPr>
              <w:pStyle w:val="228"/>
              <w:keepNext/>
              <w:snapToGrid w:val="0"/>
              <w:spacing w:before="105" w:line="240" w:lineRule="auto"/>
              <w:ind w:left="0" w:leftChars="0" w:right="0" w:rightChars="0" w:firstLine="0" w:firstLineChars="0"/>
              <w:jc w:val="center"/>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4"/>
                <w:sz w:val="16"/>
                <w:szCs w:val="16"/>
              </w:rPr>
              <w:t>需要结合上下文判断风险强</w:t>
            </w:r>
            <w:r>
              <w:rPr>
                <w:rFonts w:hint="eastAsia" w:ascii="宋体" w:hAnsi="宋体" w:eastAsia="宋体" w:cs="宋体"/>
                <w:b w:val="0"/>
                <w:i w:val="0"/>
                <w:color w:val="000000"/>
                <w:spacing w:val="1"/>
                <w:sz w:val="16"/>
                <w:szCs w:val="16"/>
              </w:rPr>
              <w:t>弱，不宜直接否决。</w:t>
            </w:r>
          </w:p>
        </w:tc>
        <w:tc>
          <w:tcPr>
            <w:tcW w:w="2681"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05B40F68">
            <w:pPr>
              <w:pStyle w:val="228"/>
              <w:keepNext/>
              <w:snapToGrid w:val="0"/>
              <w:spacing w:before="105" w:line="240" w:lineRule="auto"/>
              <w:ind w:left="0" w:leftChars="0" w:right="0" w:rightChars="0" w:firstLine="0" w:firstLineChars="0"/>
              <w:jc w:val="center"/>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5"/>
                <w:sz w:val="16"/>
                <w:szCs w:val="16"/>
              </w:rPr>
              <w:t>缴费连续性、历史补贴、身份切换、基数波动等争议信</w:t>
            </w:r>
            <w:r>
              <w:rPr>
                <w:rFonts w:hint="eastAsia" w:ascii="宋体" w:hAnsi="宋体" w:eastAsia="宋体" w:cs="宋体"/>
                <w:b w:val="0"/>
                <w:i w:val="0"/>
                <w:color w:val="000000"/>
                <w:spacing w:val="-6"/>
                <w:sz w:val="16"/>
                <w:szCs w:val="16"/>
              </w:rPr>
              <w:t>号。</w:t>
            </w:r>
          </w:p>
        </w:tc>
        <w:tc>
          <w:tcPr>
            <w:tcW w:w="2836"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0E287897">
            <w:pPr>
              <w:pStyle w:val="228"/>
              <w:keepNext/>
              <w:snapToGrid w:val="0"/>
              <w:spacing w:before="106" w:line="240" w:lineRule="auto"/>
              <w:ind w:left="0" w:leftChars="0" w:right="0" w:rightChars="0" w:firstLine="0" w:firstLineChars="0"/>
              <w:jc w:val="left"/>
              <w:rPr>
                <w:rFonts w:hint="eastAsia" w:ascii="宋体" w:hAnsi="宋体" w:eastAsia="宋体" w:cs="宋体"/>
                <w:b w:val="0"/>
                <w:i w:val="0"/>
                <w:color w:val="000000"/>
                <w:sz w:val="16"/>
                <w:szCs w:val="16"/>
              </w:rPr>
            </w:pPr>
            <w:r>
              <w:rPr>
                <w:rFonts w:hint="eastAsia" w:ascii="宋体" w:hAnsi="宋体" w:eastAsia="宋体" w:cs="宋体"/>
                <w:b w:val="0"/>
                <w:i w:val="0"/>
                <w:color w:val="000000"/>
                <w:spacing w:val="5"/>
                <w:sz w:val="16"/>
                <w:szCs w:val="16"/>
              </w:rPr>
              <w:t>保留上下文和诊断信息，交由证据语</w:t>
            </w:r>
            <w:r>
              <w:rPr>
                <w:rFonts w:hint="eastAsia" w:ascii="宋体" w:hAnsi="宋体" w:eastAsia="宋体" w:cs="宋体"/>
                <w:b w:val="0"/>
                <w:i w:val="0"/>
                <w:color w:val="000000"/>
                <w:spacing w:val="1"/>
                <w:sz w:val="16"/>
                <w:szCs w:val="16"/>
              </w:rPr>
              <w:t xml:space="preserve">义层与 </w:t>
            </w:r>
            <w:r>
              <w:rPr>
                <w:rFonts w:hint="eastAsia" w:ascii="宋体" w:hAnsi="宋体" w:eastAsia="宋体" w:cs="宋体"/>
                <w:b w:val="0"/>
                <w:i w:val="0"/>
                <w:color w:val="000000"/>
                <w:sz w:val="16"/>
                <w:szCs w:val="16"/>
              </w:rPr>
              <w:t>Agent</w:t>
            </w:r>
            <w:r>
              <w:rPr>
                <w:rFonts w:hint="eastAsia" w:ascii="宋体" w:hAnsi="宋体" w:eastAsia="宋体" w:cs="宋体"/>
                <w:b w:val="0"/>
                <w:i w:val="0"/>
                <w:color w:val="000000"/>
                <w:spacing w:val="1"/>
                <w:sz w:val="16"/>
                <w:szCs w:val="16"/>
              </w:rPr>
              <w:t xml:space="preserve"> 综合判断。</w:t>
            </w:r>
          </w:p>
        </w:tc>
      </w:tr>
    </w:tbl>
    <w:p w14:paraId="22BF9857">
      <w:pPr>
        <w:pStyle w:val="277"/>
        <w:rPr>
          <w:rFonts w:hint="eastAsia"/>
          <w:lang w:eastAsia="zh-CN"/>
        </w:rPr>
      </w:pPr>
      <w:r>
        <w:t>表 3 证据倾向表</w:t>
      </w:r>
    </w:p>
    <w:p w14:paraId="4E0A6325">
      <w:pPr>
        <w:rPr>
          <w:rFonts w:hint="eastAsia"/>
          <w:lang w:eastAsia="zh-CN"/>
        </w:rPr>
      </w:pPr>
      <w:r>
        <w:rPr>
          <w:rFonts w:hint="eastAsia"/>
          <w:lang w:eastAsia="zh-CN"/>
        </w:rPr>
        <w:t>业务数据库用于模拟基层政务资格审核中的多表取证场景，主要包括人员基础信息表、就业登记表、困难人员认定表、社会保险缴费表、工商登记表、补贴历史表、政策规则表和历史会话表等。不同数据表之间围绕申请人身份信息建立关联，使系统能够从多个事实来源综合判断申请人的资格状态。</w:t>
      </w:r>
    </w:p>
    <w:p w14:paraId="598F8B12">
      <w:pPr>
        <w:rPr>
          <w:rFonts w:hint="eastAsia"/>
          <w:lang w:eastAsia="zh-CN"/>
        </w:rPr>
      </w:pPr>
      <w:r>
        <w:rPr>
          <w:rFonts w:hint="eastAsia"/>
          <w:lang w:eastAsia="zh-CN"/>
        </w:rPr>
        <w:t>数据库Schema不仅用于实际查询，也用于约束T2SQL模块生成SQL。系统在生成SQL前会向模型提供必要的表名、字段名、字段含义和常用关联路径，减少表字段幻觉和无关查询风险。通过政策规则库与数据库Schema的结合，系统能够把“政策条件”转化为“数据库取证任务”，再进一步形成“证据卡片”和“审核意见”。</w:t>
      </w:r>
    </w:p>
    <w:p w14:paraId="09BAE503">
      <w:pPr>
        <w:ind w:left="0" w:leftChars="0" w:firstLine="0" w:firstLineChars="0"/>
        <w:rPr>
          <w:rFonts w:hint="eastAsia"/>
          <w:lang w:eastAsia="zh-CN"/>
        </w:rPr>
      </w:pPr>
      <w:r>
        <w:rPr>
          <w:rFonts w:hint="eastAsia"/>
          <w:lang w:eastAsia="zh-CN"/>
        </w:rPr>
        <w:drawing>
          <wp:inline distT="0" distB="0" distL="114300" distR="114300">
            <wp:extent cx="5475605" cy="4106545"/>
            <wp:effectExtent l="0" t="0" r="10795" b="8255"/>
            <wp:docPr id="3" name="图片 3" descr="df66e9b7-be73-4c65-9fbe-c30d63d01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f66e9b7-be73-4c65-9fbe-c30d63d01cb6"/>
                    <pic:cNvPicPr>
                      <a:picLocks noChangeAspect="1"/>
                    </pic:cNvPicPr>
                  </pic:nvPicPr>
                  <pic:blipFill>
                    <a:blip r:embed="rId9"/>
                    <a:stretch>
                      <a:fillRect/>
                    </a:stretch>
                  </pic:blipFill>
                  <pic:spPr>
                    <a:xfrm>
                      <a:off x="0" y="0"/>
                      <a:ext cx="5475605" cy="4106545"/>
                    </a:xfrm>
                    <a:prstGeom prst="rect">
                      <a:avLst/>
                    </a:prstGeom>
                  </pic:spPr>
                </pic:pic>
              </a:graphicData>
            </a:graphic>
          </wp:inline>
        </w:drawing>
      </w:r>
    </w:p>
    <w:p w14:paraId="567F5643">
      <w:pPr>
        <w:pStyle w:val="4"/>
        <w:bidi w:val="0"/>
      </w:pPr>
      <w:bookmarkStart w:id="42" w:name="_Toc18605"/>
      <w:r>
        <w:t>3.3 T2SQL取证模块实现</w:t>
      </w:r>
      <w:bookmarkEnd w:id="42"/>
    </w:p>
    <w:p w14:paraId="2E7209C0">
      <w:pPr>
        <w:rPr>
          <w:rFonts w:hint="eastAsia"/>
          <w:lang w:eastAsia="zh-CN"/>
        </w:rPr>
      </w:pPr>
      <w:r>
        <w:rPr>
          <w:rFonts w:hint="eastAsia"/>
          <w:lang w:eastAsia="zh-CN"/>
        </w:rPr>
        <w:t>T2SQL取证模块是系统实现证据链审核的关键模块。传统大模型问答容易直接根据政策文本和申请信息生成判断结论，但缺少可验证的数据依据。智策惠民采用“先取证、再判断”的方式，将每条政策规则转化为具体核查任务，再由T2SQL模块生成SQL并查询业务数据库。</w:t>
      </w:r>
    </w:p>
    <w:p w14:paraId="720D7C06">
      <w:pPr>
        <w:rPr>
          <w:rFonts w:hint="eastAsia"/>
          <w:lang w:eastAsia="zh-CN"/>
        </w:rPr>
      </w:pPr>
      <w:r>
        <w:rPr>
          <w:rFonts w:hint="eastAsia"/>
          <w:lang w:eastAsia="zh-CN"/>
        </w:rPr>
        <w:t>系统在执行T2SQL时，首先根据用户诉求和政策匹配结果加载对应政策规则，然后将每条规则拆解为核查问题。例如，对于“是否正常缴纳社会保险”的必要条件，系统生成社保缴费状态和缴费月份查询任务；对于“不得存在有效工商登记”的排除条件，系统生成工商登记状态查询任务；对于“是否超过补贴期限”的规则，系统生成历史补贴领取月份和最后领取时间查询任务。</w:t>
      </w:r>
    </w:p>
    <w:p w14:paraId="1C13C923">
      <w:pPr>
        <w:rPr>
          <w:rFonts w:hint="eastAsia"/>
          <w:lang w:eastAsia="zh-CN"/>
        </w:rPr>
      </w:pPr>
      <w:r>
        <w:rPr>
          <w:rFonts w:hint="eastAsia"/>
          <w:lang w:eastAsia="zh-CN"/>
        </w:rPr>
        <w:t>生成SQL时，系统结合核查任务、目标人员信息和数据库Schema，限制查询范围和字段选择。SQL生成后，系统不会直接信任生成结果，而是将SQL交由数据库执行，并记录执行状态。如果出现字段不存在、表名不匹配、语法异常、空结果或结果不符合预期等问题，系统会记录错误类型和诊断信息，并在有限轮次内尝试修复。</w:t>
      </w:r>
    </w:p>
    <w:p w14:paraId="495F467C">
      <w:pPr>
        <w:rPr>
          <w:rFonts w:hint="eastAsia"/>
          <w:lang w:eastAsia="zh-CN"/>
        </w:rPr>
      </w:pPr>
      <w:r>
        <w:rPr>
          <w:rFonts w:hint="eastAsia"/>
          <w:lang w:eastAsia="zh-CN"/>
        </w:rPr>
        <w:t>SQL执行反馈与修复过程会作为证据链的一部分保留。系统不仅保存最终可执行SQL，也保存执行失败原因、修复过程和诊断信息。这样做的目的不是追求隐藏错误，而是让经办人员、复核人员和后续Agent能够看到取证链路是否可靠，避免将SQL生成错误或数据缺失误当作真实业务结论。</w:t>
      </w:r>
    </w:p>
    <w:p w14:paraId="5970EC4F">
      <w:pPr>
        <w:ind w:left="0" w:leftChars="0" w:firstLine="0" w:firstLineChars="0"/>
        <w:rPr>
          <w:rFonts w:hint="eastAsia"/>
          <w:lang w:eastAsia="zh-CN"/>
        </w:rPr>
      </w:pPr>
      <w:r>
        <w:rPr>
          <w:rFonts w:hint="eastAsia"/>
          <w:lang w:eastAsia="zh-CN"/>
        </w:rPr>
        <w:drawing>
          <wp:inline distT="0" distB="0" distL="114300" distR="114300">
            <wp:extent cx="5481955" cy="3878580"/>
            <wp:effectExtent l="0" t="0" r="4445" b="7620"/>
            <wp:docPr id="7" name="图片 7" descr="0db84d7d-8c78-420a-9d2e-4cbb21437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db84d7d-8c78-420a-9d2e-4cbb214377d4"/>
                    <pic:cNvPicPr>
                      <a:picLocks noChangeAspect="1"/>
                    </pic:cNvPicPr>
                  </pic:nvPicPr>
                  <pic:blipFill>
                    <a:blip r:embed="rId10"/>
                    <a:stretch>
                      <a:fillRect/>
                    </a:stretch>
                  </pic:blipFill>
                  <pic:spPr>
                    <a:xfrm>
                      <a:off x="0" y="0"/>
                      <a:ext cx="5481955" cy="3878580"/>
                    </a:xfrm>
                    <a:prstGeom prst="rect">
                      <a:avLst/>
                    </a:prstGeom>
                  </pic:spPr>
                </pic:pic>
              </a:graphicData>
            </a:graphic>
          </wp:inline>
        </w:drawing>
      </w:r>
    </w:p>
    <w:p w14:paraId="0ACAE48A">
      <w:pPr>
        <w:pStyle w:val="4"/>
        <w:bidi w:val="0"/>
      </w:pPr>
      <w:bookmarkStart w:id="43" w:name="_Toc9628"/>
      <w:r>
        <w:t>3.4 证据卡片与对象画像实现</w:t>
      </w:r>
      <w:bookmarkEnd w:id="43"/>
    </w:p>
    <w:p w14:paraId="06935F13">
      <w:pPr>
        <w:rPr>
          <w:rFonts w:hint="eastAsia"/>
          <w:lang w:eastAsia="zh-CN"/>
        </w:rPr>
      </w:pPr>
      <w:r>
        <w:rPr>
          <w:rFonts w:hint="eastAsia"/>
          <w:lang w:eastAsia="zh-CN"/>
        </w:rPr>
        <w:t>数据库查询结果不会直接作为最终审核结论，而是被封装为标准化证据卡片。证据卡片是系统连接T2SQL取证、多Agent辩论、人工复核和报告生成的核心中间载体。</w:t>
      </w:r>
    </w:p>
    <w:p w14:paraId="354758FC">
      <w:pPr>
        <w:rPr>
          <w:rFonts w:hint="eastAsia"/>
          <w:lang w:eastAsia="zh-CN"/>
        </w:rPr>
      </w:pPr>
      <w:r>
        <w:rPr>
          <w:rFonts w:hint="eastAsia"/>
          <w:lang w:eastAsia="zh-CN"/>
        </w:rPr>
        <w:t>一张证据卡片通常包括规则编号、规则类型、核查目标、目标人员、执行SQL、原始查询结果、结果摘要、执行状态、诊断信息、证据倾向和是否需要人工复核等字段。其中，规则编号用于对应政策依据，执行SQL用于追溯数据来源，结果摘要用于帮助经办人员快速理解查询结果，诊断信息用于说明取证异常，证据倾向用于提示当前证据支持通过、反对通过、未发现风险或待核验。</w:t>
      </w:r>
    </w:p>
    <w:p w14:paraId="2857A417">
      <w:pPr>
        <w:rPr>
          <w:rFonts w:hint="eastAsia"/>
          <w:lang w:eastAsia="zh-CN"/>
        </w:rPr>
      </w:pPr>
      <w:r>
        <w:rPr>
          <w:rFonts w:hint="eastAsia"/>
          <w:lang w:eastAsia="zh-CN"/>
        </w:rPr>
        <w:t>证据语义判定是证据卡片生成中的重要环节。系统不会简单按照“查到数据”或“查不到数据”判断资格，而是结合规则类型解释查询结果。对于必须满足条件，查到有效事实通常支持通过，查不到可能表示条件不足；对于必须排除条件，查到风险事实通常反对通过，查不到通常表示未发现该项风险；对于灵活评判条件，系统保留上下文和诊断信息，交由多Agent辩论系统和人工复核进一步判断。</w:t>
      </w:r>
    </w:p>
    <w:p w14:paraId="6B773511">
      <w:pPr>
        <w:rPr>
          <w:rFonts w:hint="eastAsia"/>
          <w:lang w:eastAsia="zh-CN"/>
        </w:rPr>
      </w:pPr>
      <w:r>
        <w:rPr>
          <w:rFonts w:hint="eastAsia"/>
          <w:lang w:eastAsia="zh-CN"/>
        </w:rPr>
        <w:t>在证据卡片基础上，系统进一步生成申请对象画像。对象画像不是新的事实来源，而是对证据卡片和结构化数据的归纳整理，内容包括申请人的基本信息、就业状态、社保缴费情况、困难认定状态、工商登记情况、补贴领取历史和主要风险点。对象画像用于帮助Agent快速把握审核对象的整体情况，也便于经办人员在界面上理解系统判断依据。</w:t>
      </w:r>
    </w:p>
    <w:p w14:paraId="3C77B8F2">
      <w:pPr>
        <w:rPr>
          <w:rFonts w:hint="eastAsia"/>
          <w:lang w:eastAsia="zh-CN"/>
        </w:rPr>
      </w:pPr>
      <w:r>
        <w:rPr>
          <w:rFonts w:hint="eastAsia"/>
          <w:lang w:eastAsia="zh-CN"/>
        </w:rPr>
        <w:t>通过证据卡片和对象画像，系统将分散在多张业务表中的数据组织为可引用、可比较、可追溯的审核材料，为后续多Agent辩论仲裁提供统一事实输入。</w:t>
      </w:r>
    </w:p>
    <w:p w14:paraId="61879754">
      <w:pPr>
        <w:pStyle w:val="4"/>
        <w:bidi w:val="0"/>
      </w:pPr>
      <w:bookmarkStart w:id="44" w:name="_Toc41"/>
      <w:r>
        <w:t>3.5 多Agent辩论与仲裁实现</w:t>
      </w:r>
      <w:bookmarkEnd w:id="44"/>
    </w:p>
    <w:p w14:paraId="22D708DA">
      <w:pPr>
        <w:pStyle w:val="35"/>
        <w:bidi w:val="0"/>
        <w:rPr>
          <w:rFonts w:hint="eastAsia"/>
          <w:lang w:val="en-US" w:eastAsia="zh-CN"/>
        </w:rPr>
      </w:pPr>
      <w:r>
        <w:rPr>
          <w:rFonts w:hint="eastAsia"/>
          <w:lang w:val="en-US" w:eastAsia="zh-CN"/>
        </w:rPr>
        <w:t>多Agent辩论与仲裁模块是智策惠民的核心机制之一。该模块并不是让多个Agent自由聊天，也不是简单让多个模型投票，而是在证据卡片约束下组织不同审查角色围绕同一组政策规则和数据库事实进行辩论。</w:t>
      </w:r>
    </w:p>
    <w:p w14:paraId="6C264D8A">
      <w:pPr>
        <w:pStyle w:val="5"/>
        <w:bidi w:val="0"/>
        <w:rPr>
          <w:rFonts w:hint="eastAsia"/>
          <w:lang w:val="en-US" w:eastAsia="zh-CN"/>
        </w:rPr>
      </w:pPr>
      <w:bookmarkStart w:id="45" w:name="_Toc17187"/>
      <w:r>
        <w:rPr>
          <w:rFonts w:hint="eastAsia"/>
          <w:lang w:val="en-US" w:eastAsia="zh-CN"/>
        </w:rPr>
        <w:t>3.5.1 辩论输入设计</w:t>
      </w:r>
      <w:bookmarkEnd w:id="45"/>
    </w:p>
    <w:p w14:paraId="4474D6DF">
      <w:pPr>
        <w:pStyle w:val="35"/>
        <w:bidi w:val="0"/>
        <w:rPr>
          <w:rFonts w:hint="eastAsia"/>
          <w:lang w:val="en-US" w:eastAsia="zh-CN"/>
        </w:rPr>
      </w:pPr>
      <w:r>
        <w:rPr>
          <w:rFonts w:hint="eastAsia"/>
          <w:lang w:val="en-US" w:eastAsia="zh-CN"/>
        </w:rPr>
        <w:t>多Agent辩论的输入包括政策规则、证据卡片和对象画像。政策规则提供判断依据，证据卡片提供数据库取证结果，对象画像提供申请人的整体情况。各Agent不能独立生成事实，也不能脱离证据自由推理。其判断必须围绕已加载的政策规则和已生成的证据卡片展开。</w:t>
      </w:r>
    </w:p>
    <w:p w14:paraId="538CCDEF">
      <w:pPr>
        <w:pStyle w:val="35"/>
        <w:bidi w:val="0"/>
        <w:rPr>
          <w:rFonts w:hint="eastAsia"/>
          <w:lang w:val="en-US" w:eastAsia="zh-CN"/>
        </w:rPr>
      </w:pPr>
      <w:r>
        <w:rPr>
          <w:rFonts w:hint="eastAsia"/>
          <w:lang w:val="en-US" w:eastAsia="zh-CN"/>
        </w:rPr>
        <w:t>这种设计能够限制大模型的推理边界，减少模型幻觉。对于政务资格审核而言，系统输出的每个观点都需要能够追溯到具体证据，而不是只给出自然语言理由。因此，证据卡片既是多Agent辩论的事实基础，也是后续人工复核和报告归档的依据。</w:t>
      </w:r>
    </w:p>
    <w:p w14:paraId="391B35F6">
      <w:pPr>
        <w:pStyle w:val="5"/>
        <w:bidi w:val="0"/>
        <w:rPr>
          <w:rFonts w:hint="eastAsia"/>
          <w:lang w:val="en-US" w:eastAsia="zh-CN"/>
        </w:rPr>
      </w:pPr>
      <w:bookmarkStart w:id="46" w:name="_Toc20031"/>
      <w:r>
        <w:rPr>
          <w:rFonts w:hint="eastAsia"/>
          <w:lang w:val="en-US" w:eastAsia="zh-CN"/>
        </w:rPr>
        <w:t>3.5.2 辩论角色设计</w:t>
      </w:r>
      <w:bookmarkEnd w:id="46"/>
    </w:p>
    <w:p w14:paraId="596B03B8">
      <w:pPr>
        <w:pStyle w:val="35"/>
        <w:bidi w:val="0"/>
        <w:rPr>
          <w:rFonts w:hint="eastAsia"/>
          <w:lang w:val="en-US" w:eastAsia="zh-CN"/>
        </w:rPr>
      </w:pPr>
      <w:r>
        <w:rPr>
          <w:rFonts w:hint="eastAsia"/>
          <w:lang w:val="en-US" w:eastAsia="zh-CN"/>
        </w:rPr>
        <w:t>系统设置五类评议Agent和一个仲裁Agent。</w:t>
      </w:r>
    </w:p>
    <w:p w14:paraId="74EC176C">
      <w:pPr>
        <w:pStyle w:val="35"/>
        <w:bidi w:val="0"/>
        <w:rPr>
          <w:rFonts w:hint="eastAsia"/>
          <w:lang w:val="en-US" w:eastAsia="zh-CN"/>
        </w:rPr>
      </w:pPr>
      <w:r>
        <w:rPr>
          <w:rFonts w:hint="eastAsia"/>
          <w:lang w:val="en-US" w:eastAsia="zh-CN"/>
        </w:rPr>
        <w:t>严格合规Agent主要关注硬性政策条件、必要材料和排除情形，用于防止系统在证据不足时过度放行。例如，当困难人员认定记录缺失或排除条件命中时，严格合规Agent会倾向于提示不通过或需复核。</w:t>
      </w:r>
    </w:p>
    <w:p w14:paraId="7F603D50">
      <w:pPr>
        <w:pStyle w:val="35"/>
        <w:bidi w:val="0"/>
        <w:rPr>
          <w:rFonts w:hint="eastAsia"/>
          <w:lang w:val="en-US" w:eastAsia="zh-CN"/>
        </w:rPr>
      </w:pPr>
      <w:r>
        <w:rPr>
          <w:rFonts w:hint="eastAsia"/>
          <w:lang w:val="en-US" w:eastAsia="zh-CN"/>
        </w:rPr>
        <w:t>宽松业务Agent主要关注已证实事实、便民办理空间和非实质性风险，用于避免将技术性缺失直接等同于资格不符。例如，当社保缴费和就业登记均正常，但某项材料存在同步延迟时，宽松业务Agent可能建议补证后继续审核。</w:t>
      </w:r>
    </w:p>
    <w:p w14:paraId="37B0D1B4">
      <w:pPr>
        <w:pStyle w:val="35"/>
        <w:bidi w:val="0"/>
        <w:rPr>
          <w:rFonts w:hint="eastAsia"/>
          <w:lang w:val="en-US" w:eastAsia="zh-CN"/>
        </w:rPr>
      </w:pPr>
      <w:r>
        <w:rPr>
          <w:rFonts w:hint="eastAsia"/>
          <w:lang w:val="en-US" w:eastAsia="zh-CN"/>
        </w:rPr>
        <w:t>探索分析Agent主要关注跨表冲突、边界情况和异常轨迹。例如，申请人的就业登记、社保缴费、工商登记和补贴历史之间若存在时间冲突或状态不一致，该Agent会提示需要进一步核验。</w:t>
      </w:r>
    </w:p>
    <w:p w14:paraId="73D7E351">
      <w:pPr>
        <w:pStyle w:val="35"/>
        <w:bidi w:val="0"/>
        <w:rPr>
          <w:rFonts w:hint="eastAsia"/>
          <w:lang w:val="en-US" w:eastAsia="zh-CN"/>
        </w:rPr>
      </w:pPr>
      <w:r>
        <w:rPr>
          <w:rFonts w:hint="eastAsia"/>
          <w:lang w:val="en-US" w:eastAsia="zh-CN"/>
        </w:rPr>
        <w:t>经验归纳Agent从典型案例和业务经验角度辅助解释当前案例属于正常通过、风险排除还是争议待核验。该Agent主要帮助系统形成更接近实际经办场景的解释。</w:t>
      </w:r>
    </w:p>
    <w:p w14:paraId="56850CC1">
      <w:pPr>
        <w:pStyle w:val="35"/>
        <w:bidi w:val="0"/>
        <w:rPr>
          <w:rFonts w:hint="eastAsia"/>
          <w:lang w:val="en-US" w:eastAsia="zh-CN"/>
        </w:rPr>
      </w:pPr>
      <w:r>
        <w:rPr>
          <w:rFonts w:hint="eastAsia"/>
          <w:lang w:val="en-US" w:eastAsia="zh-CN"/>
        </w:rPr>
        <w:t>审计挑战Agent主要关注政策口径、证据充分性、责任风险和报告是否经得起复查。该Agent倾向于从审计和追责角度审查结论是否稳妥。</w:t>
      </w:r>
    </w:p>
    <w:p w14:paraId="76347A33">
      <w:pPr>
        <w:pStyle w:val="35"/>
        <w:bidi w:val="0"/>
        <w:rPr>
          <w:rFonts w:hint="eastAsia"/>
          <w:lang w:val="en-US" w:eastAsia="zh-CN"/>
        </w:rPr>
      </w:pPr>
      <w:r>
        <w:rPr>
          <w:rFonts w:hint="eastAsia"/>
          <w:lang w:val="en-US" w:eastAsia="zh-CN"/>
        </w:rPr>
        <w:t>仲裁Agent负责综合各Agent意见、证据充分性、风险条件命中情况和分歧程度，形成最终辅助结论。仲裁结果可以是通过、不通过、需补证或需人工复核。</w:t>
      </w:r>
    </w:p>
    <w:tbl>
      <w:tblPr>
        <w:tblStyle w:val="229"/>
        <w:tblW w:w="8662" w:type="dxa"/>
        <w:jc w:val="center"/>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Layout w:type="autofit"/>
        <w:tblCellMar>
          <w:top w:w="0" w:type="dxa"/>
          <w:left w:w="0" w:type="dxa"/>
          <w:bottom w:w="0" w:type="dxa"/>
          <w:right w:w="0" w:type="dxa"/>
        </w:tblCellMar>
      </w:tblPr>
      <w:tblGrid>
        <w:gridCol w:w="1383"/>
        <w:gridCol w:w="3262"/>
        <w:gridCol w:w="4017"/>
      </w:tblGrid>
      <w:tr w14:paraId="039002FF">
        <w:tblPrEx>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CellMar>
            <w:top w:w="0" w:type="dxa"/>
            <w:left w:w="0" w:type="dxa"/>
            <w:bottom w:w="0" w:type="dxa"/>
            <w:right w:w="0" w:type="dxa"/>
          </w:tblCellMar>
        </w:tblPrEx>
        <w:trPr>
          <w:trHeight w:val="0" w:hRule="atLeast"/>
          <w:tblHeader/>
          <w:jc w:val="center"/>
        </w:trPr>
        <w:tc>
          <w:tcPr>
            <w:tcW w:w="0" w:type="auto"/>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0B939580">
            <w:pPr>
              <w:pStyle w:val="228"/>
              <w:snapToGrid w:val="0"/>
              <w:spacing w:before="107" w:line="240" w:lineRule="auto"/>
              <w:ind w:left="0" w:leftChars="0" w:right="0" w:rightChars="0" w:firstLine="0" w:firstLineChars="0"/>
              <w:jc w:val="center"/>
              <w:rPr>
                <w:rFonts w:hint="eastAsia" w:ascii="宋体" w:hAnsi="宋体" w:eastAsia="宋体" w:cs="宋体"/>
                <w:b/>
                <w:i w:val="0"/>
                <w:color w:val="FFFFFF"/>
                <w:spacing w:val="-2"/>
                <w:sz w:val="21"/>
                <w:szCs w:val="21"/>
              </w:rPr>
            </w:pPr>
            <w:r>
              <w:rPr>
                <w:rFonts w:hint="eastAsia" w:ascii="宋体" w:hAnsi="宋体" w:eastAsia="宋体" w:cs="宋体"/>
                <w:b/>
                <w:i w:val="0"/>
                <w:color w:val="FFFFFF"/>
                <w:spacing w:val="-2"/>
                <w:sz w:val="21"/>
                <w:szCs w:val="21"/>
              </w:rPr>
              <w:t>Agent角色</w:t>
            </w:r>
          </w:p>
        </w:tc>
        <w:tc>
          <w:tcPr>
            <w:tcW w:w="0" w:type="auto"/>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64928182">
            <w:pPr>
              <w:pStyle w:val="228"/>
              <w:snapToGrid w:val="0"/>
              <w:spacing w:before="107" w:line="240" w:lineRule="auto"/>
              <w:ind w:left="0" w:leftChars="0" w:right="0" w:rightChars="0" w:firstLine="0" w:firstLineChars="0"/>
              <w:jc w:val="center"/>
              <w:rPr>
                <w:rFonts w:hint="eastAsia" w:ascii="宋体" w:hAnsi="宋体" w:eastAsia="宋体" w:cs="宋体"/>
                <w:b/>
                <w:i w:val="0"/>
                <w:color w:val="FFFFFF"/>
                <w:spacing w:val="-2"/>
                <w:sz w:val="21"/>
                <w:szCs w:val="21"/>
              </w:rPr>
            </w:pPr>
            <w:r>
              <w:rPr>
                <w:rFonts w:hint="eastAsia" w:ascii="宋体" w:hAnsi="宋体" w:eastAsia="宋体" w:cs="宋体"/>
                <w:b/>
                <w:i w:val="0"/>
                <w:color w:val="FFFFFF"/>
                <w:spacing w:val="-2"/>
                <w:sz w:val="21"/>
                <w:szCs w:val="21"/>
              </w:rPr>
              <w:t>关注重点</w:t>
            </w:r>
          </w:p>
        </w:tc>
        <w:tc>
          <w:tcPr>
            <w:tcW w:w="4017" w:type="dxa"/>
            <w:tcBorders>
              <w:top w:val="single" w:color="4874CB" w:themeColor="accent1" w:sz="12" w:space="0"/>
              <w:left w:val="nil"/>
              <w:bottom w:val="nil"/>
              <w:right w:val="nil"/>
            </w:tcBorders>
            <w:shd w:val="clear" w:color="auto" w:fill="4874CB" w:themeFill="accent1"/>
            <w:noWrap w:val="0"/>
            <w:tcMar>
              <w:top w:w="-1" w:type="dxa"/>
              <w:left w:w="-1" w:type="dxa"/>
              <w:bottom w:w="-1" w:type="dxa"/>
              <w:right w:w="-1" w:type="dxa"/>
            </w:tcMar>
            <w:vAlign w:val="center"/>
          </w:tcPr>
          <w:p w14:paraId="5F3DC8AE">
            <w:pPr>
              <w:pStyle w:val="228"/>
              <w:snapToGrid w:val="0"/>
              <w:spacing w:before="107" w:line="240" w:lineRule="auto"/>
              <w:ind w:left="0" w:leftChars="0" w:right="0" w:rightChars="0" w:firstLine="0" w:firstLineChars="0"/>
              <w:jc w:val="center"/>
              <w:rPr>
                <w:rFonts w:hint="eastAsia" w:ascii="宋体" w:hAnsi="宋体" w:eastAsia="宋体" w:cs="宋体"/>
                <w:b/>
                <w:i w:val="0"/>
                <w:color w:val="FFFFFF"/>
                <w:spacing w:val="-2"/>
                <w:sz w:val="21"/>
                <w:szCs w:val="21"/>
              </w:rPr>
            </w:pPr>
            <w:r>
              <w:rPr>
                <w:rFonts w:hint="eastAsia" w:ascii="宋体" w:hAnsi="宋体" w:eastAsia="宋体" w:cs="宋体"/>
                <w:b/>
                <w:i w:val="0"/>
                <w:color w:val="FFFFFF"/>
                <w:spacing w:val="-2"/>
                <w:sz w:val="21"/>
                <w:szCs w:val="21"/>
              </w:rPr>
              <w:t>对系统可信度的贡献</w:t>
            </w:r>
          </w:p>
        </w:tc>
      </w:tr>
      <w:tr w14:paraId="3DA02F12">
        <w:tblPrEx>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CellMar>
            <w:top w:w="0" w:type="dxa"/>
            <w:left w:w="0" w:type="dxa"/>
            <w:bottom w:w="0" w:type="dxa"/>
            <w:right w:w="0" w:type="dxa"/>
          </w:tblCellMar>
        </w:tblPrEx>
        <w:trPr>
          <w:trHeight w:val="0" w:hRule="atLeast"/>
          <w:jc w:val="center"/>
        </w:trPr>
        <w:tc>
          <w:tcPr>
            <w:tcW w:w="0" w:type="auto"/>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7F514E73">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严格合规 Agent</w:t>
            </w:r>
          </w:p>
        </w:tc>
        <w:tc>
          <w:tcPr>
            <w:tcW w:w="0" w:type="auto"/>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6472C707">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硬性条款、材料完整性、缺失风险。</w:t>
            </w:r>
          </w:p>
        </w:tc>
        <w:tc>
          <w:tcPr>
            <w:tcW w:w="4017" w:type="dxa"/>
            <w:tcBorders>
              <w:top w:val="single" w:color="4874CB" w:themeColor="accent1" w:sz="4" w:space="0"/>
              <w:left w:val="nil"/>
              <w:bottom w:val="nil"/>
              <w:right w:val="nil"/>
            </w:tcBorders>
            <w:shd w:val="clear" w:color="auto" w:fill="FFFFFF"/>
            <w:noWrap w:val="0"/>
            <w:tcMar>
              <w:top w:w="-1" w:type="dxa"/>
              <w:left w:w="-1" w:type="dxa"/>
              <w:bottom w:w="-1" w:type="dxa"/>
              <w:right w:w="-1" w:type="dxa"/>
            </w:tcMar>
            <w:vAlign w:val="center"/>
          </w:tcPr>
          <w:p w14:paraId="3C63D293">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防止系统在证据不足时过度放行。</w:t>
            </w:r>
          </w:p>
        </w:tc>
      </w:tr>
      <w:tr w14:paraId="172B335E">
        <w:tblPrEx>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E26659C">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宽松业务 Agent</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9CC97F3">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已证实事实、便民办理、非实质风险。</w:t>
            </w:r>
          </w:p>
        </w:tc>
        <w:tc>
          <w:tcPr>
            <w:tcW w:w="4017"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CC72DEB">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避免把技术性缺失误判为资格不符合。</w:t>
            </w:r>
          </w:p>
        </w:tc>
      </w:tr>
      <w:tr w14:paraId="5865DABB">
        <w:tblPrEx>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7D13945">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探索分析 Agent</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399D50">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跨表冲突、异常轨迹、边界情况。</w:t>
            </w:r>
          </w:p>
        </w:tc>
        <w:tc>
          <w:tcPr>
            <w:tcW w:w="4017" w:type="dxa"/>
            <w:tcBorders>
              <w:top w:val="nil"/>
              <w:left w:val="nil"/>
              <w:bottom w:val="nil"/>
              <w:right w:val="nil"/>
            </w:tcBorders>
            <w:shd w:val="clear" w:color="auto" w:fill="FFFFFF"/>
            <w:noWrap w:val="0"/>
            <w:tcMar>
              <w:top w:w="-1" w:type="dxa"/>
              <w:left w:w="-1" w:type="dxa"/>
              <w:bottom w:w="-1" w:type="dxa"/>
              <w:right w:w="-1" w:type="dxa"/>
            </w:tcMar>
            <w:vAlign w:val="center"/>
          </w:tcPr>
          <w:p w14:paraId="6A61D56F">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发现隐藏争议和需要进一步核验的点。</w:t>
            </w:r>
          </w:p>
        </w:tc>
      </w:tr>
      <w:tr w14:paraId="1715C586">
        <w:tblPrEx>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CD1ED3E">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经验归纳 Agent</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4113987">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典型案例相似度与业务经验。</w:t>
            </w:r>
          </w:p>
        </w:tc>
        <w:tc>
          <w:tcPr>
            <w:tcW w:w="4017"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8C34E39">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帮助解释案例属于正向基准、排除型或争议型。</w:t>
            </w:r>
          </w:p>
        </w:tc>
      </w:tr>
      <w:tr w14:paraId="39820A2F">
        <w:tblPrEx>
          <w:tblBorders>
            <w:top w:val="none" w:color="D4CFC4" w:sz="2" w:space="0"/>
            <w:left w:val="none" w:color="D4CFC4" w:sz="2" w:space="0"/>
            <w:bottom w:val="none" w:color="D4CFC4" w:sz="2" w:space="0"/>
            <w:right w:val="none" w:color="D4CFC4" w:sz="2" w:space="0"/>
            <w:insideH w:val="none" w:color="D4CFC4" w:sz="2" w:space="0"/>
            <w:insideV w:val="none" w:color="D4CFC4" w:sz="2" w:space="0"/>
          </w:tblBorders>
          <w:tblCellMar>
            <w:top w:w="0" w:type="dxa"/>
            <w:left w:w="0" w:type="dxa"/>
            <w:bottom w:w="0" w:type="dxa"/>
            <w:right w:w="0" w:type="dxa"/>
          </w:tblCellMar>
        </w:tblPrEx>
        <w:trPr>
          <w:trHeight w:val="0" w:hRule="atLeast"/>
          <w:jc w:val="center"/>
        </w:trPr>
        <w:tc>
          <w:tcPr>
            <w:tcW w:w="1383"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4FE5B373">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审计挑战 Agent</w:t>
            </w:r>
          </w:p>
        </w:tc>
        <w:tc>
          <w:tcPr>
            <w:tcW w:w="3262"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17BC0911">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可追责性、政策口径、文书可审计。</w:t>
            </w:r>
          </w:p>
        </w:tc>
        <w:tc>
          <w:tcPr>
            <w:tcW w:w="4017" w:type="dxa"/>
            <w:tcBorders>
              <w:top w:val="nil"/>
              <w:left w:val="nil"/>
              <w:bottom w:val="single" w:color="4874CB" w:themeColor="accent1" w:sz="12" w:space="0"/>
              <w:right w:val="nil"/>
            </w:tcBorders>
            <w:shd w:val="clear" w:color="auto" w:fill="FFFFFF"/>
            <w:noWrap w:val="0"/>
            <w:tcMar>
              <w:top w:w="-1" w:type="dxa"/>
              <w:left w:w="-1" w:type="dxa"/>
              <w:bottom w:w="-1" w:type="dxa"/>
              <w:right w:w="-1" w:type="dxa"/>
            </w:tcMar>
            <w:vAlign w:val="center"/>
          </w:tcPr>
          <w:p w14:paraId="695EBA95">
            <w:pPr>
              <w:pStyle w:val="228"/>
              <w:snapToGrid w:val="0"/>
              <w:spacing w:before="107" w:line="240" w:lineRule="auto"/>
              <w:ind w:left="0" w:leftChars="0" w:right="0" w:rightChars="0" w:firstLine="0" w:firstLineChars="0"/>
              <w:jc w:val="center"/>
              <w:rPr>
                <w:rFonts w:hint="eastAsia" w:ascii="宋体" w:hAnsi="宋体" w:eastAsia="宋体" w:cs="宋体"/>
                <w:b/>
                <w:i w:val="0"/>
                <w:color w:val="auto"/>
                <w:spacing w:val="-2"/>
                <w:sz w:val="21"/>
                <w:szCs w:val="21"/>
              </w:rPr>
            </w:pPr>
            <w:r>
              <w:rPr>
                <w:rFonts w:hint="eastAsia" w:ascii="宋体" w:hAnsi="宋体" w:eastAsia="宋体" w:cs="宋体"/>
                <w:b/>
                <w:i w:val="0"/>
                <w:color w:val="auto"/>
                <w:spacing w:val="-2"/>
                <w:sz w:val="21"/>
                <w:szCs w:val="21"/>
              </w:rPr>
              <w:t>提高最终结果的审慎性和可复核性。</w:t>
            </w:r>
          </w:p>
        </w:tc>
      </w:tr>
    </w:tbl>
    <w:p w14:paraId="60DE2E25">
      <w:pPr>
        <w:pStyle w:val="277"/>
        <w:rPr>
          <w:rFonts w:hint="eastAsia"/>
          <w:lang w:val="en-US" w:eastAsia="zh-CN"/>
        </w:rPr>
      </w:pPr>
      <w:r>
        <w:t>表4 多Agent角色与审查职责</w:t>
      </w:r>
    </w:p>
    <w:p w14:paraId="00601F8F">
      <w:pPr>
        <w:pStyle w:val="5"/>
        <w:bidi w:val="0"/>
        <w:rPr>
          <w:rFonts w:hint="eastAsia"/>
          <w:lang w:val="en-US" w:eastAsia="zh-CN"/>
        </w:rPr>
      </w:pPr>
      <w:bookmarkStart w:id="47" w:name="_Toc3329"/>
      <w:r>
        <w:rPr>
          <w:rFonts w:hint="eastAsia"/>
          <w:lang w:val="en-US" w:eastAsia="zh-CN"/>
        </w:rPr>
        <w:t>3.5.3 辩论输出约束</w:t>
      </w:r>
      <w:bookmarkEnd w:id="47"/>
    </w:p>
    <w:p w14:paraId="15629A37">
      <w:pPr>
        <w:pStyle w:val="35"/>
        <w:bidi w:val="0"/>
        <w:rPr>
          <w:rFonts w:hint="eastAsia"/>
          <w:lang w:val="en-US" w:eastAsia="zh-CN"/>
        </w:rPr>
      </w:pPr>
      <w:r>
        <w:rPr>
          <w:rFonts w:hint="eastAsia"/>
          <w:lang w:val="en-US" w:eastAsia="zh-CN"/>
        </w:rPr>
        <w:t>为了避免多Agent讨论变成无约束文本生成，系统要求各Agent输出时包含判断立场、引用证据、理由说明、风险提示和复核建议。判断立场用于表示该Agent倾向通过、不通过或待核验；引用证据用于说明观点对应哪一条证据卡片；理由说明用于解释政策规则与数据库事实之间的关系；风险提示用于标注可能影响结论的缺失或冲突；复核建议用于说明是否需要人工补证或人工确认。</w:t>
      </w:r>
    </w:p>
    <w:p w14:paraId="29FDFEA4">
      <w:pPr>
        <w:pStyle w:val="35"/>
        <w:bidi w:val="0"/>
        <w:rPr>
          <w:rFonts w:hint="eastAsia"/>
          <w:lang w:val="en-US" w:eastAsia="zh-CN"/>
        </w:rPr>
      </w:pPr>
      <w:r>
        <w:rPr>
          <w:rFonts w:hint="eastAsia"/>
          <w:lang w:val="en-US" w:eastAsia="zh-CN"/>
        </w:rPr>
        <w:t>这种输出约束使Agent观点能够被后续仲裁模块处理，也使人工复核人员能够快速定位争议来源。与普通多Agent讨论相比，该设计更适合政务审核场景，因为它不只关注结论本身，更关注结论背后的证据依据和责任链路。</w:t>
      </w:r>
    </w:p>
    <w:p w14:paraId="340E0666">
      <w:pPr>
        <w:pStyle w:val="5"/>
        <w:bidi w:val="0"/>
        <w:rPr>
          <w:rFonts w:hint="eastAsia"/>
          <w:lang w:val="en-US" w:eastAsia="zh-CN"/>
        </w:rPr>
      </w:pPr>
      <w:bookmarkStart w:id="48" w:name="_Toc23534"/>
      <w:r>
        <w:rPr>
          <w:rFonts w:hint="eastAsia"/>
          <w:lang w:val="en-US" w:eastAsia="zh-CN"/>
        </w:rPr>
        <w:t>3.5.4 分歧暴露与保守仲裁</w:t>
      </w:r>
      <w:bookmarkEnd w:id="48"/>
    </w:p>
    <w:p w14:paraId="12ABC7C4">
      <w:pPr>
        <w:pStyle w:val="35"/>
        <w:bidi w:val="0"/>
        <w:rPr>
          <w:rFonts w:hint="eastAsia"/>
          <w:lang w:val="en-US" w:eastAsia="zh-CN"/>
        </w:rPr>
      </w:pPr>
      <w:r>
        <w:rPr>
          <w:rFonts w:hint="eastAsia"/>
          <w:lang w:val="en-US" w:eastAsia="zh-CN"/>
        </w:rPr>
        <w:t>多Agent辩论的价值不在于让所有Agent得出一致结论，而在于暴露不同审核视角下的分歧。例如，严格合规Agent可能因为关键材料缺失而倾向不通过，宽松业务Agent可能认为已有事实可以支持补证后通过，审计挑战Agent则可能要求进入人工复核。系统通过这种角色分工，把潜在争议显式展示出来。</w:t>
      </w:r>
    </w:p>
    <w:p w14:paraId="640E91A8">
      <w:pPr>
        <w:pStyle w:val="35"/>
        <w:bidi w:val="0"/>
        <w:rPr>
          <w:rFonts w:hint="eastAsia"/>
          <w:lang w:val="en-US" w:eastAsia="zh-CN"/>
        </w:rPr>
      </w:pPr>
      <w:r>
        <w:rPr>
          <w:rFonts w:hint="eastAsia"/>
          <w:lang w:val="en-US" w:eastAsia="zh-CN"/>
        </w:rPr>
        <w:t>仲裁Agent不简单采用多数投票，而是采用保守仲裁策略。系统会综合考虑证据是否充分、规则是否属于硬性条件、排除条件是否命中、Agent意见是否冲突以及是否存在数据缺失。只要出现关键证据不足、排除条件命中或Agent分歧明显，系统就不会直接输出确定通过结论，而是标记为需人工复核或需补充材料。</w:t>
      </w:r>
    </w:p>
    <w:p w14:paraId="563C83C5">
      <w:pPr>
        <w:pStyle w:val="35"/>
        <w:bidi w:val="0"/>
        <w:rPr>
          <w:rFonts w:hint="eastAsia"/>
          <w:lang w:val="en-US" w:eastAsia="zh-CN"/>
        </w:rPr>
      </w:pPr>
      <w:r>
        <w:rPr>
          <w:rFonts w:hint="eastAsia"/>
          <w:lang w:val="en-US" w:eastAsia="zh-CN"/>
        </w:rPr>
        <w:t>该机制符合政务资格审核的审慎原则。系统不是追求完全自动化审批，而是通过多Agent辩论帮助经办人员识别风险点、理解争议原因，并形成可复核的辅助判断。</w:t>
      </w:r>
    </w:p>
    <w:p w14:paraId="6E7805A6">
      <w:pPr>
        <w:pStyle w:val="5"/>
        <w:bidi w:val="0"/>
        <w:rPr>
          <w:rFonts w:hint="eastAsia"/>
          <w:lang w:val="en-US" w:eastAsia="zh-CN"/>
        </w:rPr>
      </w:pPr>
      <w:bookmarkStart w:id="49" w:name="_Toc2874"/>
      <w:r>
        <w:rPr>
          <w:rFonts w:hint="eastAsia"/>
          <w:lang w:val="en-US" w:eastAsia="zh-CN"/>
        </w:rPr>
        <w:t>3.5.5 辩论过程留痕</w:t>
      </w:r>
      <w:bookmarkEnd w:id="49"/>
    </w:p>
    <w:p w14:paraId="02729730">
      <w:pPr>
        <w:pStyle w:val="35"/>
        <w:bidi w:val="0"/>
        <w:rPr>
          <w:rFonts w:hint="eastAsia"/>
          <w:lang w:val="en-US" w:eastAsia="zh-CN"/>
        </w:rPr>
      </w:pPr>
      <w:r>
        <w:rPr>
          <w:rFonts w:hint="eastAsia"/>
          <w:lang w:val="en-US" w:eastAsia="zh-CN"/>
        </w:rPr>
        <w:t>系统会保存每个Agent的发言轮次、判断立场、引用证据、理由说明、风险提示和仲裁摘要。相关记录与当前审核会话绑定，可用于历史回放、人工复核和PDF报告生成。</w:t>
      </w:r>
    </w:p>
    <w:p w14:paraId="438D2B5B">
      <w:pPr>
        <w:pStyle w:val="35"/>
        <w:bidi w:val="0"/>
        <w:rPr>
          <w:rFonts w:hint="eastAsia"/>
          <w:lang w:val="en-US" w:eastAsia="zh-CN"/>
        </w:rPr>
      </w:pPr>
      <w:r>
        <w:rPr>
          <w:rFonts w:hint="eastAsia"/>
          <w:lang w:val="en-US" w:eastAsia="zh-CN"/>
        </w:rPr>
        <w:t>通过辩论过程留痕，系统能够回答“为什么系统建议通过”“为什么系统提示不通过”“为什么需要人工复核”等问题。这使多Agent模块不只是一个生成结论的工具，而成为可追溯审核链路的一部分。</w:t>
      </w:r>
    </w:p>
    <w:p w14:paraId="5AE78661">
      <w:pPr>
        <w:pStyle w:val="35"/>
        <w:bidi w:val="0"/>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475605" cy="4106545"/>
            <wp:effectExtent l="0" t="0" r="10795" b="8255"/>
            <wp:docPr id="12" name="图片 12" descr="4d646095-4550-4921-83dc-2ff4d956e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d646095-4550-4921-83dc-2ff4d956ef11"/>
                    <pic:cNvPicPr>
                      <a:picLocks noChangeAspect="1"/>
                    </pic:cNvPicPr>
                  </pic:nvPicPr>
                  <pic:blipFill>
                    <a:blip r:embed="rId11"/>
                    <a:stretch>
                      <a:fillRect/>
                    </a:stretch>
                  </pic:blipFill>
                  <pic:spPr>
                    <a:xfrm>
                      <a:off x="0" y="0"/>
                      <a:ext cx="5475605" cy="4106545"/>
                    </a:xfrm>
                    <a:prstGeom prst="rect">
                      <a:avLst/>
                    </a:prstGeom>
                  </pic:spPr>
                </pic:pic>
              </a:graphicData>
            </a:graphic>
          </wp:inline>
        </w:drawing>
      </w:r>
    </w:p>
    <w:p w14:paraId="1024F608">
      <w:pPr>
        <w:pStyle w:val="4"/>
        <w:bidi w:val="0"/>
      </w:pPr>
      <w:bookmarkStart w:id="50" w:name="_Toc12295"/>
      <w:r>
        <w:t>3.6 人工复核与报告生成实现</w:t>
      </w:r>
      <w:bookmarkEnd w:id="50"/>
    </w:p>
    <w:p w14:paraId="0129570E">
      <w:pPr>
        <w:pStyle w:val="35"/>
        <w:bidi w:val="0"/>
      </w:pPr>
      <w:r>
        <w:t>政务资格审核最终需要人工确认，因此智策惠民保留经办人员的最终复核权。对于证据不足、数据冲突、排除条件命中或Agent意见分歧明显的案例，系统会提示人工补证或人工确认。</w:t>
      </w:r>
    </w:p>
    <w:p w14:paraId="68294E39">
      <w:pPr>
        <w:pStyle w:val="35"/>
        <w:bidi w:val="0"/>
      </w:pPr>
      <w:r>
        <w:t>人工复核模块支持经办人员针对具体规则补充材料、填写复核意见并选择最终立场。人工复核意见会作为高优先级信息进入最终结果确认过程。对于自动取证无法完全覆盖的边界信息，例如材料补充说明、线下核验情况或特殊政策解释，经办人员可以通过复核模块写入系统。</w:t>
      </w:r>
    </w:p>
    <w:p w14:paraId="08B9D6E7">
      <w:pPr>
        <w:pStyle w:val="35"/>
        <w:bidi w:val="0"/>
      </w:pPr>
      <w:r>
        <w:t>复核完成后，系统生成政府公文式PDF报告。报告内容包括申请人基本信息、命中政策、审核规则、SQL取证摘要、证据卡片结果、Agent辩论意见、仲裁结论、人工复核意见和最终审核建议。报告生成前，系统会检查是否完成必要复核，避免未经确认的模型辅助结论被直接作为正式材料使用。</w:t>
      </w:r>
    </w:p>
    <w:p w14:paraId="03C50F69">
      <w:pPr>
        <w:pStyle w:val="35"/>
        <w:bidi w:val="0"/>
      </w:pPr>
      <w:r>
        <w:t>系统以会话为单位保存审核记录。历史会话中保存政策命中结果、规则拆解结果、SQL查询记录、证据卡片、Agent辩论过程、仲裁结论、人工复核意见和报告路径。经办人员或复核人员可以在后续重新打开历史会话，查看当时的取证过程、争议意见和最终报告，实现全过程留痕。</w:t>
      </w:r>
    </w:p>
    <w:p w14:paraId="50254521">
      <w:pPr>
        <w:pStyle w:val="35"/>
        <w:bidi w:val="0"/>
      </w:pPr>
      <w:r>
        <w:t>通过人工复核与报告生成模块，智策惠民从单纯的智能判断系统扩展为可归档、可复查、可追责的政务辅助审核工具。系统既提高了资格审核中的证据组织和风险提示效率，又保留了人工最终确认权，符合政务场景中“机器辅助、人工兜底”的基本要求。</w:t>
      </w:r>
    </w:p>
    <w:p w14:paraId="79870F4B">
      <w:pPr>
        <w:pStyle w:val="35"/>
        <w:bidi w:val="0"/>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475605" cy="4106545"/>
            <wp:effectExtent l="0" t="0" r="10795" b="8255"/>
            <wp:docPr id="13" name="图片 13" descr="a20da5be-e9c9-435e-9989-54ca5cc1d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20da5be-e9c9-435e-9989-54ca5cc1d4b3"/>
                    <pic:cNvPicPr>
                      <a:picLocks noChangeAspect="1"/>
                    </pic:cNvPicPr>
                  </pic:nvPicPr>
                  <pic:blipFill>
                    <a:blip r:embed="rId12"/>
                    <a:stretch>
                      <a:fillRect/>
                    </a:stretch>
                  </pic:blipFill>
                  <pic:spPr>
                    <a:xfrm>
                      <a:off x="0" y="0"/>
                      <a:ext cx="5475605" cy="4106545"/>
                    </a:xfrm>
                    <a:prstGeom prst="rect">
                      <a:avLst/>
                    </a:prstGeom>
                  </pic:spPr>
                </pic:pic>
              </a:graphicData>
            </a:graphic>
          </wp:inline>
        </w:drawing>
      </w:r>
    </w:p>
    <w:p w14:paraId="39BE78F5">
      <w:pPr>
        <w:ind w:left="0" w:leftChars="0" w:firstLine="0" w:firstLineChars="0"/>
        <w:rPr>
          <w:rFonts w:hint="eastAsia"/>
          <w:lang w:val="en-US" w:eastAsia="zh-CN"/>
        </w:rPr>
      </w:pPr>
      <w:r>
        <w:rPr>
          <w:rFonts w:hint="eastAsia"/>
          <w:lang w:val="en-US" w:eastAsia="zh-CN"/>
        </w:rPr>
        <w:br w:type="page"/>
      </w:r>
    </w:p>
    <w:p w14:paraId="3E13EA6C">
      <w:pPr>
        <w:pStyle w:val="3"/>
        <w:bidi w:val="0"/>
        <w:rPr>
          <w:rFonts w:hint="default"/>
          <w:lang w:val="en-US" w:eastAsia="zh-CN"/>
        </w:rPr>
      </w:pPr>
      <w:bookmarkStart w:id="51" w:name="_Toc21693"/>
      <w:r>
        <w:rPr>
          <w:rFonts w:hint="eastAsia"/>
          <w:lang w:val="en-US" w:eastAsia="zh-CN"/>
        </w:rPr>
        <w:t xml:space="preserve">第四章 </w:t>
      </w:r>
      <w:r>
        <w:t>项目</w:t>
      </w:r>
      <w:r>
        <w:rPr>
          <w:rFonts w:hint="eastAsia"/>
          <w:lang w:val="en-US" w:eastAsia="zh-CN"/>
        </w:rPr>
        <w:t>可信链路</w:t>
      </w:r>
      <w:r>
        <w:t>测试</w:t>
      </w:r>
      <w:bookmarkEnd w:id="51"/>
    </w:p>
    <w:p w14:paraId="39BF0C04">
      <w:pPr>
        <w:pStyle w:val="4"/>
        <w:keepNext/>
        <w:widowControl/>
        <w:numPr>
          <w:ilvl w:val="0"/>
          <w:numId w:val="0"/>
        </w:numPr>
        <w:ind w:leftChars="0"/>
        <w:rPr>
          <w:b w:val="0"/>
        </w:rPr>
      </w:pPr>
      <w:bookmarkStart w:id="52" w:name="_Toc27573"/>
      <w:r>
        <w:rPr>
          <w:rFonts w:hint="eastAsia"/>
          <w:vertAlign w:val="baseline"/>
          <w:lang w:val="en-US" w:eastAsia="zh-CN"/>
        </w:rPr>
        <w:t>4</w:t>
      </w:r>
      <w:r>
        <w:rPr>
          <w:rFonts w:hint="eastAsia"/>
          <w:vertAlign w:val="baseline"/>
          <w:lang w:eastAsia="zh-CN"/>
        </w:rPr>
        <w:t xml:space="preserve">.1 </w:t>
      </w:r>
      <w:r>
        <w:rPr>
          <w:vertAlign w:val="baseline"/>
        </w:rPr>
        <w:t>测试目标与测试原则</w:t>
      </w:r>
      <w:bookmarkEnd w:id="52"/>
    </w:p>
    <w:p w14:paraId="302F016F">
      <w:pPr>
        <w:pStyle w:val="35"/>
        <w:widowControl/>
        <w:rPr>
          <w:rFonts w:ascii="Times New Roman" w:hAnsi="Times New Roman" w:eastAsia="宋体" w:cs="Times New Roman"/>
          <w:sz w:val="24"/>
          <w:szCs w:val="24"/>
        </w:rPr>
      </w:pPr>
      <w:r>
        <w:rPr>
          <w:rFonts w:ascii="Times New Roman" w:hAnsi="Times New Roman" w:eastAsia="宋体" w:cs="Times New Roman"/>
          <w:b w:val="0"/>
          <w:i w:val="0"/>
          <w:color w:val="000000"/>
          <w:sz w:val="24"/>
          <w:szCs w:val="24"/>
          <w:vertAlign w:val="baseline"/>
        </w:rPr>
        <w:t>本项目测试的目标是验证“智策通”在政策资格审核场景下是否能够稳定完成从用户诉求输入到证据取证、智能研判、人工复核和报告归档的完整流程。由于系统并不是简单输出一句审核结论，而是强调“先取证、再判断、可复核、可归档”，因此测试内容也围绕设计链路展开，重点检查每个功能模块是否能够形成可追溯的中间结果。</w:t>
      </w:r>
    </w:p>
    <w:p w14:paraId="6D3DD9E7">
      <w:pPr>
        <w:pStyle w:val="35"/>
        <w:widowControl/>
        <w:rPr>
          <w:rFonts w:ascii="Times New Roman" w:hAnsi="Times New Roman" w:eastAsia="宋体" w:cs="Times New Roman"/>
          <w:sz w:val="24"/>
          <w:szCs w:val="24"/>
        </w:rPr>
      </w:pPr>
      <w:r>
        <w:rPr>
          <w:rFonts w:ascii="Times New Roman" w:hAnsi="Times New Roman" w:eastAsia="宋体" w:cs="Times New Roman"/>
          <w:b w:val="0"/>
          <w:i w:val="0"/>
          <w:color w:val="000000"/>
          <w:sz w:val="24"/>
          <w:szCs w:val="24"/>
          <w:vertAlign w:val="baseline"/>
        </w:rPr>
        <w:t>测试遵循三项原则：第一，测试任务要与系统设计功能对应，不能只测试最终结论，还要测试政策识别、规则加载、SQL取证、证据卡片、Agent评议、人工复核和报告下载等关键环节；第二，测试数据要覆盖常规通过、明确不通过、证据缺失、数据冲突和边界待核验等情况；第三，测试结果不仅看准确率，也要关注证据是否可解释、过程是否留痕、人工是否能够介入修正。</w:t>
      </w:r>
    </w:p>
    <w:p w14:paraId="56BFA280">
      <w:pPr>
        <w:pStyle w:val="4"/>
        <w:keepNext/>
        <w:widowControl/>
        <w:numPr>
          <w:ilvl w:val="0"/>
          <w:numId w:val="0"/>
        </w:numPr>
        <w:ind w:leftChars="0"/>
        <w:rPr>
          <w:b w:val="0"/>
        </w:rPr>
      </w:pPr>
      <w:bookmarkStart w:id="53" w:name="_Toc7217"/>
      <w:r>
        <w:rPr>
          <w:rFonts w:hint="eastAsia"/>
          <w:vertAlign w:val="baseline"/>
          <w:lang w:val="en-US" w:eastAsia="zh-CN"/>
        </w:rPr>
        <w:t>4</w:t>
      </w:r>
      <w:r>
        <w:rPr>
          <w:rFonts w:hint="eastAsia"/>
          <w:vertAlign w:val="baseline"/>
          <w:lang w:eastAsia="zh-CN"/>
        </w:rPr>
        <w:t xml:space="preserve">.2 </w:t>
      </w:r>
      <w:r>
        <w:rPr>
          <w:vertAlign w:val="baseline"/>
        </w:rPr>
        <w:t>测试环境与测试数据</w:t>
      </w:r>
      <w:bookmarkEnd w:id="53"/>
    </w:p>
    <w:p w14:paraId="0941FDD6">
      <w:pPr>
        <w:pStyle w:val="35"/>
        <w:widowControl/>
        <w:rPr>
          <w:rFonts w:ascii="Times New Roman" w:hAnsi="Times New Roman" w:eastAsia="宋体" w:cs="Times New Roman"/>
          <w:sz w:val="24"/>
          <w:szCs w:val="24"/>
        </w:rPr>
      </w:pPr>
      <w:r>
        <w:rPr>
          <w:rFonts w:ascii="Times New Roman" w:hAnsi="Times New Roman" w:eastAsia="宋体" w:cs="Times New Roman"/>
          <w:b w:val="0"/>
          <w:i w:val="0"/>
          <w:color w:val="000000"/>
          <w:sz w:val="24"/>
          <w:szCs w:val="24"/>
          <w:vertAlign w:val="baseline"/>
        </w:rPr>
        <w:t>系统测试基于本项目构建的模拟政务业务数据库和人工标注样本进行。数据库内容覆盖人员基础信息、就业登记、困难人员认定、社会保险缴费、工商登记、补贴历史、政策规则和历史会话等数据表，用于模拟基层政务资格审核中常见的多表取证场景。</w:t>
      </w:r>
    </w:p>
    <w:p w14:paraId="4258FFBE">
      <w:pPr>
        <w:pStyle w:val="35"/>
        <w:widowControl/>
        <w:rPr>
          <w:rFonts w:ascii="Times New Roman" w:hAnsi="Times New Roman" w:eastAsia="宋体" w:cs="Times New Roman"/>
          <w:sz w:val="24"/>
          <w:szCs w:val="24"/>
        </w:rPr>
      </w:pPr>
      <w:r>
        <w:rPr>
          <w:rFonts w:ascii="Times New Roman" w:hAnsi="Times New Roman" w:eastAsia="宋体" w:cs="Times New Roman"/>
          <w:b w:val="0"/>
          <w:i w:val="0"/>
          <w:color w:val="000000"/>
          <w:sz w:val="24"/>
          <w:szCs w:val="24"/>
          <w:vertAlign w:val="baseline"/>
        </w:rPr>
        <w:t>测试数据分为两类：一类是T2SQL取证测试样本，用于验证自然语言核查问题能否转化为可执行、可验证的SQL查询；另一类是Agent-Debate研判测试样本，用于验证证据卡片、多Agent辩论和仲裁结论能否支撑资格审核判断。测试样本均围绕灵活就业社会保险补贴、就业困难人员认定、工商状态核查、社保缴费核验和历史补贴领取等典型业务构造。</w:t>
      </w:r>
    </w:p>
    <w:tbl>
      <w:tblPr>
        <w:tblStyle w:val="89"/>
        <w:tblW w:w="87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8"/>
        <w:gridCol w:w="904"/>
        <w:gridCol w:w="3660"/>
        <w:gridCol w:w="2522"/>
      </w:tblGrid>
      <w:tr w14:paraId="73620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036A7278">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17"/>
              </w:rPr>
            </w:pPr>
            <w:r>
              <w:rPr>
                <w:rFonts w:hint="eastAsia" w:ascii="宋体" w:hAnsi="宋体" w:eastAsia="宋体" w:cs="宋体"/>
                <w:b/>
                <w:bCs/>
                <w:i w:val="0"/>
                <w:iCs w:val="0"/>
                <w:color w:val="000000"/>
                <w:spacing w:val="0"/>
                <w:w w:val="100"/>
                <w:sz w:val="17"/>
                <w:szCs w:val="20"/>
                <w:vertAlign w:val="baseline"/>
              </w:rPr>
              <w:t>测试类别</w:t>
            </w:r>
          </w:p>
        </w:tc>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291D35D6">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17"/>
              </w:rPr>
            </w:pPr>
            <w:r>
              <w:rPr>
                <w:rFonts w:hint="eastAsia" w:ascii="宋体" w:hAnsi="宋体" w:eastAsia="宋体" w:cs="宋体"/>
                <w:b/>
                <w:bCs/>
                <w:i w:val="0"/>
                <w:iCs w:val="0"/>
                <w:color w:val="000000"/>
                <w:spacing w:val="0"/>
                <w:w w:val="100"/>
                <w:sz w:val="17"/>
                <w:szCs w:val="20"/>
                <w:vertAlign w:val="baseline"/>
              </w:rPr>
              <w:t>样本规模</w:t>
            </w:r>
          </w:p>
        </w:tc>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62E0EE6A">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17"/>
              </w:rPr>
            </w:pPr>
            <w:r>
              <w:rPr>
                <w:rFonts w:hint="eastAsia" w:ascii="宋体" w:hAnsi="宋体" w:eastAsia="宋体" w:cs="宋体"/>
                <w:b/>
                <w:bCs/>
                <w:i w:val="0"/>
                <w:iCs w:val="0"/>
                <w:color w:val="000000"/>
                <w:spacing w:val="0"/>
                <w:w w:val="100"/>
                <w:sz w:val="17"/>
                <w:szCs w:val="20"/>
                <w:vertAlign w:val="baseline"/>
              </w:rPr>
              <w:t>主要覆盖内容</w:t>
            </w:r>
          </w:p>
        </w:tc>
        <w:tc>
          <w:tcPr>
            <w:tcW w:w="2522" w:type="dxa"/>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387376A1">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17"/>
              </w:rPr>
            </w:pPr>
            <w:r>
              <w:rPr>
                <w:rFonts w:hint="eastAsia" w:ascii="宋体" w:hAnsi="宋体" w:eastAsia="宋体" w:cs="宋体"/>
                <w:b/>
                <w:bCs/>
                <w:i w:val="0"/>
                <w:iCs w:val="0"/>
                <w:color w:val="000000"/>
                <w:spacing w:val="0"/>
                <w:w w:val="100"/>
                <w:sz w:val="17"/>
                <w:szCs w:val="20"/>
                <w:vertAlign w:val="baseline"/>
              </w:rPr>
              <w:t>标注或验证方式</w:t>
            </w:r>
          </w:p>
        </w:tc>
      </w:tr>
      <w:tr w14:paraId="578F4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3E0BBCDB">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T2SQL简单单表查询</w:t>
            </w:r>
          </w:p>
        </w:tc>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7110BA60">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约40条</w:t>
            </w:r>
          </w:p>
        </w:tc>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490CE42B">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人员生存状态、就业状态、基础身份信息</w:t>
            </w:r>
          </w:p>
        </w:tc>
        <w:tc>
          <w:tcPr>
            <w:tcW w:w="2522" w:type="dxa"/>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2E245955">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人工编写Gold SQL或标准结果</w:t>
            </w:r>
          </w:p>
        </w:tc>
      </w:tr>
      <w:tr w14:paraId="0B969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0D3382D">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T2SQL条件筛选查询</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63C72B30">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约45条</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DE482F5">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正常缴费记录、有效登记状态、指定人员过滤</w:t>
            </w:r>
          </w:p>
        </w:tc>
        <w:tc>
          <w:tcPr>
            <w:tcW w:w="2522" w:type="dxa"/>
            <w:tcBorders>
              <w:top w:val="nil"/>
              <w:left w:val="nil"/>
              <w:bottom w:val="nil"/>
              <w:right w:val="nil"/>
            </w:tcBorders>
            <w:shd w:val="clear" w:color="auto" w:fill="auto"/>
            <w:noWrap w:val="0"/>
            <w:tcMar>
              <w:top w:w="-1" w:type="dxa"/>
              <w:left w:w="72" w:type="dxa"/>
              <w:bottom w:w="-1" w:type="dxa"/>
              <w:right w:w="72" w:type="dxa"/>
            </w:tcMar>
            <w:vAlign w:val="center"/>
          </w:tcPr>
          <w:p w14:paraId="3F2870BD">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Gold SQL + 执行结果比对</w:t>
            </w:r>
          </w:p>
        </w:tc>
      </w:tr>
      <w:tr w14:paraId="2E2E8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687B0790">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T2SQL聚合统计查询</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88933AB">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约35条</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AE7B70C">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补贴领取月数、缴费月份统计、历史记录汇总</w:t>
            </w:r>
          </w:p>
        </w:tc>
        <w:tc>
          <w:tcPr>
            <w:tcW w:w="2522" w:type="dxa"/>
            <w:tcBorders>
              <w:top w:val="nil"/>
              <w:left w:val="nil"/>
              <w:bottom w:val="nil"/>
              <w:right w:val="nil"/>
            </w:tcBorders>
            <w:shd w:val="clear" w:color="auto" w:fill="auto"/>
            <w:noWrap w:val="0"/>
            <w:tcMar>
              <w:top w:w="-1" w:type="dxa"/>
              <w:left w:w="72" w:type="dxa"/>
              <w:bottom w:w="-1" w:type="dxa"/>
              <w:right w:w="72" w:type="dxa"/>
            </w:tcMar>
            <w:vAlign w:val="center"/>
          </w:tcPr>
          <w:p w14:paraId="42146B51">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Gold SQL + 结果一致性验证</w:t>
            </w:r>
          </w:p>
        </w:tc>
      </w:tr>
      <w:tr w14:paraId="00B69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498EBBAA">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T2SQL多表关联查询</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37CA276F">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约40条</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13B7A36C">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人员、社保、工商、补贴历史联合核查</w:t>
            </w:r>
          </w:p>
        </w:tc>
        <w:tc>
          <w:tcPr>
            <w:tcW w:w="2522" w:type="dxa"/>
            <w:tcBorders>
              <w:top w:val="nil"/>
              <w:left w:val="nil"/>
              <w:bottom w:val="nil"/>
              <w:right w:val="nil"/>
            </w:tcBorders>
            <w:shd w:val="clear" w:color="auto" w:fill="auto"/>
            <w:noWrap w:val="0"/>
            <w:tcMar>
              <w:top w:w="-1" w:type="dxa"/>
              <w:left w:w="72" w:type="dxa"/>
              <w:bottom w:w="-1" w:type="dxa"/>
              <w:right w:w="72" w:type="dxa"/>
            </w:tcMar>
            <w:vAlign w:val="center"/>
          </w:tcPr>
          <w:p w14:paraId="1CE35C99">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Gold SQL + 人工复核</w:t>
            </w:r>
          </w:p>
        </w:tc>
      </w:tr>
      <w:tr w14:paraId="347A6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D1326CA">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Agent简单样本</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549C631B">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约20条</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47786BAC">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明确符合或明确不符合的审核场景</w:t>
            </w:r>
          </w:p>
        </w:tc>
        <w:tc>
          <w:tcPr>
            <w:tcW w:w="2522" w:type="dxa"/>
            <w:tcBorders>
              <w:top w:val="nil"/>
              <w:left w:val="nil"/>
              <w:bottom w:val="nil"/>
              <w:right w:val="nil"/>
            </w:tcBorders>
            <w:shd w:val="clear" w:color="auto" w:fill="auto"/>
            <w:noWrap w:val="0"/>
            <w:tcMar>
              <w:top w:w="-1" w:type="dxa"/>
              <w:left w:w="72" w:type="dxa"/>
              <w:bottom w:w="-1" w:type="dxa"/>
              <w:right w:w="72" w:type="dxa"/>
            </w:tcMar>
            <w:vAlign w:val="center"/>
          </w:tcPr>
          <w:p w14:paraId="61C82FC4">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人工结论标注</w:t>
            </w:r>
          </w:p>
        </w:tc>
      </w:tr>
      <w:tr w14:paraId="2BF53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025C4C5">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Agent中等样本</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38566825">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约20条</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09FFBD4B">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材料缺失、边界条件、多条件组合判断</w:t>
            </w:r>
          </w:p>
        </w:tc>
        <w:tc>
          <w:tcPr>
            <w:tcW w:w="2522" w:type="dxa"/>
            <w:tcBorders>
              <w:top w:val="nil"/>
              <w:left w:val="nil"/>
              <w:bottom w:val="nil"/>
              <w:right w:val="nil"/>
            </w:tcBorders>
            <w:shd w:val="clear" w:color="auto" w:fill="auto"/>
            <w:noWrap w:val="0"/>
            <w:tcMar>
              <w:top w:w="-1" w:type="dxa"/>
              <w:left w:w="72" w:type="dxa"/>
              <w:bottom w:w="-1" w:type="dxa"/>
              <w:right w:w="72" w:type="dxa"/>
            </w:tcMar>
            <w:vAlign w:val="center"/>
          </w:tcPr>
          <w:p w14:paraId="1400998A">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人工理由标注</w:t>
            </w:r>
          </w:p>
        </w:tc>
      </w:tr>
      <w:tr w14:paraId="4F7D7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88"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78E75B2B">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Agent复杂样本</w:t>
            </w:r>
          </w:p>
        </w:tc>
        <w:tc>
          <w:tcPr>
            <w:tcW w:w="904"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4B06CBA5">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约10条</w:t>
            </w:r>
          </w:p>
        </w:tc>
        <w:tc>
          <w:tcPr>
            <w:tcW w:w="3660"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7AEC8A42">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证据冲突、风险复核、争议待核验案例</w:t>
            </w:r>
          </w:p>
        </w:tc>
        <w:tc>
          <w:tcPr>
            <w:tcW w:w="2522"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0F15292B">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人工结论与争议点标注</w:t>
            </w:r>
          </w:p>
        </w:tc>
      </w:tr>
    </w:tbl>
    <w:p w14:paraId="7B5B88A7">
      <w:pPr>
        <w:pStyle w:val="277"/>
        <w:widowControl/>
      </w:pPr>
      <w:r>
        <w:rPr>
          <w:vertAlign w:val="baseline"/>
        </w:rPr>
        <w:t>表5-1 测试数据构成与标注方式</w:t>
      </w:r>
    </w:p>
    <w:p w14:paraId="25BB5718">
      <w:pPr>
        <w:pStyle w:val="4"/>
        <w:keepNext/>
        <w:widowControl/>
        <w:numPr>
          <w:ilvl w:val="0"/>
          <w:numId w:val="0"/>
        </w:numPr>
        <w:ind w:leftChars="0"/>
        <w:rPr>
          <w:b w:val="0"/>
        </w:rPr>
      </w:pPr>
      <w:bookmarkStart w:id="54" w:name="_Toc23684"/>
      <w:r>
        <w:rPr>
          <w:rFonts w:hint="eastAsia"/>
          <w:vertAlign w:val="baseline"/>
          <w:lang w:val="en-US" w:eastAsia="zh-CN"/>
        </w:rPr>
        <w:t>4</w:t>
      </w:r>
      <w:r>
        <w:rPr>
          <w:rFonts w:hint="eastAsia"/>
          <w:vertAlign w:val="baseline"/>
          <w:lang w:eastAsia="zh-CN"/>
        </w:rPr>
        <w:t xml:space="preserve">.3 </w:t>
      </w:r>
      <w:r>
        <w:rPr>
          <w:vertAlign w:val="baseline"/>
        </w:rPr>
        <w:t>T2SQL数据取证链路测试</w:t>
      </w:r>
      <w:bookmarkEnd w:id="54"/>
    </w:p>
    <w:p w14:paraId="60D544A7">
      <w:pPr>
        <w:pStyle w:val="35"/>
        <w:widowControl/>
        <w:rPr>
          <w:rFonts w:ascii="Times New Roman" w:hAnsi="Times New Roman" w:eastAsia="宋体" w:cs="Times New Roman"/>
          <w:sz w:val="24"/>
          <w:szCs w:val="24"/>
        </w:rPr>
      </w:pPr>
      <w:r>
        <w:rPr>
          <w:rFonts w:ascii="Times New Roman" w:hAnsi="Times New Roman" w:eastAsia="宋体" w:cs="Times New Roman"/>
          <w:b w:val="0"/>
          <w:i w:val="0"/>
          <w:color w:val="000000"/>
          <w:sz w:val="24"/>
          <w:szCs w:val="24"/>
          <w:vertAlign w:val="baseline"/>
        </w:rPr>
        <w:t>T2SQL链路是系统实现“证据先行”的核心模块，主要测试自然语言核查问题能否转化为正确SQL，并从数据库中返回符合政策审核目标的结果。该链路重点考察三个方面：SQL是否能够执行，执行结果是否与Gold SQL一致，以及在字段错误、表名不匹配、空结果或结构漂移时系统是否能够进行诊断和有限修复。</w:t>
      </w:r>
    </w:p>
    <w:tbl>
      <w:tblPr>
        <w:tblStyle w:val="89"/>
        <w:tblW w:w="87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6"/>
        <w:gridCol w:w="3616"/>
        <w:gridCol w:w="3616"/>
      </w:tblGrid>
      <w:tr w14:paraId="5C855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3BCE8653">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17"/>
              </w:rPr>
            </w:pPr>
            <w:r>
              <w:rPr>
                <w:rFonts w:hint="eastAsia" w:ascii="宋体" w:hAnsi="宋体" w:eastAsia="宋体" w:cs="宋体"/>
                <w:b/>
                <w:bCs/>
                <w:i w:val="0"/>
                <w:iCs w:val="0"/>
                <w:color w:val="000000"/>
                <w:spacing w:val="0"/>
                <w:w w:val="100"/>
                <w:sz w:val="17"/>
                <w:szCs w:val="20"/>
                <w:vertAlign w:val="baseline"/>
              </w:rPr>
              <w:t>测试方法</w:t>
            </w:r>
          </w:p>
        </w:tc>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4FEA9161">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17"/>
              </w:rPr>
            </w:pPr>
            <w:r>
              <w:rPr>
                <w:rFonts w:hint="eastAsia" w:ascii="宋体" w:hAnsi="宋体" w:eastAsia="宋体" w:cs="宋体"/>
                <w:b/>
                <w:bCs/>
                <w:i w:val="0"/>
                <w:iCs w:val="0"/>
                <w:color w:val="000000"/>
                <w:spacing w:val="0"/>
                <w:w w:val="100"/>
                <w:sz w:val="17"/>
                <w:szCs w:val="20"/>
                <w:vertAlign w:val="baseline"/>
              </w:rPr>
              <w:t>设置说明</w:t>
            </w:r>
          </w:p>
        </w:tc>
        <w:tc>
          <w:tcPr>
            <w:tcW w:w="3616" w:type="dxa"/>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71B0A0C3">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17"/>
              </w:rPr>
            </w:pPr>
            <w:r>
              <w:rPr>
                <w:rFonts w:hint="eastAsia" w:ascii="宋体" w:hAnsi="宋体" w:eastAsia="宋体" w:cs="宋体"/>
                <w:b/>
                <w:bCs/>
                <w:i w:val="0"/>
                <w:iCs w:val="0"/>
                <w:color w:val="000000"/>
                <w:spacing w:val="0"/>
                <w:w w:val="100"/>
                <w:sz w:val="17"/>
                <w:szCs w:val="20"/>
                <w:vertAlign w:val="baseline"/>
              </w:rPr>
              <w:t>重点观察内容</w:t>
            </w:r>
          </w:p>
        </w:tc>
      </w:tr>
      <w:tr w14:paraId="175B6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625D360D">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Direct LLM</w:t>
            </w:r>
          </w:p>
        </w:tc>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7257945E">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仅根据自然语言核查问题直接生成SQL</w:t>
            </w:r>
          </w:p>
        </w:tc>
        <w:tc>
          <w:tcPr>
            <w:tcW w:w="3616" w:type="dxa"/>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255B0879">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观察缺少Schema约束时的表名、字段名和逻辑偏差</w:t>
            </w:r>
          </w:p>
        </w:tc>
      </w:tr>
      <w:tr w14:paraId="2D043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6B6F9CAD">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Schema-aware LLM</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3EE19911">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在提示中加入数据库Schema和字段说明</w:t>
            </w:r>
          </w:p>
        </w:tc>
        <w:tc>
          <w:tcPr>
            <w:tcW w:w="3616" w:type="dxa"/>
            <w:tcBorders>
              <w:top w:val="nil"/>
              <w:left w:val="nil"/>
              <w:bottom w:val="nil"/>
              <w:right w:val="nil"/>
            </w:tcBorders>
            <w:shd w:val="clear" w:color="auto" w:fill="auto"/>
            <w:noWrap w:val="0"/>
            <w:tcMar>
              <w:top w:w="-1" w:type="dxa"/>
              <w:left w:w="72" w:type="dxa"/>
              <w:bottom w:w="-1" w:type="dxa"/>
              <w:right w:w="72" w:type="dxa"/>
            </w:tcMar>
            <w:vAlign w:val="center"/>
          </w:tcPr>
          <w:p w14:paraId="16D65B0D">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观察Schema约束对可执行性的提升作用</w:t>
            </w:r>
          </w:p>
        </w:tc>
      </w:tr>
      <w:tr w14:paraId="19341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36E33E35">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Harness w/o Repair</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035BD8F">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保留执行校验和结果比对，但关闭自动修复</w:t>
            </w:r>
          </w:p>
        </w:tc>
        <w:tc>
          <w:tcPr>
            <w:tcW w:w="3616" w:type="dxa"/>
            <w:tcBorders>
              <w:top w:val="nil"/>
              <w:left w:val="nil"/>
              <w:bottom w:val="nil"/>
              <w:right w:val="nil"/>
            </w:tcBorders>
            <w:shd w:val="clear" w:color="auto" w:fill="auto"/>
            <w:noWrap w:val="0"/>
            <w:tcMar>
              <w:top w:w="-1" w:type="dxa"/>
              <w:left w:w="72" w:type="dxa"/>
              <w:bottom w:w="-1" w:type="dxa"/>
              <w:right w:w="72" w:type="dxa"/>
            </w:tcMar>
            <w:vAlign w:val="center"/>
          </w:tcPr>
          <w:p w14:paraId="1613D6C7">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观察校验链路本身对错误发现的作用</w:t>
            </w:r>
          </w:p>
        </w:tc>
      </w:tr>
      <w:tr w14:paraId="30673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46"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3D98D8D5">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Full SQL Harness</w:t>
            </w:r>
          </w:p>
        </w:tc>
        <w:tc>
          <w:tcPr>
            <w:tcW w:w="3616"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0B045442">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启用Schema约束、执行反馈、结果比对和自动修复</w:t>
            </w:r>
          </w:p>
        </w:tc>
        <w:tc>
          <w:tcPr>
            <w:tcW w:w="3616"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5C350B30">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观察完整链路对结果匹配率和稳定性的提升</w:t>
            </w:r>
          </w:p>
        </w:tc>
      </w:tr>
    </w:tbl>
    <w:p w14:paraId="47157A88">
      <w:pPr>
        <w:pStyle w:val="277"/>
        <w:widowControl/>
        <w:rPr>
          <w:vertAlign w:val="baseline"/>
        </w:rPr>
      </w:pPr>
      <w:r>
        <w:rPr>
          <w:vertAlign w:val="baseline"/>
        </w:rPr>
        <w:t>表5-2 T2SQL链路对比测试设置</w:t>
      </w:r>
    </w:p>
    <w:p w14:paraId="7699C040">
      <w:pPr>
        <w:pStyle w:val="2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956810" cy="2159000"/>
            <wp:effectExtent l="0" t="0" r="8890" b="0"/>
            <wp:docPr id="6" name="图片 6" descr="06_sql_progress_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6_sql_progress_trajectory"/>
                    <pic:cNvPicPr>
                      <a:picLocks noChangeAspect="1"/>
                    </pic:cNvPicPr>
                  </pic:nvPicPr>
                  <pic:blipFill>
                    <a:blip r:embed="rId13"/>
                    <a:srcRect t="8113"/>
                    <a:stretch>
                      <a:fillRect/>
                    </a:stretch>
                  </pic:blipFill>
                  <pic:spPr>
                    <a:xfrm>
                      <a:off x="0" y="0"/>
                      <a:ext cx="4956810" cy="2159000"/>
                    </a:xfrm>
                    <a:prstGeom prst="rect">
                      <a:avLst/>
                    </a:prstGeom>
                  </pic:spPr>
                </pic:pic>
              </a:graphicData>
            </a:graphic>
          </wp:inline>
        </w:drawing>
      </w:r>
    </w:p>
    <w:p w14:paraId="78007CB3">
      <w:pPr>
        <w:pStyle w:val="22"/>
        <w:bidi w:val="0"/>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SQL结果匹配率随链路增强的提升轨迹</w:t>
      </w:r>
    </w:p>
    <w:p w14:paraId="26A5F05A">
      <w:pPr>
        <w:pStyle w:val="23"/>
      </w:pPr>
      <w:r>
        <w:rPr>
          <w:rFonts w:hint="eastAsia"/>
          <w:lang w:eastAsia="zh-CN"/>
        </w:rPr>
        <w:t>图9展示了T2SQL链路逐步增强后结果匹配率的变化趋势。随着Schema约束、执行校验、结果比对和自动修复机制的加入，系统结果匹配率持续提升，说明完整SQL Harness能够有效改善大模型直接生成SQL时常见的表字段幻觉、查询逻辑偏差和执行失败问题。</w:t>
      </w:r>
    </w:p>
    <w:p w14:paraId="0A44986D">
      <w:pPr>
        <w:pStyle w:val="35"/>
        <w:widowControl/>
        <w:rPr>
          <w:rFonts w:ascii="Times New Roman" w:hAnsi="Times New Roman" w:eastAsia="宋体" w:cs="Times New Roman"/>
          <w:sz w:val="24"/>
          <w:szCs w:val="24"/>
        </w:rPr>
      </w:pPr>
      <w:r>
        <w:rPr>
          <w:rFonts w:ascii="Times New Roman" w:hAnsi="Times New Roman" w:eastAsia="宋体" w:cs="Times New Roman"/>
          <w:b w:val="0"/>
          <w:i w:val="0"/>
          <w:color w:val="000000"/>
          <w:sz w:val="24"/>
          <w:szCs w:val="24"/>
          <w:vertAlign w:val="baseline"/>
        </w:rPr>
        <w:t>测试结果显示，随着Schema约束、执行校验、结果比对和自动修复机制逐步加入，SQL取证链路的稳定性持续提升。完整链路Full SQL Harness在模拟测试样本上的SQL结果匹配率达到91.24%，相较关闭修复机制的版本提升约23.38个百分点。这说明系统中的SQL执行反馈和自动修复机制能够有效减少表字段幻觉、语法异常和查询语义偏差，使自然语言核查问题更稳定地落到真实数据库取证结果上。</w:t>
      </w:r>
    </w:p>
    <w:p w14:paraId="6892C76B">
      <w:pPr>
        <w:pStyle w:val="35"/>
        <w:widowControl/>
        <w:rPr>
          <w:rFonts w:ascii="Times New Roman" w:hAnsi="Times New Roman" w:eastAsia="宋体" w:cs="Times New Roman"/>
          <w:b w:val="0"/>
          <w:i w:val="0"/>
          <w:color w:val="000000"/>
          <w:sz w:val="24"/>
          <w:szCs w:val="24"/>
          <w:vertAlign w:val="baseline"/>
        </w:rPr>
      </w:pPr>
      <w:r>
        <w:rPr>
          <w:rFonts w:ascii="Times New Roman" w:hAnsi="Times New Roman" w:eastAsia="宋体" w:cs="Times New Roman"/>
          <w:b w:val="0"/>
          <w:i w:val="0"/>
          <w:color w:val="000000"/>
          <w:sz w:val="24"/>
          <w:szCs w:val="24"/>
          <w:vertAlign w:val="baseline"/>
        </w:rPr>
        <w:t>从不同任务类型看，简单查询和条件筛选任务主要验证字段映射与过滤条件是否正确；聚合统计任务主要验证补贴月数、缴费月份等数量型证据是否计算准确；多表关联任务则更接近真实资格审核流程，能够验证系统是否可以围绕同一申请人从人员、就业、社保、工商和补贴历史等多个来源形成证据链。</w:t>
      </w:r>
    </w:p>
    <w:p w14:paraId="289817C4">
      <w:pPr>
        <w:pStyle w:val="2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957445" cy="2683510"/>
            <wp:effectExtent l="0" t="0" r="8255" b="8890"/>
            <wp:docPr id="8" name="图片 8" descr="02_sql_repair_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2_sql_repair_effect"/>
                    <pic:cNvPicPr>
                      <a:picLocks noChangeAspect="1"/>
                    </pic:cNvPicPr>
                  </pic:nvPicPr>
                  <pic:blipFill>
                    <a:blip r:embed="rId14"/>
                    <a:srcRect t="7208"/>
                    <a:stretch>
                      <a:fillRect/>
                    </a:stretch>
                  </pic:blipFill>
                  <pic:spPr>
                    <a:xfrm>
                      <a:off x="0" y="0"/>
                      <a:ext cx="4957445" cy="2683510"/>
                    </a:xfrm>
                    <a:prstGeom prst="rect">
                      <a:avLst/>
                    </a:prstGeom>
                  </pic:spPr>
                </pic:pic>
              </a:graphicData>
            </a:graphic>
          </wp:inline>
        </w:drawing>
      </w:r>
    </w:p>
    <w:p w14:paraId="7397FC14">
      <w:pPr>
        <w:pStyle w:val="22"/>
        <w:bidi w:val="0"/>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自动修复与漂移检测带来的可靠性提升</w:t>
      </w:r>
    </w:p>
    <w:p w14:paraId="7EE6BA52">
      <w:pPr>
        <w:pStyle w:val="23"/>
        <w:bidi w:val="0"/>
        <w:ind w:left="0" w:leftChars="0" w:firstLine="420" w:firstLineChars="0"/>
        <w:rPr>
          <w:rFonts w:hint="eastAsia" w:eastAsia="宋体"/>
          <w:lang w:eastAsia="zh-CN"/>
        </w:rPr>
      </w:pPr>
      <w:r>
        <w:rPr>
          <w:rFonts w:hint="eastAsia" w:eastAsia="宋体"/>
          <w:lang w:eastAsia="zh-CN"/>
        </w:rPr>
        <w:t>图10展示了自动修复与结构漂移检测对取证可靠性的影响。完整SQL Harness不仅提升了SQL查询结果的正确性，也降低了结构漂移告警率，说明系统能够减少“SQL能够执行但查询结构偏离用户意图”的风险。</w:t>
      </w:r>
    </w:p>
    <w:p w14:paraId="0539E695">
      <w:pPr>
        <w:pStyle w:val="23"/>
        <w:bidi w:val="0"/>
        <w:ind w:left="0" w:leftChars="0" w:firstLine="420" w:firstLineChars="0"/>
        <w:rPr>
          <w:rFonts w:hint="eastAsia" w:eastAsia="宋体"/>
          <w:lang w:eastAsia="zh-CN"/>
        </w:rPr>
      </w:pPr>
      <w:r>
        <w:rPr>
          <w:rFonts w:hint="eastAsia" w:eastAsia="宋体"/>
          <w:lang w:eastAsia="zh-CN"/>
        </w:rPr>
        <w:t>为进一步验证系统在不同SQL任务类型上的适应性，本文对条件筛选、多表关联、简单查询和聚合统计等场景进行了分类统计。</w:t>
      </w:r>
    </w:p>
    <w:p w14:paraId="63D35569">
      <w:pPr>
        <w:pStyle w:val="2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957445" cy="2304415"/>
            <wp:effectExtent l="0" t="0" r="8255" b="6985"/>
            <wp:docPr id="9" name="图片 9" descr="07_sql_category_match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7_sql_category_match_comparison"/>
                    <pic:cNvPicPr>
                      <a:picLocks noChangeAspect="1"/>
                    </pic:cNvPicPr>
                  </pic:nvPicPr>
                  <pic:blipFill>
                    <a:blip r:embed="rId15"/>
                    <a:srcRect t="7858"/>
                    <a:stretch>
                      <a:fillRect/>
                    </a:stretch>
                  </pic:blipFill>
                  <pic:spPr>
                    <a:xfrm>
                      <a:off x="0" y="0"/>
                      <a:ext cx="4957445" cy="2304415"/>
                    </a:xfrm>
                    <a:prstGeom prst="rect">
                      <a:avLst/>
                    </a:prstGeom>
                  </pic:spPr>
                </pic:pic>
              </a:graphicData>
            </a:graphic>
          </wp:inline>
        </w:drawing>
      </w:r>
    </w:p>
    <w:p w14:paraId="572C5AF7">
      <w:pPr>
        <w:pStyle w:val="22"/>
        <w:bidi w:val="0"/>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不同SQL场景下的结果匹配表现</w:t>
      </w:r>
    </w:p>
    <w:p w14:paraId="13B4000A">
      <w:pPr>
        <w:pStyle w:val="23"/>
        <w:bidi w:val="0"/>
        <w:ind w:left="0" w:leftChars="0" w:firstLine="420" w:firstLineChars="0"/>
        <w:rPr>
          <w:rFonts w:ascii="Times New Roman" w:hAnsi="Times New Roman" w:eastAsia="宋体" w:cs="Times New Roman"/>
          <w:b w:val="0"/>
          <w:i w:val="0"/>
          <w:color w:val="000000"/>
          <w:sz w:val="24"/>
          <w:szCs w:val="24"/>
          <w:vertAlign w:val="baseline"/>
        </w:rPr>
      </w:pPr>
      <w:r>
        <w:rPr>
          <w:rFonts w:hint="eastAsia" w:eastAsia="宋体"/>
          <w:lang w:eastAsia="zh-CN"/>
        </w:rPr>
        <w:t>图11展示了不同SQL场景下的结果匹配表现。可以看出，完整SQL Harness在简单查询、条件筛选、聚合统计和多表关联等场景下均取得较稳定表现，说明该链路的提升并不依赖单一问题类型，而具有一定的场景适应能力。</w:t>
      </w:r>
    </w:p>
    <w:p w14:paraId="34EABA4B">
      <w:pPr>
        <w:pStyle w:val="4"/>
        <w:keepNext/>
        <w:widowControl/>
        <w:numPr>
          <w:ilvl w:val="0"/>
          <w:numId w:val="0"/>
        </w:numPr>
        <w:ind w:leftChars="0"/>
        <w:rPr>
          <w:b w:val="0"/>
        </w:rPr>
      </w:pPr>
      <w:bookmarkStart w:id="55" w:name="_Toc20588"/>
      <w:r>
        <w:rPr>
          <w:rFonts w:hint="eastAsia"/>
          <w:vertAlign w:val="baseline"/>
          <w:lang w:val="en-US" w:eastAsia="zh-CN"/>
        </w:rPr>
        <w:t>4</w:t>
      </w:r>
      <w:r>
        <w:rPr>
          <w:rFonts w:hint="eastAsia"/>
          <w:vertAlign w:val="baseline"/>
          <w:lang w:eastAsia="zh-CN"/>
        </w:rPr>
        <w:t xml:space="preserve">.4 </w:t>
      </w:r>
      <w:r>
        <w:rPr>
          <w:vertAlign w:val="baseline"/>
        </w:rPr>
        <w:t>多Agent研判链路测试</w:t>
      </w:r>
      <w:bookmarkEnd w:id="55"/>
    </w:p>
    <w:p w14:paraId="47FCCA6C">
      <w:pPr>
        <w:pStyle w:val="35"/>
        <w:widowControl/>
        <w:rPr>
          <w:rFonts w:ascii="Times New Roman" w:hAnsi="Times New Roman" w:eastAsia="宋体" w:cs="Times New Roman"/>
          <w:sz w:val="24"/>
          <w:szCs w:val="24"/>
        </w:rPr>
      </w:pPr>
      <w:r>
        <w:rPr>
          <w:rFonts w:ascii="Times New Roman" w:hAnsi="Times New Roman" w:eastAsia="宋体" w:cs="Times New Roman"/>
          <w:b w:val="0"/>
          <w:i w:val="0"/>
          <w:color w:val="000000"/>
          <w:sz w:val="24"/>
          <w:szCs w:val="24"/>
          <w:vertAlign w:val="baseline"/>
        </w:rPr>
        <w:t>多Agent研判链路的测试重点是验证系统是否能够在证据卡片基础上形成可靠、可解释、可复核的审核意见。测试时不仅比较最终结论是否与人工标注一致，也考察Agent是否引用证据、是否识别冲突、是否能够在证据不足时给出保守判断。</w:t>
      </w:r>
    </w:p>
    <w:tbl>
      <w:tblPr>
        <w:tblStyle w:val="89"/>
        <w:tblW w:w="87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2"/>
        <w:gridCol w:w="3947"/>
        <w:gridCol w:w="3225"/>
      </w:tblGrid>
      <w:tr w14:paraId="03CBC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3C8F8739">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17"/>
              </w:rPr>
            </w:pPr>
            <w:r>
              <w:rPr>
                <w:rFonts w:hint="eastAsia" w:ascii="宋体" w:hAnsi="宋体" w:eastAsia="宋体" w:cs="宋体"/>
                <w:b/>
                <w:bCs/>
                <w:i w:val="0"/>
                <w:iCs w:val="0"/>
                <w:color w:val="000000"/>
                <w:spacing w:val="0"/>
                <w:w w:val="100"/>
                <w:sz w:val="17"/>
                <w:szCs w:val="20"/>
                <w:vertAlign w:val="baseline"/>
              </w:rPr>
              <w:t>测试方法</w:t>
            </w:r>
          </w:p>
        </w:tc>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077AF6E1">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17"/>
              </w:rPr>
            </w:pPr>
            <w:r>
              <w:rPr>
                <w:rFonts w:hint="eastAsia" w:ascii="宋体" w:hAnsi="宋体" w:eastAsia="宋体" w:cs="宋体"/>
                <w:b/>
                <w:bCs/>
                <w:i w:val="0"/>
                <w:iCs w:val="0"/>
                <w:color w:val="000000"/>
                <w:spacing w:val="0"/>
                <w:w w:val="100"/>
                <w:sz w:val="17"/>
                <w:szCs w:val="20"/>
                <w:vertAlign w:val="baseline"/>
              </w:rPr>
              <w:t>设置说明</w:t>
            </w:r>
          </w:p>
        </w:tc>
        <w:tc>
          <w:tcPr>
            <w:tcW w:w="3225" w:type="dxa"/>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63F3243E">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17"/>
              </w:rPr>
            </w:pPr>
            <w:r>
              <w:rPr>
                <w:rFonts w:hint="eastAsia" w:ascii="宋体" w:hAnsi="宋体" w:eastAsia="宋体" w:cs="宋体"/>
                <w:b/>
                <w:bCs/>
                <w:i w:val="0"/>
                <w:iCs w:val="0"/>
                <w:color w:val="000000"/>
                <w:spacing w:val="0"/>
                <w:w w:val="100"/>
                <w:sz w:val="17"/>
                <w:szCs w:val="20"/>
                <w:vertAlign w:val="baseline"/>
              </w:rPr>
              <w:t>测试目的</w:t>
            </w:r>
          </w:p>
        </w:tc>
      </w:tr>
      <w:tr w14:paraId="1498F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3B436A1B">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Single Agent</w:t>
            </w:r>
          </w:p>
        </w:tc>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7A2EA701">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单一Agent直接根据材料给出判断</w:t>
            </w:r>
          </w:p>
        </w:tc>
        <w:tc>
          <w:tcPr>
            <w:tcW w:w="3225" w:type="dxa"/>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319F19EF">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测试单模型基础判断能力</w:t>
            </w:r>
          </w:p>
        </w:tc>
      </w:tr>
      <w:tr w14:paraId="7D700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0747EA90">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Pro-Con Debate</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13E588D8">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使用正反视角Agent进行简单讨论</w:t>
            </w:r>
          </w:p>
        </w:tc>
        <w:tc>
          <w:tcPr>
            <w:tcW w:w="3225" w:type="dxa"/>
            <w:tcBorders>
              <w:top w:val="nil"/>
              <w:left w:val="nil"/>
              <w:bottom w:val="nil"/>
              <w:right w:val="nil"/>
            </w:tcBorders>
            <w:shd w:val="clear" w:color="auto" w:fill="auto"/>
            <w:noWrap w:val="0"/>
            <w:tcMar>
              <w:top w:w="-1" w:type="dxa"/>
              <w:left w:w="72" w:type="dxa"/>
              <w:bottom w:w="-1" w:type="dxa"/>
              <w:right w:w="72" w:type="dxa"/>
            </w:tcMar>
            <w:vAlign w:val="center"/>
          </w:tcPr>
          <w:p w14:paraId="756B766B">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测试基本辩论结构对理由充分性的提升</w:t>
            </w:r>
          </w:p>
        </w:tc>
      </w:tr>
      <w:tr w14:paraId="1985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14F29FC8">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No Evidence</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28935B76">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保留多Agent讨论，但弱化或移除证据卡片约束</w:t>
            </w:r>
          </w:p>
        </w:tc>
        <w:tc>
          <w:tcPr>
            <w:tcW w:w="3225" w:type="dxa"/>
            <w:tcBorders>
              <w:top w:val="nil"/>
              <w:left w:val="nil"/>
              <w:bottom w:val="nil"/>
              <w:right w:val="nil"/>
            </w:tcBorders>
            <w:shd w:val="clear" w:color="auto" w:fill="auto"/>
            <w:noWrap w:val="0"/>
            <w:tcMar>
              <w:top w:w="-1" w:type="dxa"/>
              <w:left w:w="72" w:type="dxa"/>
              <w:bottom w:w="-1" w:type="dxa"/>
              <w:right w:w="72" w:type="dxa"/>
            </w:tcMar>
            <w:vAlign w:val="center"/>
          </w:tcPr>
          <w:p w14:paraId="4ED17AC0">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测试证据约束对可信推理的影响</w:t>
            </w:r>
          </w:p>
        </w:tc>
      </w:tr>
      <w:tr w14:paraId="059AD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02"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0250815B">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Full Multi-Agent</w:t>
            </w:r>
          </w:p>
        </w:tc>
        <w:tc>
          <w:tcPr>
            <w:tcW w:w="3947"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60D87A8E">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启用证据卡片、多角色评议和保守仲裁</w:t>
            </w:r>
          </w:p>
        </w:tc>
        <w:tc>
          <w:tcPr>
            <w:tcW w:w="3225"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3383DD84">
            <w:pPr>
              <w:pStyle w:val="82"/>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rPr>
            </w:pPr>
            <w:r>
              <w:rPr>
                <w:rFonts w:hint="eastAsia" w:ascii="宋体" w:hAnsi="宋体" w:eastAsia="宋体" w:cs="宋体"/>
                <w:b w:val="0"/>
                <w:bCs w:val="0"/>
                <w:i w:val="0"/>
                <w:iCs w:val="0"/>
                <w:color w:val="000000"/>
                <w:spacing w:val="0"/>
                <w:w w:val="100"/>
                <w:sz w:val="16"/>
                <w:szCs w:val="19"/>
                <w:vertAlign w:val="baseline"/>
              </w:rPr>
              <w:t>测试完整研判链路效果</w:t>
            </w:r>
          </w:p>
        </w:tc>
      </w:tr>
    </w:tbl>
    <w:p w14:paraId="02ACAE3C">
      <w:pPr>
        <w:pStyle w:val="277"/>
        <w:widowControl/>
        <w:rPr>
          <w:vertAlign w:val="baseline"/>
        </w:rPr>
      </w:pPr>
      <w:r>
        <w:rPr>
          <w:vertAlign w:val="baseline"/>
        </w:rPr>
        <w:t>表5-3 多Agent链路对比测试设置</w:t>
      </w:r>
    </w:p>
    <w:p w14:paraId="5216DADE">
      <w:pPr>
        <w:pStyle w:val="23"/>
        <w:bidi w:val="0"/>
        <w:ind w:left="0" w:leftChars="0" w:firstLine="0" w:firstLineChars="0"/>
        <w:jc w:val="center"/>
        <w:rPr>
          <w:rFonts w:hint="eastAsia"/>
        </w:rPr>
      </w:pPr>
      <w:r>
        <w:rPr>
          <w:rFonts w:hint="eastAsia"/>
        </w:rPr>
        <w:drawing>
          <wp:inline distT="0" distB="0" distL="114300" distR="114300">
            <wp:extent cx="5273675" cy="2097405"/>
            <wp:effectExtent l="0" t="0" r="9525" b="10795"/>
            <wp:docPr id="10" name="图片 10" descr="03_agent_ablatio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3_agent_ablation_comparison"/>
                    <pic:cNvPicPr>
                      <a:picLocks noChangeAspect="1"/>
                    </pic:cNvPicPr>
                  </pic:nvPicPr>
                  <pic:blipFill>
                    <a:blip r:embed="rId16"/>
                    <a:srcRect t="6958"/>
                    <a:stretch>
                      <a:fillRect/>
                    </a:stretch>
                  </pic:blipFill>
                  <pic:spPr>
                    <a:xfrm>
                      <a:off x="0" y="0"/>
                      <a:ext cx="5273675" cy="2097405"/>
                    </a:xfrm>
                    <a:prstGeom prst="rect">
                      <a:avLst/>
                    </a:prstGeom>
                  </pic:spPr>
                </pic:pic>
              </a:graphicData>
            </a:graphic>
          </wp:inline>
        </w:drawing>
      </w:r>
    </w:p>
    <w:p w14:paraId="3E966242">
      <w:pPr>
        <w:pStyle w:val="22"/>
        <w:bidi w:val="0"/>
        <w:ind w:left="0" w:leftChars="0" w:firstLine="0" w:firstLineChars="0"/>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Agent链路消融对比结果</w:t>
      </w:r>
    </w:p>
    <w:p w14:paraId="3F1994A5">
      <w:pPr>
        <w:pStyle w:val="23"/>
        <w:bidi w:val="0"/>
      </w:pPr>
      <w:r>
        <w:rPr>
          <w:rFonts w:hint="eastAsia"/>
          <w:lang w:eastAsia="zh-CN"/>
        </w:rPr>
        <w:t>图12展示了不同Agent链路结构下的消融对比结果。Single Agent能够完成基础判断，但在理由完整性和证据引用方面不足；Pro-Con Debate通过正反视角讨论提升了分析充分性；No Evidence组在缺少证据卡片约束后表现下降，说明多Agent讨论如果缺乏事实依据，仍可能形成不可靠判断；Full Multi-Agent在证据约束、多角色评议和仲裁机制共同作用下取得最优表现。</w:t>
      </w:r>
    </w:p>
    <w:p w14:paraId="401CEEB1">
      <w:pPr>
        <w:pStyle w:val="35"/>
        <w:widowControl/>
        <w:rPr>
          <w:rFonts w:ascii="Times New Roman" w:hAnsi="Times New Roman" w:eastAsia="宋体" w:cs="Times New Roman"/>
          <w:sz w:val="24"/>
          <w:szCs w:val="24"/>
        </w:rPr>
      </w:pPr>
      <w:r>
        <w:rPr>
          <w:rFonts w:ascii="Times New Roman" w:hAnsi="Times New Roman" w:eastAsia="宋体" w:cs="Times New Roman"/>
          <w:b w:val="0"/>
          <w:i w:val="0"/>
          <w:color w:val="000000"/>
          <w:sz w:val="24"/>
          <w:szCs w:val="24"/>
          <w:vertAlign w:val="baseline"/>
        </w:rPr>
        <w:t>测试结果表明，完整多Agent链路在结论准确率、综合质量分、证据引用率和严格通过率等指标上表现更稳定。其中，Full Multi-Agent在模拟样本上的综合质量分达到93.27%，结论准确率达到92.18%，证据引用率达到87.43%，严格通过率达到74.36%。这说明证据卡片约束、多角色评议和保守仲裁共同提升了系统的审查质量。</w:t>
      </w:r>
    </w:p>
    <w:p w14:paraId="3F0B196E">
      <w:pPr>
        <w:pStyle w:val="35"/>
        <w:widowControl/>
        <w:rPr>
          <w:rFonts w:ascii="Times New Roman" w:hAnsi="Times New Roman" w:eastAsia="宋体" w:cs="Times New Roman"/>
          <w:b w:val="0"/>
          <w:i w:val="0"/>
          <w:color w:val="000000"/>
          <w:sz w:val="24"/>
          <w:szCs w:val="24"/>
          <w:vertAlign w:val="baseline"/>
        </w:rPr>
      </w:pPr>
      <w:r>
        <w:rPr>
          <w:rFonts w:ascii="Times New Roman" w:hAnsi="Times New Roman" w:eastAsia="宋体" w:cs="Times New Roman"/>
          <w:b w:val="0"/>
          <w:i w:val="0"/>
          <w:color w:val="000000"/>
          <w:sz w:val="24"/>
          <w:szCs w:val="24"/>
          <w:vertAlign w:val="baseline"/>
        </w:rPr>
        <w:t>与Single Agent相比，多Agent机制能够从严格合规、业务解释、探索分析、经验归纳和审计挑战等角度补充意见；与No Evidence相比，证据卡片约束可以减少模型脱离事实进行推理的风险。尤其在材料缺失或规则冲突样本中，系统不会简单输出“通过”，而是倾向于标记为“需补证”或“需人工确认”，这更符合政务审核中审慎处理争议案例的要求。</w:t>
      </w:r>
    </w:p>
    <w:p w14:paraId="22D9F63A">
      <w:pPr>
        <w:pStyle w:val="2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60140" cy="3165475"/>
            <wp:effectExtent l="0" t="0" r="10160" b="9525"/>
            <wp:docPr id="11" name="图片 11" descr="05_agent_rada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5_agent_radar_comparison"/>
                    <pic:cNvPicPr>
                      <a:picLocks noChangeAspect="1"/>
                    </pic:cNvPicPr>
                  </pic:nvPicPr>
                  <pic:blipFill>
                    <a:blip r:embed="rId17"/>
                    <a:srcRect t="5666"/>
                    <a:stretch>
                      <a:fillRect/>
                    </a:stretch>
                  </pic:blipFill>
                  <pic:spPr>
                    <a:xfrm>
                      <a:off x="0" y="0"/>
                      <a:ext cx="3660140" cy="3165475"/>
                    </a:xfrm>
                    <a:prstGeom prst="rect">
                      <a:avLst/>
                    </a:prstGeom>
                  </pic:spPr>
                </pic:pic>
              </a:graphicData>
            </a:graphic>
          </wp:inline>
        </w:drawing>
      </w:r>
    </w:p>
    <w:p w14:paraId="7B7113FE">
      <w:pPr>
        <w:pStyle w:val="22"/>
        <w:bidi w:val="0"/>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典型Agent链路能力轮廓对比</w:t>
      </w:r>
    </w:p>
    <w:p w14:paraId="10FF6625">
      <w:pPr>
        <w:pStyle w:val="23"/>
        <w:bidi w:val="0"/>
        <w:rPr>
          <w:rFonts w:hint="eastAsia"/>
          <w:lang w:eastAsia="zh-CN"/>
        </w:rPr>
      </w:pPr>
      <w:r>
        <w:rPr>
          <w:rFonts w:hint="eastAsia"/>
          <w:lang w:val="en-US" w:eastAsia="zh-CN"/>
        </w:rPr>
        <w:t>此外，</w:t>
      </w:r>
      <w:r>
        <w:rPr>
          <w:rFonts w:hint="eastAsia"/>
          <w:lang w:eastAsia="zh-CN"/>
        </w:rPr>
        <w:t>为进一步分析最佳链路在不同类型样本上的表现，本文对Full Multi-Agent在不同难度样本中的测试结果进行了分类统计，典型Agent链路的能力轮廓对比如图13所示，直观展示了各链路在结论准确率、证据引用率等维度上的表现差异。</w:t>
      </w:r>
    </w:p>
    <w:p w14:paraId="1A668CB5">
      <w:pPr>
        <w:pStyle w:val="23"/>
        <w:bidi w:val="0"/>
        <w:rPr>
          <w:rFonts w:hint="eastAsia"/>
          <w:lang w:eastAsia="zh-CN"/>
        </w:rPr>
      </w:pPr>
      <w:r>
        <w:rPr>
          <w:rFonts w:hint="eastAsia"/>
          <w:lang w:eastAsia="zh-CN"/>
        </w:rPr>
        <w:t>从分类结果来看，Full Multi-Agent在simple样本中能够稳定给出正确结论，说明系统对常规政策审查任务具有较强的基础处理能力；在medium样本中，系统仍能保持较好的结论判断和证据引用能力，说明证据卡片和多角色讨论能够有效支撑材料缺失、条件边界等场景下的判断；在complex样本中，虽然任务难度明显提高，但系统仍能够识别冲突信号，并通过仲裁机制给出较为稳定的最终结论。如图14所示，Full Multi-Agent在不同类型样本中的指标表现验证了系统的场景适应能力，该结果说明，完整多智能体链路不仅在总体指标上表现较好，也能够适应不同复杂度的政策审查样本。</w:t>
      </w:r>
    </w:p>
    <w:p w14:paraId="6CA1A7A7">
      <w:pPr>
        <w:pStyle w:val="23"/>
        <w:ind w:left="0" w:leftChars="0" w:firstLine="0" w:firstLineChars="0"/>
        <w:rPr>
          <w:rFonts w:hint="eastAsia"/>
          <w:lang w:eastAsia="zh-CN"/>
        </w:rPr>
      </w:pPr>
      <w:r>
        <w:rPr>
          <w:rFonts w:hint="eastAsia"/>
          <w:lang w:eastAsia="zh-CN"/>
        </w:rPr>
        <w:drawing>
          <wp:inline distT="0" distB="0" distL="114300" distR="114300">
            <wp:extent cx="5267325" cy="2326005"/>
            <wp:effectExtent l="0" t="0" r="3175" b="10795"/>
            <wp:docPr id="18" name="图片 18" descr="08_agent_category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8_agent_category_performance"/>
                    <pic:cNvPicPr>
                      <a:picLocks noChangeAspect="1"/>
                    </pic:cNvPicPr>
                  </pic:nvPicPr>
                  <pic:blipFill>
                    <a:blip r:embed="rId18"/>
                    <a:srcRect t="8631"/>
                    <a:stretch>
                      <a:fillRect/>
                    </a:stretch>
                  </pic:blipFill>
                  <pic:spPr>
                    <a:xfrm>
                      <a:off x="0" y="0"/>
                      <a:ext cx="5267325" cy="2326005"/>
                    </a:xfrm>
                    <a:prstGeom prst="rect">
                      <a:avLst/>
                    </a:prstGeom>
                  </pic:spPr>
                </pic:pic>
              </a:graphicData>
            </a:graphic>
          </wp:inline>
        </w:drawing>
      </w:r>
    </w:p>
    <w:p w14:paraId="56218563">
      <w:pPr>
        <w:pStyle w:val="22"/>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Full Multi-Agent不同类型样本指标表现</w:t>
      </w:r>
    </w:p>
    <w:p w14:paraId="4EC2FA1B">
      <w:pPr>
        <w:pStyle w:val="4"/>
        <w:keepNext/>
        <w:widowControl/>
        <w:numPr>
          <w:ilvl w:val="0"/>
          <w:numId w:val="0"/>
        </w:numPr>
        <w:ind w:leftChars="0"/>
        <w:rPr>
          <w:b w:val="0"/>
        </w:rPr>
      </w:pPr>
      <w:bookmarkStart w:id="56" w:name="_Toc6015"/>
      <w:r>
        <w:rPr>
          <w:rFonts w:hint="eastAsia"/>
          <w:vertAlign w:val="baseline"/>
          <w:lang w:val="en-US" w:eastAsia="zh-CN"/>
        </w:rPr>
        <w:t>4</w:t>
      </w:r>
      <w:r>
        <w:rPr>
          <w:rFonts w:hint="eastAsia"/>
          <w:vertAlign w:val="baseline"/>
          <w:lang w:eastAsia="zh-CN"/>
        </w:rPr>
        <w:t>.</w:t>
      </w:r>
      <w:r>
        <w:rPr>
          <w:rFonts w:hint="eastAsia"/>
          <w:vertAlign w:val="baseline"/>
          <w:lang w:val="en-US" w:eastAsia="zh-CN"/>
        </w:rPr>
        <w:t>5</w:t>
      </w:r>
      <w:r>
        <w:rPr>
          <w:rFonts w:hint="eastAsia"/>
          <w:vertAlign w:val="baseline"/>
          <w:lang w:eastAsia="zh-CN"/>
        </w:rPr>
        <w:t xml:space="preserve"> </w:t>
      </w:r>
      <w:r>
        <w:rPr>
          <w:vertAlign w:val="baseline"/>
        </w:rPr>
        <w:t>测试结论</w:t>
      </w:r>
      <w:bookmarkEnd w:id="56"/>
    </w:p>
    <w:p w14:paraId="69C40881">
      <w:pPr>
        <w:pStyle w:val="35"/>
        <w:widowControl/>
        <w:rPr>
          <w:rFonts w:ascii="Times New Roman" w:hAnsi="Times New Roman" w:eastAsia="宋体" w:cs="Times New Roman"/>
          <w:sz w:val="24"/>
          <w:szCs w:val="24"/>
        </w:rPr>
      </w:pPr>
      <w:r>
        <w:rPr>
          <w:rFonts w:ascii="Times New Roman" w:hAnsi="Times New Roman" w:eastAsia="宋体" w:cs="Times New Roman"/>
          <w:b w:val="0"/>
          <w:i w:val="0"/>
          <w:color w:val="000000"/>
          <w:sz w:val="24"/>
          <w:szCs w:val="24"/>
          <w:vertAlign w:val="baseline"/>
        </w:rPr>
        <w:t>综合各项测试可以看出，本系统在模拟政务资格审核场景中已经具备较完整的工程闭环。T2SQL链路验证了系统能够围绕政策规则进行动态取证；证据卡片验证了查询结果能够被结构化展示和复核；多Agent链路验证了系统能够基于证据进行多角度评议；人工复核与报告生成验证了最终结果能够被确认、归档和追溯。</w:t>
      </w:r>
    </w:p>
    <w:p w14:paraId="52C61B2A">
      <w:pPr>
        <w:pStyle w:val="35"/>
        <w:widowControl/>
        <w:rPr>
          <w:rFonts w:ascii="Times New Roman" w:hAnsi="Times New Roman" w:eastAsia="宋体" w:cs="Times New Roman"/>
          <w:b w:val="0"/>
          <w:i w:val="0"/>
          <w:color w:val="000000"/>
          <w:sz w:val="24"/>
          <w:szCs w:val="24"/>
          <w:vertAlign w:val="baseline"/>
        </w:rPr>
      </w:pPr>
      <w:r>
        <w:rPr>
          <w:rFonts w:ascii="Times New Roman" w:hAnsi="Times New Roman" w:eastAsia="宋体" w:cs="Times New Roman"/>
          <w:b w:val="0"/>
          <w:i w:val="0"/>
          <w:color w:val="000000"/>
          <w:sz w:val="24"/>
          <w:szCs w:val="24"/>
          <w:vertAlign w:val="baseline"/>
        </w:rPr>
        <w:t>需要说明的是，当前测试主要基于项目构造的模拟业务数据库和人工标注样本，能够证明系统设计链路的可用性和合理性，但仍不能完全替代真实政务数据环境下的长期运行测试。后续若接入真实业务系统，还需要进一步开展权限控制、数据接口稳定性、并发性能、异常数据质量和用户操作流程等方面的测试。</w:t>
      </w:r>
    </w:p>
    <w:p w14:paraId="7A0D3EA2">
      <w:pPr>
        <w:rPr>
          <w:rFonts w:ascii="Times New Roman" w:hAnsi="Times New Roman" w:eastAsia="宋体" w:cs="Times New Roman"/>
          <w:b w:val="0"/>
          <w:i w:val="0"/>
          <w:color w:val="000000"/>
          <w:sz w:val="24"/>
          <w:szCs w:val="24"/>
          <w:vertAlign w:val="baseline"/>
        </w:rPr>
      </w:pPr>
      <w:r>
        <w:rPr>
          <w:rFonts w:ascii="Times New Roman" w:hAnsi="Times New Roman" w:eastAsia="宋体" w:cs="Times New Roman"/>
          <w:b w:val="0"/>
          <w:i w:val="0"/>
          <w:color w:val="000000"/>
          <w:sz w:val="24"/>
          <w:szCs w:val="24"/>
          <w:vertAlign w:val="baseline"/>
        </w:rPr>
        <w:br w:type="page"/>
      </w:r>
    </w:p>
    <w:p w14:paraId="67A862A3">
      <w:pPr>
        <w:pStyle w:val="3"/>
        <w:keepNext/>
        <w:widowControl/>
        <w:numPr>
          <w:ilvl w:val="0"/>
          <w:numId w:val="0"/>
        </w:numPr>
        <w:ind w:leftChars="0"/>
        <w:rPr>
          <w:b w:val="0"/>
        </w:rPr>
      </w:pPr>
      <w:bookmarkStart w:id="57" w:name="_Toc21908"/>
      <w:r>
        <w:rPr>
          <w:rFonts w:hint="eastAsia"/>
          <w:vertAlign w:val="baseline"/>
          <w:lang w:val="en-US" w:eastAsia="zh-CN"/>
        </w:rPr>
        <w:t>第五章</w:t>
      </w:r>
      <w:r>
        <w:rPr>
          <w:rFonts w:hint="eastAsia"/>
          <w:vertAlign w:val="baseline"/>
          <w:lang w:eastAsia="zh-CN"/>
        </w:rPr>
        <w:t xml:space="preserve"> </w:t>
      </w:r>
      <w:r>
        <w:rPr>
          <w:vertAlign w:val="baseline"/>
        </w:rPr>
        <w:t>项目创新点</w:t>
      </w:r>
      <w:bookmarkEnd w:id="57"/>
    </w:p>
    <w:p w14:paraId="5356FBEC">
      <w:pPr>
        <w:pStyle w:val="4"/>
        <w:bidi w:val="0"/>
      </w:pPr>
      <w:bookmarkStart w:id="58" w:name="_Toc11865"/>
      <w:r>
        <w:rPr>
          <w:rFonts w:hint="eastAsia"/>
          <w:lang w:val="en-US" w:eastAsia="zh-CN"/>
        </w:rPr>
        <w:t>5</w:t>
      </w:r>
      <w:r>
        <w:t>.1 总体创新思路</w:t>
      </w:r>
      <w:bookmarkEnd w:id="58"/>
    </w:p>
    <w:p w14:paraId="77824100">
      <w:pPr>
        <w:pStyle w:val="35"/>
        <w:bidi w:val="0"/>
      </w:pPr>
      <w:r>
        <w:t>本项目的创新不在于简单调用大模型回答“是否符合政策”，而在于将大模型能力放入一个可验证、可追溯、可复核的政务审核流程中。系统通过政策规则结构化、T2SQL动态取证、证据卡片组织、多Agent辩论仲裁、人工复核和报告留痕，将资格审核从传统的“经验判断”转化为“证据链驱动的辅助研判”。</w:t>
      </w:r>
    </w:p>
    <w:p w14:paraId="2BCCB72B">
      <w:pPr>
        <w:pStyle w:val="35"/>
        <w:bidi w:val="0"/>
      </w:pPr>
      <w:r>
        <w:t>相较于普通政务问答系统，本项目更强调数据库事实和政策规则之间的对应关系；相较于传统规则引擎，本项目能够处理自然语言诉求、动态生成取证SQL、解释证据差异并识别争议案例；相较于普通多Agent讨论，本项目进一步引入证据卡片约束和保守仲裁机制，使不同Agent的判断意见能够回溯到具体政策规则和数据库证据。</w:t>
      </w:r>
    </w:p>
    <w:p w14:paraId="07B7799F">
      <w:pPr>
        <w:pStyle w:val="35"/>
        <w:bidi w:val="0"/>
      </w:pPr>
      <w:r>
        <w:t>因此，智策惠民的创新重点体现在五个方面：一是证据约束下的多Agent辩论仲裁机制；二是规则驱动的T2SQL证据链取证机制；三是面向执行反馈的SQL自诊断修复机制；四是面向规则类型的证据语义判定机制；五是人工复核参与的全链路留痕机制。系统整体具有“规则可配置、证据可追溯、辩论可解释、结果可复核”的综合特点。</w:t>
      </w:r>
    </w:p>
    <w:p w14:paraId="3F54621E">
      <w:pPr>
        <w:pStyle w:val="4"/>
        <w:bidi w:val="0"/>
      </w:pPr>
      <w:bookmarkStart w:id="59" w:name="_Toc17451"/>
      <w:r>
        <w:rPr>
          <w:rFonts w:hint="eastAsia"/>
          <w:lang w:val="en-US" w:eastAsia="zh-CN"/>
        </w:rPr>
        <w:t>5</w:t>
      </w:r>
      <w:r>
        <w:t>.2 证据约束下的多Agent辩论仲裁机制</w:t>
      </w:r>
      <w:bookmarkEnd w:id="59"/>
    </w:p>
    <w:p w14:paraId="055639F6">
      <w:pPr>
        <w:pStyle w:val="35"/>
        <w:bidi w:val="0"/>
      </w:pPr>
      <w:r>
        <w:t>第一项创新是证据约束下的多Agent辩论仲裁机制。传统大模型直接判断容易出现事实依据不透明、结论难以复核和过度自信等问题；普通多Agent讨论如果缺少统一事实约束，也可能只是多个模型观点的堆叠，仍然无法满足政务审核对依据清晰、风险可控和过程留痕的要求。</w:t>
      </w:r>
    </w:p>
    <w:p w14:paraId="62A559FB">
      <w:pPr>
        <w:pStyle w:val="35"/>
        <w:bidi w:val="0"/>
      </w:pPr>
      <w:r>
        <w:t>为解决这一问题，智策惠民不是让多个Agent自由聊天，而是先通过T2SQL模块围绕政策规则完成数据库取证，并将查询结果封装为标准化证据卡片。随后，严格合规Agent、宽松业务Agent、探索分析Agent、经验归纳Agent和审计挑战Agent围绕同一组政策规则、证据卡片和对象画像进行辩论。各Agent不独立生成事实，也不脱离证据自由判断，而是在已有证据基础上从不同审查角度提出意见。</w:t>
      </w:r>
    </w:p>
    <w:p w14:paraId="5D149B2F">
      <w:pPr>
        <w:pStyle w:val="35"/>
        <w:bidi w:val="0"/>
      </w:pPr>
      <w:r>
        <w:t>在角色分工上，严格合规Agent关注硬性政策条件、关键材料缺失和排除情形，防止系统在证据不足时过度放行；宽松业务Agent关注已证实事实、便民办理空间和非实质性风险，避免把技术性缺失直接等同于资格不符；探索分析Agent关注跨表冲突、边界情况和潜在异常；经验归纳Agent从典型案例和业务经验角度辅助解释；审计挑战Agent关注政策口径、责任风险和报告是否经得起复查。</w:t>
      </w:r>
    </w:p>
    <w:p w14:paraId="25F756D4">
      <w:pPr>
        <w:pStyle w:val="35"/>
        <w:bidi w:val="0"/>
      </w:pPr>
      <w:r>
        <w:t>在输出约束上，各Agent需要给出判断立场、引用证据、理由说明、风险提示和是否建议人工复核。仲裁Agent不简单采用多数投票，而是综合证据充分性、规则重要性、排除条件命中情况和Agent意见分歧程度形成辅助结论。当关键证据不足、排除条件命中或Agent意见冲突明显时，系统不直接输出确定通过结论，而是标记为“需人工复核”或“需补充材料”。</w:t>
      </w:r>
    </w:p>
    <w:p w14:paraId="4CFE9A9C">
      <w:pPr>
        <w:pStyle w:val="35"/>
        <w:bidi w:val="0"/>
      </w:pPr>
      <w:r>
        <w:t>该机制的价值在于，将多Agent从普通的多角色问答升级为面向政务资格审核的证据化辩论系统。它既能暴露不同审查视角下的分歧，又能把每个观点追溯到具体证据卡片和政策规则，为人工复核、历史回放和公文式报告生成提供依据。</w:t>
      </w:r>
    </w:p>
    <w:p w14:paraId="56226042">
      <w:pPr>
        <w:pStyle w:val="4"/>
        <w:bidi w:val="0"/>
      </w:pPr>
      <w:bookmarkStart w:id="60" w:name="_Toc22207"/>
      <w:r>
        <w:rPr>
          <w:rFonts w:hint="eastAsia"/>
          <w:lang w:val="en-US" w:eastAsia="zh-CN"/>
        </w:rPr>
        <w:t>5</w:t>
      </w:r>
      <w:r>
        <w:t>.3 规则驱动的T2SQL证据链取证机制</w:t>
      </w:r>
      <w:bookmarkEnd w:id="60"/>
    </w:p>
    <w:p w14:paraId="7E52E3CB">
      <w:pPr>
        <w:pStyle w:val="35"/>
        <w:bidi w:val="0"/>
      </w:pPr>
      <w:r>
        <w:t>第二项创新是规则驱动的T2SQL证据链取证机制。系统不是直接让模型生成审核结论，而是先把政策条款拆解为结构化规则，并为每条规则生成明确的核查任务。例如，针对“不得存在有效工商登记”这一排除条件，系统会生成工商登记核查SQL；针对“需正常缴纳社会保险”这一必要条件，系统会生成社保缴费状态和缴费月份核查SQL。</w:t>
      </w:r>
    </w:p>
    <w:p w14:paraId="7D19C527">
      <w:pPr>
        <w:pStyle w:val="35"/>
        <w:bidi w:val="0"/>
      </w:pPr>
      <w:r>
        <w:t>这样设计的优势在于，SQL查询结果不再只是后台数据，而是成为审核证据链的一部分。每条规则都能够对应具体SQL、查询结果和证据摘要，便于经办人员判断系统结论是否有依据，也便于后续审计和复查。</w:t>
      </w:r>
    </w:p>
    <w:p w14:paraId="5148AFA6">
      <w:pPr>
        <w:pStyle w:val="35"/>
        <w:bidi w:val="0"/>
      </w:pPr>
      <w:r>
        <w:t>同时，T2SQL取证结果也是多Agent辩论仲裁机制的事实基础。只有先形成可追溯的数据库证据，后续Agent才能在统一证据链上进行观点比较、分歧暴露和风险研判。因此，T2SQL在本系统中不是单纯的数据查询接口，而是连接政策规则、数据库事实和智能研判过程的核心取证环节。</w:t>
      </w:r>
    </w:p>
    <w:p w14:paraId="43E0B87A">
      <w:pPr>
        <w:pStyle w:val="4"/>
        <w:bidi w:val="0"/>
      </w:pPr>
      <w:bookmarkStart w:id="61" w:name="_Toc17817"/>
      <w:r>
        <w:rPr>
          <w:rFonts w:hint="eastAsia"/>
          <w:lang w:val="en-US" w:eastAsia="zh-CN"/>
        </w:rPr>
        <w:t>5</w:t>
      </w:r>
      <w:r>
        <w:t>.4 面向执行反馈的SQL自诊断修复机制</w:t>
      </w:r>
      <w:bookmarkEnd w:id="61"/>
    </w:p>
    <w:p w14:paraId="21CF11B7">
      <w:pPr>
        <w:pStyle w:val="35"/>
        <w:bidi w:val="0"/>
      </w:pPr>
      <w:r>
        <w:t>第三项创新是面向执行反馈的SQL自诊断修复机制。实际项目中，Text-to-SQL容易出现字段名错误、表名不匹配、语法异常、查询条件偏差或空结果误判等问题。如果系统直接使用未经验证的SQL结果，可能导致后续证据解释和Agent判断产生偏差。</w:t>
      </w:r>
    </w:p>
    <w:p w14:paraId="4555CEFC">
      <w:pPr>
        <w:pStyle w:val="35"/>
        <w:bidi w:val="0"/>
      </w:pPr>
      <w:r>
        <w:t>为提高取证链路稳定性，本系统在SQL生成后引入真实数据库执行和错误反馈，将执行失败、空结果、结构漂移和结果不匹配等信息记录下来，并在有限轮次内进行修复。修复过程不会覆盖原始执行记录，而是作为证据链的一部分保留。</w:t>
      </w:r>
    </w:p>
    <w:p w14:paraId="6AD2792F">
      <w:pPr>
        <w:pStyle w:val="35"/>
        <w:bidi w:val="0"/>
      </w:pPr>
      <w:r>
        <w:t>该机制能够提高自动取证链路的可执行性，也使失败过程本身可追溯。即使SQL未能成功修复，系统也会保留失败原因和诊断信息，而不是把错误隐藏在最终结论中。这一点符合政务审核对过程透明和责任留痕的要求，也能为后续Agent辩论和人工复核提供更可靠的取证上下文。</w:t>
      </w:r>
    </w:p>
    <w:p w14:paraId="5EB123B4">
      <w:pPr>
        <w:pStyle w:val="4"/>
        <w:bidi w:val="0"/>
      </w:pPr>
      <w:bookmarkStart w:id="62" w:name="_Toc23868"/>
      <w:r>
        <w:rPr>
          <w:rFonts w:hint="eastAsia"/>
          <w:lang w:val="en-US" w:eastAsia="zh-CN"/>
        </w:rPr>
        <w:t>5</w:t>
      </w:r>
      <w:r>
        <w:t>.5 面向规则类型的证据语义判定机制</w:t>
      </w:r>
      <w:bookmarkEnd w:id="62"/>
    </w:p>
    <w:p w14:paraId="544B7882">
      <w:pPr>
        <w:pStyle w:val="35"/>
        <w:bidi w:val="0"/>
      </w:pPr>
      <w:r>
        <w:t>第四项创新是面向规则类型的证据语义判定机制。政务资格审核中，“查到数据”和“查不到数据”的含义并不固定。例如，对于必须满足条件，未查询到有效记录可能表示条件不足；但对于必须排除条件，未查询到风险记录反而可能支持通过。</w:t>
      </w:r>
    </w:p>
    <w:p w14:paraId="4AE100DF">
      <w:pPr>
        <w:pStyle w:val="35"/>
        <w:bidi w:val="0"/>
      </w:pPr>
      <w:r>
        <w:t>本系统将政策规则划分为“必须满足”“必须排除”“灵活评判”等类型，并根据规则类型解释查询结果。对于必须满足条件，查到有效事实通常支持通过，查不到可能提示条件不足；对于必须排除条件，查到风险事实通常反对通过，查不到则表示未发现该项风险；对于灵活评判条件，系统保留上下文和诊断信息，交由多Agent辩论系统和人工复核进一步判断。</w:t>
      </w:r>
    </w:p>
    <w:p w14:paraId="04A3F3AD">
      <w:pPr>
        <w:pStyle w:val="35"/>
        <w:bidi w:val="0"/>
      </w:pPr>
      <w:r>
        <w:t>该设计避免了简单使用“有数据/无数据”进行资格判断，尤其适合处理工商登记、历史补贴、缴费连续性、身份状态变更和数据同步延迟等容易产生误判的政务场景。通过规则类型语义判定，系统能够让证据卡片不仅记录查询结果，还说明该结果在具体政策规则下的审核含义。</w:t>
      </w:r>
    </w:p>
    <w:p w14:paraId="346CD5C9">
      <w:pPr>
        <w:pStyle w:val="4"/>
        <w:bidi w:val="0"/>
      </w:pPr>
      <w:bookmarkStart w:id="63" w:name="_Toc8690"/>
      <w:r>
        <w:rPr>
          <w:rFonts w:hint="eastAsia"/>
          <w:lang w:val="en-US" w:eastAsia="zh-CN"/>
        </w:rPr>
        <w:t>5</w:t>
      </w:r>
      <w:r>
        <w:t>.6 人工复核参与的全链路留痕机制</w:t>
      </w:r>
      <w:bookmarkEnd w:id="63"/>
    </w:p>
    <w:p w14:paraId="4086D5A4">
      <w:pPr>
        <w:pStyle w:val="35"/>
        <w:bidi w:val="0"/>
      </w:pPr>
      <w:r>
        <w:t>第五项创新是人工复核参与的全链路留痕机制。政务资格审核不能完全依赖模型自动结论，因此系统保留经办人员最终确认权。对于证据不足、数据冲突、排除条件命中或Agent意见分歧明显的情况，系统会提示人工补证或人工确认。</w:t>
      </w:r>
    </w:p>
    <w:p w14:paraId="061C82F0">
      <w:pPr>
        <w:pStyle w:val="35"/>
        <w:bidi w:val="0"/>
      </w:pPr>
      <w:r>
        <w:t>人工可以针对具体规则补充材料、填写复核意见并确认最终立场，系统再根据人工复核结果更新仲裁结论和正式报告。人工复核意见不是独立于系统之外的备注，而是进入最终审核链路，参与报告生成和历史归档。</w:t>
      </w:r>
    </w:p>
    <w:p w14:paraId="1E075939">
      <w:pPr>
        <w:pStyle w:val="35"/>
        <w:bidi w:val="0"/>
      </w:pPr>
      <w:r>
        <w:t>该机制使系统从“智能演示工具”转向“可落地的辅助审核工具”。系统不仅展示结果，还保存政策命中、取证SQL、证据摘要、Agent辩论过程、仲裁结果、人工复核记录和报告路径，使一次审核能够被回放、复查和归档。通过全链路留痕，系统能够回答“依据什么判断”“哪些证据支持”“哪些Agent存在分歧”“为什么需要人工复核”等问题，更符合政务资格审核的可解释和可追责要求。</w:t>
      </w:r>
    </w:p>
    <w:tbl>
      <w:tblPr>
        <w:tblStyle w:val="89"/>
        <w:tblW w:w="87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1"/>
        <w:gridCol w:w="2580"/>
        <w:gridCol w:w="4567"/>
      </w:tblGrid>
      <w:tr w14:paraId="42E0A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4AE47B4F">
            <w:pPr>
              <w:keepNext w:val="0"/>
              <w:keepLines w:val="0"/>
              <w:widowControl/>
              <w:suppressLineNumbers w:val="0"/>
              <w:snapToGrid w:val="0"/>
              <w:spacing w:line="240" w:lineRule="auto"/>
              <w:ind w:left="0" w:leftChars="0" w:right="0" w:rightChars="0" w:firstLine="0" w:firstLineChars="0"/>
              <w:jc w:val="center"/>
              <w:rPr>
                <w:rFonts w:ascii="宋体" w:eastAsia="宋体"/>
                <w:b/>
                <w:sz w:val="16"/>
                <w:szCs w:val="16"/>
              </w:rPr>
            </w:pPr>
            <w:r>
              <w:rPr>
                <w:rFonts w:ascii="宋体" w:hAnsi="宋体" w:eastAsia="宋体" w:cs="宋体"/>
                <w:b/>
                <w:bCs/>
                <w:color w:val="auto"/>
                <w:kern w:val="0"/>
                <w:sz w:val="16"/>
                <w:szCs w:val="16"/>
                <w:lang w:val="en-US" w:eastAsia="zh-CN" w:bidi="ar"/>
              </w:rPr>
              <w:t>创新点</w:t>
            </w:r>
          </w:p>
        </w:tc>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4FCC24F3">
            <w:pPr>
              <w:keepNext w:val="0"/>
              <w:keepLines w:val="0"/>
              <w:widowControl/>
              <w:suppressLineNumbers w:val="0"/>
              <w:snapToGrid w:val="0"/>
              <w:spacing w:line="240" w:lineRule="auto"/>
              <w:ind w:left="0" w:leftChars="0" w:right="0" w:rightChars="0" w:firstLine="0" w:firstLineChars="0"/>
              <w:jc w:val="center"/>
              <w:rPr>
                <w:rFonts w:ascii="宋体" w:eastAsia="宋体"/>
                <w:b/>
                <w:sz w:val="16"/>
                <w:szCs w:val="16"/>
              </w:rPr>
            </w:pPr>
            <w:r>
              <w:rPr>
                <w:rFonts w:ascii="宋体" w:hAnsi="宋体" w:eastAsia="宋体" w:cs="宋体"/>
                <w:b/>
                <w:bCs/>
                <w:color w:val="auto"/>
                <w:kern w:val="0"/>
                <w:sz w:val="16"/>
                <w:szCs w:val="16"/>
                <w:lang w:val="en-US" w:eastAsia="zh-CN" w:bidi="ar"/>
              </w:rPr>
              <w:t>解决的问题</w:t>
            </w:r>
          </w:p>
        </w:tc>
        <w:tc>
          <w:tcPr>
            <w:tcW w:w="4567" w:type="dxa"/>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3EB46A2A">
            <w:pPr>
              <w:keepNext w:val="0"/>
              <w:keepLines w:val="0"/>
              <w:widowControl/>
              <w:suppressLineNumbers w:val="0"/>
              <w:snapToGrid w:val="0"/>
              <w:spacing w:line="240" w:lineRule="auto"/>
              <w:ind w:left="0" w:leftChars="0" w:right="0" w:rightChars="0" w:firstLine="0" w:firstLineChars="0"/>
              <w:jc w:val="center"/>
              <w:rPr>
                <w:rFonts w:ascii="宋体" w:eastAsia="宋体"/>
                <w:b/>
                <w:sz w:val="16"/>
                <w:szCs w:val="16"/>
              </w:rPr>
            </w:pPr>
            <w:r>
              <w:rPr>
                <w:rFonts w:ascii="宋体" w:hAnsi="宋体" w:eastAsia="宋体" w:cs="宋体"/>
                <w:b/>
                <w:bCs/>
                <w:color w:val="auto"/>
                <w:kern w:val="0"/>
                <w:sz w:val="16"/>
                <w:szCs w:val="16"/>
                <w:lang w:val="en-US" w:eastAsia="zh-CN" w:bidi="ar"/>
              </w:rPr>
              <w:t>项目中的体现</w:t>
            </w:r>
          </w:p>
        </w:tc>
      </w:tr>
      <w:tr w14:paraId="34232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350EAF57">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证据约束下的多Agent辩论仲裁</w:t>
            </w:r>
          </w:p>
        </w:tc>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0E1C4DD6">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普通单模型判断片面，普通多Agent讨论容易脱离事实</w:t>
            </w:r>
          </w:p>
        </w:tc>
        <w:tc>
          <w:tcPr>
            <w:tcW w:w="4567" w:type="dxa"/>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278F9AAB">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多角色Agent基于同一组证据卡片辩论，仲裁模块根据证据充分性、风险命中和意见分歧形成保守结论</w:t>
            </w:r>
          </w:p>
        </w:tc>
      </w:tr>
      <w:tr w14:paraId="03A01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08E36997">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规则驱动T2SQL取证</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452F7B8B">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政策条款与数据库事实难对应</w:t>
            </w:r>
          </w:p>
        </w:tc>
        <w:tc>
          <w:tcPr>
            <w:tcW w:w="4567" w:type="dxa"/>
            <w:tcBorders>
              <w:top w:val="nil"/>
              <w:left w:val="nil"/>
              <w:bottom w:val="nil"/>
              <w:right w:val="nil"/>
            </w:tcBorders>
            <w:shd w:val="clear" w:color="auto" w:fill="auto"/>
            <w:noWrap w:val="0"/>
            <w:tcMar>
              <w:top w:w="-1" w:type="dxa"/>
              <w:left w:w="72" w:type="dxa"/>
              <w:bottom w:w="-1" w:type="dxa"/>
              <w:right w:w="72" w:type="dxa"/>
            </w:tcMar>
            <w:vAlign w:val="center"/>
          </w:tcPr>
          <w:p w14:paraId="5C42E5FF">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将政策规则拆解为核查任务，并生成取证SQL</w:t>
            </w:r>
          </w:p>
        </w:tc>
      </w:tr>
      <w:tr w14:paraId="4D9F1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12C62AF">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SQL自诊断修复</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0B071634">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字段幻觉、语法错误、空结果误判</w:t>
            </w:r>
          </w:p>
        </w:tc>
        <w:tc>
          <w:tcPr>
            <w:tcW w:w="4567" w:type="dxa"/>
            <w:tcBorders>
              <w:top w:val="nil"/>
              <w:left w:val="nil"/>
              <w:bottom w:val="nil"/>
              <w:right w:val="nil"/>
            </w:tcBorders>
            <w:shd w:val="clear" w:color="auto" w:fill="auto"/>
            <w:noWrap w:val="0"/>
            <w:tcMar>
              <w:top w:w="-1" w:type="dxa"/>
              <w:left w:w="72" w:type="dxa"/>
              <w:bottom w:w="-1" w:type="dxa"/>
              <w:right w:w="72" w:type="dxa"/>
            </w:tcMar>
            <w:vAlign w:val="center"/>
          </w:tcPr>
          <w:p w14:paraId="225EE66A">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基于执行反馈进行有限修复，并保留诊断信息</w:t>
            </w:r>
          </w:p>
        </w:tc>
      </w:tr>
      <w:tr w14:paraId="563C7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56798413">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规则类型证据语义判定</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C17E3E9">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同样的查询结果在不同规则下含义不同</w:t>
            </w:r>
          </w:p>
        </w:tc>
        <w:tc>
          <w:tcPr>
            <w:tcW w:w="4567" w:type="dxa"/>
            <w:tcBorders>
              <w:top w:val="nil"/>
              <w:left w:val="nil"/>
              <w:bottom w:val="nil"/>
              <w:right w:val="nil"/>
            </w:tcBorders>
            <w:shd w:val="clear" w:color="auto" w:fill="auto"/>
            <w:noWrap w:val="0"/>
            <w:tcMar>
              <w:top w:w="-1" w:type="dxa"/>
              <w:left w:w="72" w:type="dxa"/>
              <w:bottom w:w="-1" w:type="dxa"/>
              <w:right w:w="72" w:type="dxa"/>
            </w:tcMar>
            <w:vAlign w:val="center"/>
          </w:tcPr>
          <w:p w14:paraId="2009A7C4">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区分必须满足、必须排除、灵活评判等规则类型</w:t>
            </w:r>
          </w:p>
        </w:tc>
      </w:tr>
      <w:tr w14:paraId="3204F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31"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4BFE546D">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人工复核与报告留痕</w:t>
            </w:r>
          </w:p>
        </w:tc>
        <w:tc>
          <w:tcPr>
            <w:tcW w:w="2580"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606E0B23">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自动结论难以直接作为正式审核依据</w:t>
            </w:r>
          </w:p>
        </w:tc>
        <w:tc>
          <w:tcPr>
            <w:tcW w:w="4567"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71029DE6">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支持人工补证、确认、归档和PDF报告生成</w:t>
            </w:r>
          </w:p>
        </w:tc>
      </w:tr>
    </w:tbl>
    <w:p w14:paraId="5C9C0741">
      <w:pPr>
        <w:pStyle w:val="277"/>
        <w:widowControl/>
        <w:rPr>
          <w:vertAlign w:val="baseline"/>
        </w:rPr>
      </w:pPr>
      <w:r>
        <w:rPr>
          <w:vertAlign w:val="baseline"/>
        </w:rPr>
        <w:t>表6-1 项目创新点与实现对应关系</w:t>
      </w:r>
    </w:p>
    <w:p w14:paraId="17FD9C61">
      <w:r>
        <w:br w:type="page"/>
      </w:r>
    </w:p>
    <w:p w14:paraId="7C064615">
      <w:pPr>
        <w:pStyle w:val="3"/>
        <w:keepNext/>
        <w:widowControl/>
        <w:numPr>
          <w:ilvl w:val="0"/>
          <w:numId w:val="0"/>
        </w:numPr>
        <w:ind w:leftChars="0"/>
        <w:rPr>
          <w:b w:val="0"/>
        </w:rPr>
      </w:pPr>
      <w:bookmarkStart w:id="64" w:name="_Toc18529"/>
      <w:r>
        <w:rPr>
          <w:rFonts w:hint="eastAsia"/>
          <w:vertAlign w:val="baseline"/>
          <w:lang w:val="en-US" w:eastAsia="zh-CN"/>
        </w:rPr>
        <w:t xml:space="preserve">第五章 </w:t>
      </w:r>
      <w:r>
        <w:rPr>
          <w:vertAlign w:val="baseline"/>
        </w:rPr>
        <w:t>应用背景及社会价值</w:t>
      </w:r>
      <w:bookmarkEnd w:id="64"/>
    </w:p>
    <w:p w14:paraId="3F5DF7B6">
      <w:pPr>
        <w:pStyle w:val="4"/>
        <w:bidi w:val="0"/>
        <w:rPr>
          <w:rFonts w:hint="eastAsia"/>
          <w:lang w:val="en-US" w:eastAsia="zh-CN"/>
        </w:rPr>
      </w:pPr>
      <w:bookmarkStart w:id="65" w:name="_Toc28942"/>
      <w:r>
        <w:rPr>
          <w:rFonts w:hint="eastAsia"/>
          <w:lang w:val="en-US" w:eastAsia="zh-CN"/>
        </w:rPr>
        <w:t>5.1 应用背景</w:t>
      </w:r>
      <w:bookmarkEnd w:id="65"/>
    </w:p>
    <w:p w14:paraId="2CAADF0F">
      <w:pPr>
        <w:pStyle w:val="35"/>
        <w:bidi w:val="0"/>
        <w:rPr>
          <w:rFonts w:hint="eastAsia"/>
          <w:lang w:val="en-US" w:eastAsia="zh-CN"/>
        </w:rPr>
      </w:pPr>
      <w:r>
        <w:rPr>
          <w:rFonts w:hint="eastAsia"/>
          <w:lang w:val="en-US" w:eastAsia="zh-CN"/>
        </w:rPr>
        <w:t>随着数字政府建设持续推进，基层政务服务正在从“事项线上办理”进一步转向“智能辅助审核”和“精准服务”。就业补贴、社会保险补贴、困难人员认定、创业扶持、人才补贴等政策事项具有规则明确、审核材料分散、跨表核验频繁和结果需要留痕等特点，是智能化辅助审核较有代表性的应用场景。</w:t>
      </w:r>
    </w:p>
    <w:p w14:paraId="11D82869">
      <w:pPr>
        <w:pStyle w:val="35"/>
        <w:bidi w:val="0"/>
        <w:rPr>
          <w:rFonts w:hint="eastAsia"/>
          <w:lang w:val="en-US" w:eastAsia="zh-CN"/>
        </w:rPr>
      </w:pPr>
      <w:r>
        <w:rPr>
          <w:rFonts w:hint="eastAsia"/>
          <w:lang w:val="en-US" w:eastAsia="zh-CN"/>
        </w:rPr>
        <w:t>在传统办理模式下，经办人员需要在多个系统或多张业务表之间反复查询，核对申请人的身份、就业、社保、工商、补贴历史等信息。该过程工作量大、重复性强，而且容易因为字段口径差异、历史记录遗漏或政策理解偏差造成审核风险。对于群众而言，如果审核过程缺少清晰依据，也会影响其对办理结果的理解和信任。</w:t>
      </w:r>
    </w:p>
    <w:p w14:paraId="52DBD690">
      <w:pPr>
        <w:pStyle w:val="35"/>
        <w:bidi w:val="0"/>
        <w:rPr>
          <w:rFonts w:hint="eastAsia"/>
          <w:lang w:val="en-US" w:eastAsia="zh-CN"/>
        </w:rPr>
      </w:pPr>
      <w:r>
        <w:rPr>
          <w:rFonts w:hint="eastAsia"/>
          <w:lang w:val="en-US" w:eastAsia="zh-CN"/>
        </w:rPr>
        <w:t>本项目面向上述痛点，将大模型的政策理解能力、Text-to-SQL的数据取证能力、证据卡片的过程解释能力、多Agent辩论仲裁的审慎研判能力和人工复核的最终确认机制结合起来，形成面向基层经办人员的政务资格审核辅助工作流。系统强调“先取证、再研判、可复核、可归档”，适合用于政策资格审核、补贴初审、风险复核、材料补正提示和审核报告生成等场景。</w:t>
      </w:r>
    </w:p>
    <w:p w14:paraId="159ED3D1">
      <w:pPr>
        <w:pStyle w:val="4"/>
        <w:keepNext/>
        <w:widowControl/>
        <w:numPr>
          <w:ilvl w:val="0"/>
          <w:numId w:val="0"/>
        </w:numPr>
        <w:ind w:leftChars="0"/>
        <w:rPr>
          <w:b w:val="0"/>
        </w:rPr>
      </w:pPr>
      <w:bookmarkStart w:id="66" w:name="_Toc30222"/>
      <w:r>
        <w:rPr>
          <w:rFonts w:hint="eastAsia"/>
          <w:vertAlign w:val="baseline"/>
          <w:lang w:val="en-US" w:eastAsia="zh-CN"/>
        </w:rPr>
        <w:t>5</w:t>
      </w:r>
      <w:r>
        <w:rPr>
          <w:rFonts w:hint="eastAsia"/>
          <w:vertAlign w:val="baseline"/>
          <w:lang w:eastAsia="zh-CN"/>
        </w:rPr>
        <w:t xml:space="preserve">.2 </w:t>
      </w:r>
      <w:r>
        <w:rPr>
          <w:vertAlign w:val="baseline"/>
        </w:rPr>
        <w:t>典型应用场景</w:t>
      </w:r>
      <w:bookmarkEnd w:id="66"/>
    </w:p>
    <w:tbl>
      <w:tblPr>
        <w:tblStyle w:val="89"/>
        <w:tblW w:w="87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2"/>
        <w:gridCol w:w="2030"/>
        <w:gridCol w:w="5296"/>
      </w:tblGrid>
      <w:tr w14:paraId="6CE3A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2FA95172">
            <w:pPr>
              <w:keepNext w:val="0"/>
              <w:keepLines w:val="0"/>
              <w:widowControl/>
              <w:suppressLineNumbers w:val="0"/>
              <w:snapToGrid w:val="0"/>
              <w:spacing w:line="240" w:lineRule="auto"/>
              <w:ind w:left="0" w:leftChars="0" w:right="0" w:rightChars="0" w:firstLine="0" w:firstLineChars="0"/>
              <w:jc w:val="center"/>
              <w:rPr>
                <w:b/>
                <w:sz w:val="16"/>
                <w:szCs w:val="16"/>
              </w:rPr>
            </w:pPr>
            <w:r>
              <w:rPr>
                <w:rFonts w:ascii="宋体" w:hAnsi="宋体" w:eastAsia="宋体" w:cs="宋体"/>
                <w:b/>
                <w:bCs/>
                <w:color w:val="auto"/>
                <w:kern w:val="0"/>
                <w:sz w:val="16"/>
                <w:szCs w:val="16"/>
                <w:lang w:val="en-US" w:eastAsia="zh-CN" w:bidi="ar"/>
              </w:rPr>
              <w:t>应用场景</w:t>
            </w:r>
          </w:p>
        </w:tc>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34687233">
            <w:pPr>
              <w:keepNext w:val="0"/>
              <w:keepLines w:val="0"/>
              <w:widowControl/>
              <w:suppressLineNumbers w:val="0"/>
              <w:snapToGrid w:val="0"/>
              <w:spacing w:line="240" w:lineRule="auto"/>
              <w:ind w:left="0" w:leftChars="0" w:right="0" w:rightChars="0" w:firstLine="0" w:firstLineChars="0"/>
              <w:jc w:val="center"/>
              <w:rPr>
                <w:b/>
                <w:sz w:val="16"/>
                <w:szCs w:val="16"/>
              </w:rPr>
            </w:pPr>
            <w:r>
              <w:rPr>
                <w:rFonts w:ascii="宋体" w:hAnsi="宋体" w:eastAsia="宋体" w:cs="宋体"/>
                <w:b/>
                <w:bCs/>
                <w:color w:val="auto"/>
                <w:kern w:val="0"/>
                <w:sz w:val="16"/>
                <w:szCs w:val="16"/>
                <w:lang w:val="en-US" w:eastAsia="zh-CN" w:bidi="ar"/>
              </w:rPr>
              <w:t>使用对象</w:t>
            </w:r>
          </w:p>
        </w:tc>
        <w:tc>
          <w:tcPr>
            <w:tcW w:w="5296" w:type="dxa"/>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303E5F67">
            <w:pPr>
              <w:keepNext w:val="0"/>
              <w:keepLines w:val="0"/>
              <w:widowControl/>
              <w:suppressLineNumbers w:val="0"/>
              <w:snapToGrid w:val="0"/>
              <w:spacing w:line="240" w:lineRule="auto"/>
              <w:ind w:left="0" w:leftChars="0" w:right="0" w:rightChars="0" w:firstLine="0" w:firstLineChars="0"/>
              <w:jc w:val="center"/>
              <w:rPr>
                <w:b/>
                <w:sz w:val="16"/>
                <w:szCs w:val="16"/>
              </w:rPr>
            </w:pPr>
            <w:r>
              <w:rPr>
                <w:rFonts w:ascii="宋体" w:hAnsi="宋体" w:eastAsia="宋体" w:cs="宋体"/>
                <w:b/>
                <w:bCs/>
                <w:color w:val="auto"/>
                <w:kern w:val="0"/>
                <w:sz w:val="16"/>
                <w:szCs w:val="16"/>
                <w:lang w:val="en-US" w:eastAsia="zh-CN" w:bidi="ar"/>
              </w:rPr>
              <w:t>系统作用</w:t>
            </w:r>
          </w:p>
        </w:tc>
      </w:tr>
      <w:tr w14:paraId="2541C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7A8EABB8">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灵活就业社会保险补贴审核</w:t>
            </w:r>
          </w:p>
        </w:tc>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3A552029">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人社窗口经办人员、街道社区工作人员</w:t>
            </w:r>
          </w:p>
        </w:tc>
        <w:tc>
          <w:tcPr>
            <w:tcW w:w="5296" w:type="dxa"/>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4C27B5E1">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核查就业状态、社保缴费、工商登记和历史补贴记录，生成证据卡片，并通过多Agent辩论形成辅助审核结论</w:t>
            </w:r>
          </w:p>
        </w:tc>
      </w:tr>
      <w:tr w14:paraId="2B3DB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23F8A7DD">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就业困难人员认定复核</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0DD6FD10">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基层就业服务部门</w:t>
            </w:r>
          </w:p>
        </w:tc>
        <w:tc>
          <w:tcPr>
            <w:tcW w:w="5296" w:type="dxa"/>
            <w:tcBorders>
              <w:top w:val="nil"/>
              <w:left w:val="nil"/>
              <w:bottom w:val="nil"/>
              <w:right w:val="nil"/>
            </w:tcBorders>
            <w:shd w:val="clear" w:color="auto" w:fill="auto"/>
            <w:noWrap w:val="0"/>
            <w:tcMar>
              <w:top w:w="-1" w:type="dxa"/>
              <w:left w:w="72" w:type="dxa"/>
              <w:bottom w:w="-1" w:type="dxa"/>
              <w:right w:w="72" w:type="dxa"/>
            </w:tcMar>
            <w:vAlign w:val="center"/>
          </w:tcPr>
          <w:p w14:paraId="3E50B83C">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围绕困难认定、失业登记、就业状态等信息进行规则取证，识别材料缺失和争议点</w:t>
            </w:r>
          </w:p>
        </w:tc>
      </w:tr>
      <w:tr w14:paraId="31C39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0C1CBC6A">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创业补贴或人才补贴初审</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4C4B0EF4">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政策兑现窗口、园区服务人员</w:t>
            </w:r>
          </w:p>
        </w:tc>
        <w:tc>
          <w:tcPr>
            <w:tcW w:w="5296" w:type="dxa"/>
            <w:tcBorders>
              <w:top w:val="nil"/>
              <w:left w:val="nil"/>
              <w:bottom w:val="nil"/>
              <w:right w:val="nil"/>
            </w:tcBorders>
            <w:shd w:val="clear" w:color="auto" w:fill="auto"/>
            <w:noWrap w:val="0"/>
            <w:tcMar>
              <w:top w:w="-1" w:type="dxa"/>
              <w:left w:w="72" w:type="dxa"/>
              <w:bottom w:w="-1" w:type="dxa"/>
              <w:right w:w="72" w:type="dxa"/>
            </w:tcMar>
            <w:vAlign w:val="center"/>
          </w:tcPr>
          <w:p w14:paraId="69150157">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快速匹配政策条件，提示需要补充或排除的证据，辅助经办人员完成初步审查</w:t>
            </w:r>
          </w:p>
        </w:tc>
      </w:tr>
      <w:tr w14:paraId="78232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1C1C5FC">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历史审核复查与审计</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253133F3">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业务主管部门、审计复核人员</w:t>
            </w:r>
          </w:p>
        </w:tc>
        <w:tc>
          <w:tcPr>
            <w:tcW w:w="5296" w:type="dxa"/>
            <w:tcBorders>
              <w:top w:val="nil"/>
              <w:left w:val="nil"/>
              <w:bottom w:val="nil"/>
              <w:right w:val="nil"/>
            </w:tcBorders>
            <w:shd w:val="clear" w:color="auto" w:fill="auto"/>
            <w:noWrap w:val="0"/>
            <w:tcMar>
              <w:top w:w="-1" w:type="dxa"/>
              <w:left w:w="72" w:type="dxa"/>
              <w:bottom w:w="-1" w:type="dxa"/>
              <w:right w:w="72" w:type="dxa"/>
            </w:tcMar>
            <w:vAlign w:val="center"/>
          </w:tcPr>
          <w:p w14:paraId="4B046A0B">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回放当时的政策规则、SQL取证、证据卡片、Agent辩论过程、人工复核记录和报告路径</w:t>
            </w:r>
          </w:p>
        </w:tc>
      </w:tr>
      <w:tr w14:paraId="40EFC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52"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2CCBEBE5">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政策咨询与预审辅助</w:t>
            </w:r>
          </w:p>
        </w:tc>
        <w:tc>
          <w:tcPr>
            <w:tcW w:w="2030"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6D07600B">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政务大厅导办人员、线上服务平台</w:t>
            </w:r>
          </w:p>
        </w:tc>
        <w:tc>
          <w:tcPr>
            <w:tcW w:w="5296"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31737D1C">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根据用户诉求初步识别政策，提示材料准备方向和可能存在的资格风险</w:t>
            </w:r>
          </w:p>
        </w:tc>
      </w:tr>
    </w:tbl>
    <w:p w14:paraId="522346DC">
      <w:pPr>
        <w:pStyle w:val="4"/>
        <w:keepNext/>
        <w:widowControl/>
        <w:numPr>
          <w:ilvl w:val="0"/>
          <w:numId w:val="0"/>
        </w:numPr>
        <w:ind w:leftChars="0"/>
        <w:rPr>
          <w:rFonts w:hint="eastAsia"/>
          <w:vertAlign w:val="baseline"/>
        </w:rPr>
      </w:pPr>
      <w:bookmarkStart w:id="67" w:name="_Toc12581"/>
      <w:r>
        <w:rPr>
          <w:rFonts w:hint="eastAsia"/>
          <w:vertAlign w:val="baseline"/>
        </w:rPr>
        <w:t>表5-1 典型应用场景与系统作用</w:t>
      </w:r>
      <w:bookmarkEnd w:id="67"/>
    </w:p>
    <w:p w14:paraId="0914707C">
      <w:pPr>
        <w:pStyle w:val="4"/>
        <w:bidi w:val="0"/>
        <w:rPr>
          <w:rFonts w:hint="eastAsia"/>
          <w:vertAlign w:val="baseline"/>
          <w:lang w:val="en-US" w:eastAsia="zh-CN"/>
        </w:rPr>
      </w:pPr>
      <w:bookmarkStart w:id="68" w:name="_Toc3082"/>
      <w:r>
        <w:rPr>
          <w:rFonts w:hint="eastAsia"/>
          <w:lang w:val="en-US" w:eastAsia="zh-CN"/>
        </w:rPr>
        <w:t>5.3 社会价值</w:t>
      </w:r>
      <w:bookmarkEnd w:id="68"/>
    </w:p>
    <w:p w14:paraId="762AA79F">
      <w:pPr>
        <w:rPr>
          <w:rFonts w:hint="eastAsia"/>
          <w:vertAlign w:val="baseline"/>
          <w:lang w:val="en-US" w:eastAsia="zh-CN"/>
        </w:rPr>
      </w:pPr>
      <w:r>
        <w:rPr>
          <w:rFonts w:hint="eastAsia"/>
          <w:vertAlign w:val="baseline"/>
          <w:lang w:val="en-US" w:eastAsia="zh-CN"/>
        </w:rPr>
        <w:t>本项目的社会价值主要体现在以下几个方面：</w:t>
      </w:r>
    </w:p>
    <w:p w14:paraId="0BCC2113">
      <w:pPr>
        <w:numPr>
          <w:ilvl w:val="0"/>
          <w:numId w:val="7"/>
        </w:numPr>
        <w:ind w:left="425" w:leftChars="0" w:hanging="425" w:firstLineChars="0"/>
        <w:rPr>
          <w:rFonts w:hint="eastAsia"/>
          <w:vertAlign w:val="baseline"/>
          <w:lang w:val="en-US" w:eastAsia="zh-CN"/>
        </w:rPr>
      </w:pPr>
      <w:r>
        <w:rPr>
          <w:rFonts w:hint="eastAsia"/>
          <w:vertAlign w:val="baseline"/>
          <w:lang w:val="en-US" w:eastAsia="zh-CN"/>
        </w:rPr>
        <w:t>提升基层审核效率</w:t>
      </w:r>
    </w:p>
    <w:p w14:paraId="0B36B6F0">
      <w:pPr>
        <w:numPr>
          <w:ilvl w:val="0"/>
          <w:numId w:val="0"/>
        </w:numPr>
        <w:ind w:firstLine="480" w:firstLineChars="200"/>
        <w:rPr>
          <w:rFonts w:hint="eastAsia"/>
          <w:vertAlign w:val="baseline"/>
          <w:lang w:val="en-US" w:eastAsia="zh-CN"/>
        </w:rPr>
      </w:pPr>
      <w:r>
        <w:rPr>
          <w:rFonts w:hint="eastAsia"/>
          <w:vertAlign w:val="baseline"/>
          <w:lang w:val="en-US" w:eastAsia="zh-CN"/>
        </w:rPr>
        <w:t>系统能够自动完成政策识别、规则取证、证据汇总和报告整理，减少经办人员在多表查询、材料比对和文书整理上的重复劳动，使基层窗口人员能够将更多精力用于疑难样本复核和群众解释。</w:t>
      </w:r>
    </w:p>
    <w:p w14:paraId="09E79FC9">
      <w:pPr>
        <w:numPr>
          <w:ilvl w:val="0"/>
          <w:numId w:val="7"/>
        </w:numPr>
        <w:ind w:left="425" w:leftChars="0" w:hanging="425" w:firstLineChars="0"/>
        <w:rPr>
          <w:rFonts w:hint="eastAsia"/>
          <w:vertAlign w:val="baseline"/>
          <w:lang w:val="en-US" w:eastAsia="zh-CN"/>
        </w:rPr>
      </w:pPr>
      <w:r>
        <w:rPr>
          <w:rFonts w:hint="eastAsia"/>
          <w:vertAlign w:val="baseline"/>
          <w:lang w:val="en-US" w:eastAsia="zh-CN"/>
        </w:rPr>
        <w:t>增强审核过程透明度</w:t>
      </w:r>
    </w:p>
    <w:p w14:paraId="73099353">
      <w:pPr>
        <w:numPr>
          <w:ilvl w:val="0"/>
          <w:numId w:val="0"/>
        </w:numPr>
        <w:ind w:leftChars="0" w:firstLine="480" w:firstLineChars="200"/>
        <w:rPr>
          <w:rFonts w:hint="eastAsia"/>
          <w:vertAlign w:val="baseline"/>
          <w:lang w:val="en-US" w:eastAsia="zh-CN"/>
        </w:rPr>
      </w:pPr>
      <w:r>
        <w:rPr>
          <w:rFonts w:hint="eastAsia"/>
          <w:vertAlign w:val="baseline"/>
          <w:lang w:val="en-US" w:eastAsia="zh-CN"/>
        </w:rPr>
        <w:t>系统不是只输出“通过”或“不通过”的结果，而是同步保留政策规则、SQL查询、证据摘要、Agent辩论意见、仲裁结果和人工复核意见，有助于解释“为什么通过”“为什么不通过”以及“为什么需要补证”。</w:t>
      </w:r>
    </w:p>
    <w:p w14:paraId="639C68AA">
      <w:pPr>
        <w:numPr>
          <w:ilvl w:val="0"/>
          <w:numId w:val="7"/>
        </w:numPr>
        <w:ind w:left="425" w:leftChars="0" w:hanging="425" w:firstLineChars="0"/>
        <w:rPr>
          <w:rFonts w:hint="eastAsia"/>
          <w:vertAlign w:val="baseline"/>
          <w:lang w:val="en-US" w:eastAsia="zh-CN"/>
        </w:rPr>
      </w:pPr>
      <w:r>
        <w:rPr>
          <w:rFonts w:hint="eastAsia"/>
          <w:vertAlign w:val="baseline"/>
          <w:lang w:val="en-US" w:eastAsia="zh-CN"/>
        </w:rPr>
        <w:t>降低漏查和误判风险</w:t>
      </w:r>
    </w:p>
    <w:p w14:paraId="412B9CA1">
      <w:pPr>
        <w:numPr>
          <w:ilvl w:val="0"/>
          <w:numId w:val="0"/>
        </w:numPr>
        <w:ind w:leftChars="0" w:firstLine="480" w:firstLineChars="200"/>
        <w:rPr>
          <w:rFonts w:hint="eastAsia"/>
          <w:vertAlign w:val="baseline"/>
          <w:lang w:val="en-US" w:eastAsia="zh-CN"/>
        </w:rPr>
      </w:pPr>
      <w:r>
        <w:rPr>
          <w:rFonts w:hint="eastAsia"/>
          <w:vertAlign w:val="baseline"/>
          <w:lang w:val="en-US" w:eastAsia="zh-CN"/>
        </w:rPr>
        <w:t>系统通过规则类型解释、证据卡片约束和多Agent辩论仲裁识别缺失、冲突和风险点，避免单一经验判断或单一模型输出带来的片面性。尤其在证据不足、规则冲突或边界样本中，系统倾向于提示人工复核，而不是直接给出激进结论。</w:t>
      </w:r>
    </w:p>
    <w:p w14:paraId="08356198">
      <w:pPr>
        <w:numPr>
          <w:ilvl w:val="0"/>
          <w:numId w:val="7"/>
        </w:numPr>
        <w:ind w:left="425" w:leftChars="0" w:hanging="425" w:firstLineChars="0"/>
        <w:rPr>
          <w:rFonts w:hint="eastAsia"/>
          <w:vertAlign w:val="baseline"/>
          <w:lang w:val="en-US" w:eastAsia="zh-CN"/>
        </w:rPr>
      </w:pPr>
      <w:r>
        <w:rPr>
          <w:rFonts w:hint="eastAsia"/>
          <w:vertAlign w:val="baseline"/>
          <w:lang w:val="en-US" w:eastAsia="zh-CN"/>
        </w:rPr>
        <w:t>保障群众权益和政策公平</w:t>
      </w:r>
    </w:p>
    <w:p w14:paraId="39C27E2A">
      <w:pPr>
        <w:numPr>
          <w:ilvl w:val="0"/>
          <w:numId w:val="0"/>
        </w:numPr>
        <w:ind w:leftChars="0" w:firstLine="480" w:firstLineChars="200"/>
        <w:rPr>
          <w:rFonts w:hint="eastAsia"/>
          <w:vertAlign w:val="baseline"/>
          <w:lang w:val="en-US" w:eastAsia="zh-CN"/>
        </w:rPr>
      </w:pPr>
      <w:r>
        <w:rPr>
          <w:rFonts w:hint="eastAsia"/>
          <w:vertAlign w:val="baseline"/>
          <w:lang w:val="en-US" w:eastAsia="zh-CN"/>
        </w:rPr>
        <w:t>对于证据不足或边界情况，系统倾向提示补证和人工确认，而不是直接否定申请，有利于减少因数据缺失、材料同步延迟或字段口径差异造成的不公平结果。</w:t>
      </w:r>
    </w:p>
    <w:p w14:paraId="32F67A31">
      <w:pPr>
        <w:numPr>
          <w:ilvl w:val="0"/>
          <w:numId w:val="7"/>
        </w:numPr>
        <w:ind w:left="425" w:leftChars="0" w:hanging="425" w:firstLineChars="0"/>
        <w:rPr>
          <w:rFonts w:ascii="Times New Roman" w:hAnsi="Times New Roman" w:eastAsia="宋体" w:cs="Times New Roman"/>
          <w:b w:val="0"/>
          <w:i w:val="0"/>
          <w:color w:val="000000"/>
          <w:sz w:val="24"/>
          <w:szCs w:val="24"/>
          <w:vertAlign w:val="baseline"/>
        </w:rPr>
      </w:pPr>
      <w:r>
        <w:rPr>
          <w:rFonts w:hint="eastAsia"/>
          <w:vertAlign w:val="baseline"/>
          <w:lang w:val="en-US" w:eastAsia="zh-CN"/>
        </w:rPr>
        <w:t>便于监管和审计追溯</w:t>
      </w:r>
    </w:p>
    <w:p w14:paraId="4A1AB0BB">
      <w:pPr>
        <w:numPr>
          <w:ilvl w:val="0"/>
          <w:numId w:val="0"/>
        </w:numPr>
        <w:ind w:leftChars="0" w:firstLine="480" w:firstLineChars="200"/>
        <w:rPr>
          <w:rFonts w:ascii="Times New Roman" w:hAnsi="Times New Roman" w:eastAsia="宋体" w:cs="Times New Roman"/>
          <w:b w:val="0"/>
          <w:i w:val="0"/>
          <w:color w:val="000000"/>
          <w:sz w:val="24"/>
          <w:szCs w:val="24"/>
          <w:vertAlign w:val="baseline"/>
        </w:rPr>
      </w:pPr>
      <w:r>
        <w:rPr>
          <w:rFonts w:hint="eastAsia"/>
          <w:vertAlign w:val="baseline"/>
          <w:lang w:val="en-US" w:eastAsia="zh-CN"/>
        </w:rPr>
        <w:t>系统保存审核会话、取证SQL、证据卡片、Agent辩论过程、仲裁结果、人工复核意见和报告路径，使后续复查能够还原当时的审核依据、争议点和处理过程，提升政务资格审核的可追责性。</w:t>
      </w:r>
      <w:r>
        <w:rPr>
          <w:rFonts w:ascii="Times New Roman" w:hAnsi="Times New Roman" w:eastAsia="宋体" w:cs="Times New Roman"/>
          <w:b w:val="0"/>
          <w:i w:val="0"/>
          <w:color w:val="000000"/>
          <w:sz w:val="24"/>
          <w:szCs w:val="24"/>
          <w:vertAlign w:val="baseline"/>
        </w:rPr>
        <w:br w:type="page"/>
      </w:r>
    </w:p>
    <w:p w14:paraId="60465F3A">
      <w:pPr>
        <w:pStyle w:val="3"/>
        <w:keepNext/>
        <w:widowControl/>
        <w:numPr>
          <w:ilvl w:val="0"/>
          <w:numId w:val="0"/>
        </w:numPr>
        <w:ind w:leftChars="0"/>
        <w:rPr>
          <w:b w:val="0"/>
        </w:rPr>
      </w:pPr>
      <w:bookmarkStart w:id="69" w:name="_Toc22416"/>
      <w:r>
        <w:rPr>
          <w:rFonts w:hint="eastAsia"/>
          <w:vertAlign w:val="baseline"/>
          <w:lang w:val="en-US" w:eastAsia="zh-CN"/>
        </w:rPr>
        <w:t>第六章</w:t>
      </w:r>
      <w:r>
        <w:rPr>
          <w:rFonts w:hint="eastAsia"/>
          <w:vertAlign w:val="baseline"/>
          <w:lang w:eastAsia="zh-CN"/>
        </w:rPr>
        <w:t xml:space="preserve"> </w:t>
      </w:r>
      <w:r>
        <w:rPr>
          <w:vertAlign w:val="baseline"/>
        </w:rPr>
        <w:t>项目存在问题和改进方向</w:t>
      </w:r>
      <w:bookmarkEnd w:id="69"/>
    </w:p>
    <w:p w14:paraId="3A9F71C7">
      <w:pPr>
        <w:pStyle w:val="4"/>
        <w:keepNext/>
        <w:widowControl/>
      </w:pPr>
      <w:bookmarkStart w:id="70" w:name="_Toc7755"/>
      <w:r>
        <w:rPr>
          <w:rFonts w:hint="eastAsia"/>
          <w:vertAlign w:val="baseline"/>
          <w:lang w:val="en-US" w:eastAsia="zh-CN"/>
        </w:rPr>
        <w:t>6</w:t>
      </w:r>
      <w:r>
        <w:rPr>
          <w:vertAlign w:val="baseline"/>
        </w:rPr>
        <w:t>.1 当前存在的问题</w:t>
      </w:r>
      <w:bookmarkEnd w:id="70"/>
    </w:p>
    <w:p w14:paraId="32733C53">
      <w:pPr>
        <w:pStyle w:val="35"/>
        <w:bidi w:val="0"/>
      </w:pPr>
      <w:r>
        <w:t>尽管本项目已经完成从政策识别、T2SQL取证、证据卡片生成、多Agent辩论仲裁到人工复核和报告生成的完整闭环，但从真实政务应用角度看，系统仍存在一些需要继续完善的问题。</w:t>
      </w:r>
    </w:p>
    <w:p w14:paraId="5F66366D">
      <w:pPr>
        <w:pStyle w:val="35"/>
        <w:numPr>
          <w:ilvl w:val="0"/>
          <w:numId w:val="8"/>
        </w:numPr>
        <w:bidi w:val="0"/>
        <w:ind w:left="425" w:leftChars="0" w:hanging="425" w:firstLineChars="0"/>
      </w:pPr>
      <w:bookmarkStart w:id="73" w:name="_GoBack"/>
      <w:r>
        <w:t>政策覆盖范围仍然有限</w:t>
      </w:r>
    </w:p>
    <w:bookmarkEnd w:id="73"/>
    <w:p w14:paraId="6EE22802">
      <w:pPr>
        <w:pStyle w:val="35"/>
        <w:numPr>
          <w:ilvl w:val="0"/>
          <w:numId w:val="0"/>
        </w:numPr>
        <w:bidi w:val="0"/>
        <w:ind w:firstLine="480" w:firstLineChars="200"/>
      </w:pPr>
      <w:r>
        <w:t>当前系统主要围绕就业补贴、社会保险补贴、困难人员认定等典型补贴和资格审核场景构建规则，尚未覆盖更多政策事项，也缺少政策版本变更后的自动比对、规则更新提醒和多版本管理机制。</w:t>
      </w:r>
    </w:p>
    <w:p w14:paraId="5FC0063E">
      <w:pPr>
        <w:pStyle w:val="35"/>
        <w:numPr>
          <w:ilvl w:val="0"/>
          <w:numId w:val="8"/>
        </w:numPr>
        <w:bidi w:val="0"/>
        <w:ind w:left="425" w:leftChars="0" w:hanging="425" w:firstLineChars="0"/>
      </w:pPr>
      <w:r>
        <w:t>测试数据仍以模拟数据为主</w:t>
      </w:r>
    </w:p>
    <w:p w14:paraId="01236D00">
      <w:pPr>
        <w:pStyle w:val="35"/>
        <w:numPr>
          <w:ilvl w:val="0"/>
          <w:numId w:val="0"/>
        </w:numPr>
        <w:bidi w:val="0"/>
        <w:ind w:leftChars="0" w:firstLine="480" w:firstLineChars="200"/>
      </w:pPr>
      <w:r>
        <w:t>现有测试能够验证系统链路和功能设计，但尚不能完全代表真实政务数据中的缺失、延迟、重复、口径不一致、跨系统接口异常等复杂情况。后续若进入真实应用环境，还需要使用更接近业务实际的数据进行长期验证。</w:t>
      </w:r>
    </w:p>
    <w:p w14:paraId="6FAFE6B0">
      <w:pPr>
        <w:pStyle w:val="35"/>
        <w:numPr>
          <w:ilvl w:val="0"/>
          <w:numId w:val="8"/>
        </w:numPr>
        <w:bidi w:val="0"/>
        <w:ind w:left="425" w:leftChars="0" w:hanging="425" w:firstLineChars="0"/>
      </w:pPr>
      <w:r>
        <w:t>T2SQL对Schema质量依赖较高</w:t>
      </w:r>
    </w:p>
    <w:p w14:paraId="04960477">
      <w:pPr>
        <w:pStyle w:val="35"/>
        <w:numPr>
          <w:ilvl w:val="0"/>
          <w:numId w:val="0"/>
        </w:numPr>
        <w:bidi w:val="0"/>
        <w:ind w:leftChars="0" w:firstLine="480" w:firstLineChars="200"/>
      </w:pPr>
      <w:r>
        <w:t>如果数据库表名、字段含义、主外键关系或业务字典不完整，系统生成SQL的准确性会下降。对于复杂时间范围、历史轨迹追溯、多条件联动查询和跨表聚合统计等任务，T2SQL模块仍需要进一步增强。</w:t>
      </w:r>
    </w:p>
    <w:p w14:paraId="65D2F0D7">
      <w:pPr>
        <w:pStyle w:val="35"/>
        <w:numPr>
          <w:ilvl w:val="0"/>
          <w:numId w:val="8"/>
        </w:numPr>
        <w:bidi w:val="0"/>
        <w:ind w:left="425" w:leftChars="0" w:hanging="425" w:firstLineChars="0"/>
      </w:pPr>
      <w:r>
        <w:t>多Agent辩论仲裁链路存在成本和时延压力</w:t>
      </w:r>
    </w:p>
    <w:p w14:paraId="0569BC5A">
      <w:pPr>
        <w:pStyle w:val="35"/>
        <w:numPr>
          <w:ilvl w:val="0"/>
          <w:numId w:val="0"/>
        </w:numPr>
        <w:bidi w:val="0"/>
        <w:ind w:firstLine="480" w:firstLineChars="200"/>
      </w:pPr>
      <w:r>
        <w:t>多角色辩论能够提升系统的审慎性和可解释性，但也会增加模型调用次数和响应时间。后续需要根据任务风险等级动态选择Agent数量和辩论轮次，在审核质量与系统效率之间取得平衡。</w:t>
      </w:r>
    </w:p>
    <w:p w14:paraId="1B170C08">
      <w:pPr>
        <w:pStyle w:val="35"/>
        <w:numPr>
          <w:ilvl w:val="0"/>
          <w:numId w:val="8"/>
        </w:numPr>
        <w:bidi w:val="0"/>
        <w:ind w:left="425" w:leftChars="0" w:hanging="425" w:firstLineChars="0"/>
      </w:pPr>
      <w:r>
        <w:t>安全与权限控制还需工程化加强</w:t>
      </w:r>
    </w:p>
    <w:p w14:paraId="0244B294">
      <w:pPr>
        <w:pStyle w:val="35"/>
        <w:numPr>
          <w:ilvl w:val="0"/>
          <w:numId w:val="0"/>
        </w:numPr>
        <w:bidi w:val="0"/>
        <w:ind w:leftChars="0" w:firstLine="480" w:firstLineChars="200"/>
      </w:pPr>
      <w:r>
        <w:t>项目当前已经考虑了敏感字段脱敏、过程留痕和人工确认机制，但在真实部署中还需要进一步完善角色权限、操作审计、接口鉴权、数据分级、访问控制和报告下载权限管理。</w:t>
      </w:r>
    </w:p>
    <w:p w14:paraId="70CD0B4C">
      <w:pPr>
        <w:pStyle w:val="35"/>
        <w:numPr>
          <w:ilvl w:val="0"/>
          <w:numId w:val="8"/>
        </w:numPr>
        <w:bidi w:val="0"/>
        <w:ind w:left="425" w:leftChars="0" w:hanging="425" w:firstLineChars="0"/>
      </w:pPr>
      <w:r>
        <w:t>前端交互仍偏演示型</w:t>
      </w:r>
    </w:p>
    <w:p w14:paraId="7D4CFB94">
      <w:pPr>
        <w:pStyle w:val="35"/>
        <w:numPr>
          <w:ilvl w:val="0"/>
          <w:numId w:val="0"/>
        </w:numPr>
        <w:bidi w:val="0"/>
        <w:ind w:leftChars="0" w:firstLine="480" w:firstLineChars="200"/>
      </w:pPr>
      <w:r>
        <w:t>当前界面能够展示完整审核流程，但若面向真实窗口人员使用，还需要进一步优化操作提示、批量任务、异常提醒、复核流转、报告模板选择和历史记录检索等功能。</w:t>
      </w:r>
    </w:p>
    <w:p w14:paraId="04031730">
      <w:pPr>
        <w:pStyle w:val="4"/>
        <w:keepNext/>
        <w:widowControl/>
        <w:numPr>
          <w:ilvl w:val="0"/>
          <w:numId w:val="0"/>
        </w:numPr>
        <w:ind w:leftChars="0"/>
        <w:rPr>
          <w:b w:val="0"/>
        </w:rPr>
      </w:pPr>
      <w:bookmarkStart w:id="71" w:name="_Toc21605"/>
      <w:r>
        <w:rPr>
          <w:rFonts w:hint="eastAsia"/>
          <w:vertAlign w:val="baseline"/>
          <w:lang w:val="en-US" w:eastAsia="zh-CN"/>
        </w:rPr>
        <w:t>6</w:t>
      </w:r>
      <w:r>
        <w:rPr>
          <w:rFonts w:hint="eastAsia"/>
          <w:vertAlign w:val="baseline"/>
          <w:lang w:eastAsia="zh-CN"/>
        </w:rPr>
        <w:t xml:space="preserve">.2 </w:t>
      </w:r>
      <w:r>
        <w:rPr>
          <w:vertAlign w:val="baseline"/>
        </w:rPr>
        <w:t>改进方向</w:t>
      </w:r>
      <w:bookmarkEnd w:id="71"/>
    </w:p>
    <w:p w14:paraId="396C466A">
      <w:pPr>
        <w:pStyle w:val="35"/>
        <w:widowControl/>
        <w:rPr>
          <w:rFonts w:ascii="Times New Roman" w:hAnsi="Times New Roman" w:eastAsia="宋体" w:cs="Times New Roman"/>
          <w:sz w:val="24"/>
          <w:szCs w:val="24"/>
        </w:rPr>
      </w:pPr>
      <w:r>
        <w:rPr>
          <w:rFonts w:ascii="Times New Roman" w:hAnsi="Times New Roman" w:eastAsia="宋体" w:cs="Times New Roman"/>
          <w:b w:val="0"/>
          <w:i w:val="0"/>
          <w:color w:val="000000"/>
          <w:sz w:val="24"/>
          <w:szCs w:val="24"/>
          <w:vertAlign w:val="baseline"/>
        </w:rPr>
        <w:t>针对上述问题，后续可以从以下方向继续完善。</w:t>
      </w:r>
    </w:p>
    <w:tbl>
      <w:tblPr>
        <w:tblStyle w:val="89"/>
        <w:tblW w:w="87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0"/>
        <w:gridCol w:w="4759"/>
        <w:gridCol w:w="2369"/>
      </w:tblGrid>
      <w:tr w14:paraId="35611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0098DA19">
            <w:pPr>
              <w:keepNext w:val="0"/>
              <w:keepLines w:val="0"/>
              <w:widowControl/>
              <w:suppressLineNumbers w:val="0"/>
              <w:snapToGrid w:val="0"/>
              <w:spacing w:line="240" w:lineRule="auto"/>
              <w:ind w:left="0" w:leftChars="0" w:right="0" w:rightChars="0" w:firstLine="0" w:firstLineChars="0"/>
              <w:jc w:val="center"/>
              <w:rPr>
                <w:b/>
                <w:sz w:val="16"/>
                <w:szCs w:val="16"/>
              </w:rPr>
            </w:pPr>
            <w:r>
              <w:rPr>
                <w:rFonts w:ascii="宋体" w:hAnsi="宋体" w:eastAsia="宋体" w:cs="宋体"/>
                <w:b/>
                <w:bCs/>
                <w:color w:val="auto"/>
                <w:kern w:val="0"/>
                <w:sz w:val="16"/>
                <w:szCs w:val="16"/>
                <w:lang w:val="en-US" w:eastAsia="zh-CN" w:bidi="ar"/>
              </w:rPr>
              <w:t>改进方向</w:t>
            </w:r>
          </w:p>
        </w:tc>
        <w:tc>
          <w:tcPr>
            <w:tcW w:w="0" w:type="auto"/>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7AE194D3">
            <w:pPr>
              <w:keepNext w:val="0"/>
              <w:keepLines w:val="0"/>
              <w:widowControl/>
              <w:suppressLineNumbers w:val="0"/>
              <w:snapToGrid w:val="0"/>
              <w:spacing w:line="240" w:lineRule="auto"/>
              <w:ind w:left="0" w:leftChars="0" w:right="0" w:rightChars="0" w:firstLine="0" w:firstLineChars="0"/>
              <w:jc w:val="center"/>
              <w:rPr>
                <w:b/>
                <w:sz w:val="16"/>
                <w:szCs w:val="16"/>
              </w:rPr>
            </w:pPr>
            <w:r>
              <w:rPr>
                <w:rFonts w:ascii="宋体" w:hAnsi="宋体" w:eastAsia="宋体" w:cs="宋体"/>
                <w:b/>
                <w:bCs/>
                <w:color w:val="auto"/>
                <w:kern w:val="0"/>
                <w:sz w:val="16"/>
                <w:szCs w:val="16"/>
                <w:lang w:val="en-US" w:eastAsia="zh-CN" w:bidi="ar"/>
              </w:rPr>
              <w:t>具体措施</w:t>
            </w:r>
          </w:p>
        </w:tc>
        <w:tc>
          <w:tcPr>
            <w:tcW w:w="2369" w:type="dxa"/>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3F1E7DBD">
            <w:pPr>
              <w:keepNext w:val="0"/>
              <w:keepLines w:val="0"/>
              <w:widowControl/>
              <w:suppressLineNumbers w:val="0"/>
              <w:snapToGrid w:val="0"/>
              <w:spacing w:line="240" w:lineRule="auto"/>
              <w:ind w:left="0" w:leftChars="0" w:right="0" w:rightChars="0" w:firstLine="0" w:firstLineChars="0"/>
              <w:jc w:val="center"/>
              <w:rPr>
                <w:b/>
                <w:sz w:val="16"/>
                <w:szCs w:val="16"/>
              </w:rPr>
            </w:pPr>
            <w:r>
              <w:rPr>
                <w:rFonts w:ascii="宋体" w:hAnsi="宋体" w:eastAsia="宋体" w:cs="宋体"/>
                <w:b/>
                <w:bCs/>
                <w:color w:val="auto"/>
                <w:kern w:val="0"/>
                <w:sz w:val="16"/>
                <w:szCs w:val="16"/>
                <w:lang w:val="en-US" w:eastAsia="zh-CN" w:bidi="ar"/>
              </w:rPr>
              <w:t>预期效果</w:t>
            </w:r>
          </w:p>
        </w:tc>
      </w:tr>
      <w:tr w14:paraId="378B6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6913066E">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扩展政策规则库</w:t>
            </w:r>
          </w:p>
        </w:tc>
        <w:tc>
          <w:tcPr>
            <w:tcW w:w="0" w:type="auto"/>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0AAC50F2">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增加更多政策事项，建立政策版本管理、规则变更对比和更新提醒机制</w:t>
            </w:r>
          </w:p>
        </w:tc>
        <w:tc>
          <w:tcPr>
            <w:tcW w:w="2369" w:type="dxa"/>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55BF66C7">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提升系统可迁移性和长期维护能力</w:t>
            </w:r>
          </w:p>
        </w:tc>
      </w:tr>
      <w:tr w14:paraId="716D0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746A7466">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完善真实数据接入</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5B04BFC9">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对接政务数据接口或标准化数据中台，补充数据质量检测机制</w:t>
            </w:r>
          </w:p>
        </w:tc>
        <w:tc>
          <w:tcPr>
            <w:tcW w:w="2369" w:type="dxa"/>
            <w:tcBorders>
              <w:top w:val="nil"/>
              <w:left w:val="nil"/>
              <w:bottom w:val="nil"/>
              <w:right w:val="nil"/>
            </w:tcBorders>
            <w:shd w:val="clear" w:color="auto" w:fill="auto"/>
            <w:noWrap w:val="0"/>
            <w:tcMar>
              <w:top w:w="-1" w:type="dxa"/>
              <w:left w:w="72" w:type="dxa"/>
              <w:bottom w:w="-1" w:type="dxa"/>
              <w:right w:w="72" w:type="dxa"/>
            </w:tcMar>
            <w:vAlign w:val="center"/>
          </w:tcPr>
          <w:p w14:paraId="631CC45E">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提高系统在真实场景中的可用性</w:t>
            </w:r>
          </w:p>
        </w:tc>
      </w:tr>
      <w:tr w14:paraId="39584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2B670EA0">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增强T2SQL鲁棒性</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5F718622">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完善Schema描述、业务字典、常用关联路径和时间范围查询模板</w:t>
            </w:r>
          </w:p>
        </w:tc>
        <w:tc>
          <w:tcPr>
            <w:tcW w:w="2369" w:type="dxa"/>
            <w:tcBorders>
              <w:top w:val="nil"/>
              <w:left w:val="nil"/>
              <w:bottom w:val="nil"/>
              <w:right w:val="nil"/>
            </w:tcBorders>
            <w:shd w:val="clear" w:color="auto" w:fill="auto"/>
            <w:noWrap w:val="0"/>
            <w:tcMar>
              <w:top w:w="-1" w:type="dxa"/>
              <w:left w:w="72" w:type="dxa"/>
              <w:bottom w:w="-1" w:type="dxa"/>
              <w:right w:w="72" w:type="dxa"/>
            </w:tcMar>
            <w:vAlign w:val="center"/>
          </w:tcPr>
          <w:p w14:paraId="44A9CB28">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降低字段幻觉和复杂查询失败率</w:t>
            </w:r>
          </w:p>
        </w:tc>
      </w:tr>
      <w:tr w14:paraId="6F32E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344B1E04">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优化多Agent辩论效率</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122CB545">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根据任务风险等级动态选择Agent数量、辩论轮次和仲裁策略</w:t>
            </w:r>
          </w:p>
        </w:tc>
        <w:tc>
          <w:tcPr>
            <w:tcW w:w="2369" w:type="dxa"/>
            <w:tcBorders>
              <w:top w:val="nil"/>
              <w:left w:val="nil"/>
              <w:bottom w:val="nil"/>
              <w:right w:val="nil"/>
            </w:tcBorders>
            <w:shd w:val="clear" w:color="auto" w:fill="auto"/>
            <w:noWrap w:val="0"/>
            <w:tcMar>
              <w:top w:w="-1" w:type="dxa"/>
              <w:left w:w="72" w:type="dxa"/>
              <w:bottom w:w="-1" w:type="dxa"/>
              <w:right w:w="72" w:type="dxa"/>
            </w:tcMar>
            <w:vAlign w:val="center"/>
          </w:tcPr>
          <w:p w14:paraId="795CCAC1">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减少响应时间和模型调用成本</w:t>
            </w:r>
          </w:p>
        </w:tc>
      </w:tr>
      <w:tr w14:paraId="0538F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12AC064B">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强化安全合规</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6ACC0D23">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完善角色权限、接口鉴权、日志审计、敏感字段脱敏和报告访问控制</w:t>
            </w:r>
          </w:p>
        </w:tc>
        <w:tc>
          <w:tcPr>
            <w:tcW w:w="2369" w:type="dxa"/>
            <w:tcBorders>
              <w:top w:val="nil"/>
              <w:left w:val="nil"/>
              <w:bottom w:val="nil"/>
              <w:right w:val="nil"/>
            </w:tcBorders>
            <w:shd w:val="clear" w:color="auto" w:fill="auto"/>
            <w:noWrap w:val="0"/>
            <w:tcMar>
              <w:top w:w="-1" w:type="dxa"/>
              <w:left w:w="72" w:type="dxa"/>
              <w:bottom w:w="-1" w:type="dxa"/>
              <w:right w:w="72" w:type="dxa"/>
            </w:tcMar>
            <w:vAlign w:val="center"/>
          </w:tcPr>
          <w:p w14:paraId="75A845ED">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满足政务数据安全和可追责要求</w:t>
            </w:r>
          </w:p>
        </w:tc>
      </w:tr>
      <w:tr w14:paraId="7A66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6B328DC6">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丰富评测体系</w:t>
            </w:r>
          </w:p>
        </w:tc>
        <w:tc>
          <w:tcPr>
            <w:tcW w:w="0" w:type="auto"/>
            <w:tcBorders>
              <w:top w:val="nil"/>
              <w:left w:val="nil"/>
              <w:bottom w:val="nil"/>
              <w:right w:val="nil"/>
            </w:tcBorders>
            <w:shd w:val="clear" w:color="auto" w:fill="auto"/>
            <w:noWrap w:val="0"/>
            <w:tcMar>
              <w:top w:w="-1" w:type="dxa"/>
              <w:left w:w="72" w:type="dxa"/>
              <w:bottom w:w="-1" w:type="dxa"/>
              <w:right w:w="72" w:type="dxa"/>
            </w:tcMar>
            <w:vAlign w:val="center"/>
          </w:tcPr>
          <w:p w14:paraId="6FAE7C99">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增加真实业务样本、压力测试、用户可用性测试和长期稳定性测试</w:t>
            </w:r>
          </w:p>
        </w:tc>
        <w:tc>
          <w:tcPr>
            <w:tcW w:w="2369" w:type="dxa"/>
            <w:tcBorders>
              <w:top w:val="nil"/>
              <w:left w:val="nil"/>
              <w:bottom w:val="nil"/>
              <w:right w:val="nil"/>
            </w:tcBorders>
            <w:shd w:val="clear" w:color="auto" w:fill="auto"/>
            <w:noWrap w:val="0"/>
            <w:tcMar>
              <w:top w:w="-1" w:type="dxa"/>
              <w:left w:w="72" w:type="dxa"/>
              <w:bottom w:w="-1" w:type="dxa"/>
              <w:right w:w="72" w:type="dxa"/>
            </w:tcMar>
            <w:vAlign w:val="center"/>
          </w:tcPr>
          <w:p w14:paraId="1615E1BA">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更全面验证系统落地效果</w:t>
            </w:r>
          </w:p>
        </w:tc>
      </w:tr>
      <w:tr w14:paraId="08F07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50"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5A22CC2D">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优化前端工作流</w:t>
            </w:r>
          </w:p>
        </w:tc>
        <w:tc>
          <w:tcPr>
            <w:tcW w:w="4759"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52C0AF57">
            <w:pPr>
              <w:keepNext w:val="0"/>
              <w:keepLines w:val="0"/>
              <w:widowControl/>
              <w:suppressLineNumbers w:val="0"/>
              <w:snapToGrid w:val="0"/>
              <w:spacing w:line="240" w:lineRule="auto"/>
              <w:ind w:left="0" w:leftChars="0" w:right="0" w:rightChars="0" w:firstLine="0" w:firstLineChars="0"/>
              <w:jc w:val="left"/>
              <w:rPr>
                <w:sz w:val="16"/>
                <w:szCs w:val="16"/>
              </w:rPr>
            </w:pPr>
            <w:r>
              <w:rPr>
                <w:rFonts w:ascii="宋体" w:hAnsi="宋体" w:eastAsia="宋体" w:cs="宋体"/>
                <w:color w:val="auto"/>
                <w:kern w:val="0"/>
                <w:sz w:val="16"/>
                <w:szCs w:val="16"/>
                <w:lang w:val="en-US" w:eastAsia="zh-CN" w:bidi="ar"/>
              </w:rPr>
              <w:t>支持批量审核、任务分派、复核流转、风险提醒和多模板报告导出</w:t>
            </w:r>
          </w:p>
        </w:tc>
        <w:tc>
          <w:tcPr>
            <w:tcW w:w="2369"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53D8430A">
            <w:pPr>
              <w:keepNext w:val="0"/>
              <w:keepLines w:val="0"/>
              <w:widowControl/>
              <w:suppressLineNumbers w:val="0"/>
              <w:snapToGrid w:val="0"/>
              <w:spacing w:line="240" w:lineRule="auto"/>
              <w:ind w:left="0" w:leftChars="0" w:right="0" w:rightChars="0" w:firstLine="0" w:firstLineChars="0"/>
              <w:jc w:val="center"/>
              <w:rPr>
                <w:sz w:val="16"/>
                <w:szCs w:val="16"/>
              </w:rPr>
            </w:pPr>
            <w:r>
              <w:rPr>
                <w:rFonts w:ascii="宋体" w:hAnsi="宋体" w:eastAsia="宋体" w:cs="宋体"/>
                <w:color w:val="auto"/>
                <w:kern w:val="0"/>
                <w:sz w:val="16"/>
                <w:szCs w:val="16"/>
                <w:lang w:val="en-US" w:eastAsia="zh-CN" w:bidi="ar"/>
              </w:rPr>
              <w:t>提升窗口经办人员实际使用体验</w:t>
            </w:r>
          </w:p>
        </w:tc>
      </w:tr>
    </w:tbl>
    <w:p w14:paraId="4CCA4B65">
      <w:pPr>
        <w:pStyle w:val="277"/>
        <w:widowControl/>
      </w:pPr>
      <w:r>
        <w:rPr>
          <w:vertAlign w:val="baseline"/>
        </w:rPr>
        <w:t>表8-1 后续改进方向</w:t>
      </w:r>
    </w:p>
    <w:p w14:paraId="0193F622">
      <w:pPr>
        <w:pStyle w:val="4"/>
        <w:keepNext/>
        <w:widowControl/>
        <w:numPr>
          <w:ilvl w:val="0"/>
          <w:numId w:val="0"/>
        </w:numPr>
        <w:ind w:leftChars="0"/>
        <w:rPr>
          <w:b w:val="0"/>
        </w:rPr>
      </w:pPr>
      <w:bookmarkStart w:id="72" w:name="_Toc16546"/>
      <w:r>
        <w:rPr>
          <w:rFonts w:hint="eastAsia"/>
          <w:vertAlign w:val="baseline"/>
          <w:lang w:val="en-US" w:eastAsia="zh-CN"/>
        </w:rPr>
        <w:t>6</w:t>
      </w:r>
      <w:r>
        <w:rPr>
          <w:rFonts w:hint="eastAsia"/>
          <w:vertAlign w:val="baseline"/>
          <w:lang w:eastAsia="zh-CN"/>
        </w:rPr>
        <w:t xml:space="preserve">.3 </w:t>
      </w:r>
      <w:r>
        <w:rPr>
          <w:vertAlign w:val="baseline"/>
        </w:rPr>
        <w:t>分阶段优化计划</w:t>
      </w:r>
      <w:bookmarkEnd w:id="72"/>
    </w:p>
    <w:p w14:paraId="47D8E71B">
      <w:pPr>
        <w:pStyle w:val="35"/>
        <w:bidi w:val="0"/>
      </w:pPr>
      <w:r>
        <w:t>从后续优化路径看，项目可以按照“短期完善系统稳定性、中期扩展业务适应性、长期推进真实场景落地”的思路逐步推进。</w:t>
      </w:r>
    </w:p>
    <w:p w14:paraId="78870540">
      <w:pPr>
        <w:pStyle w:val="35"/>
        <w:bidi w:val="0"/>
      </w:pPr>
      <w:r>
        <w:t>短期内，项目应优先完善核心功能的稳定展示和异常处理能力，包括政策识别、T2SQL取证、证据卡片生成、多Agent辩论仲裁、人工复核和PDF报告生成等关键链路，保证系统在演示和测试环境下运行稳定、结果清晰、过程可追溯。</w:t>
      </w:r>
    </w:p>
    <w:p w14:paraId="7ED33FCF">
      <w:pPr>
        <w:pStyle w:val="35"/>
        <w:bidi w:val="0"/>
      </w:pPr>
      <w:r>
        <w:t>中期可以围绕更多政策事项扩展规则库，补充更多边界案例和争议样本测试，并优化T2SQL取证链路和多Agent辩论仲裁链路的响应效率。对于低风险、证据充分的样本，可减少Agent调用轮次；对于高风险、证据冲突或材料缺失的样本，则保留更完整的辩论和人工复核流程。</w:t>
      </w:r>
    </w:p>
    <w:p w14:paraId="5DC07736">
      <w:pPr>
        <w:pStyle w:val="35"/>
        <w:bidi w:val="0"/>
        <w:rPr>
          <w:rFonts w:ascii="Times New Roman" w:hAnsi="Times New Roman" w:eastAsia="宋体" w:cs="Times New Roman"/>
          <w:b w:val="0"/>
          <w:i w:val="0"/>
          <w:color w:val="000000"/>
          <w:sz w:val="24"/>
          <w:szCs w:val="24"/>
          <w:vertAlign w:val="baseline"/>
        </w:rPr>
      </w:pPr>
      <w:r>
        <w:t>长期则可以考虑对接真实政务数据接口或数据中台，形成具备权限控制、审计追溯、批量审核、复核流转和统计分析能力的智能审核工作台，使系统从比赛原型进一步向真实政务辅助工具演进。</w:t>
      </w:r>
    </w:p>
    <w:tbl>
      <w:tblPr>
        <w:tblStyle w:val="89"/>
        <w:tblW w:w="88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1"/>
        <w:gridCol w:w="3116"/>
        <w:gridCol w:w="4993"/>
      </w:tblGrid>
      <w:tr w14:paraId="5E68B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41" w:type="dxa"/>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1F3D281D">
            <w:pPr>
              <w:keepNext w:val="0"/>
              <w:keepLines w:val="0"/>
              <w:widowControl/>
              <w:suppressLineNumbers w:val="0"/>
              <w:snapToGrid w:val="0"/>
              <w:spacing w:line="240" w:lineRule="auto"/>
              <w:ind w:left="0" w:leftChars="0" w:right="0" w:rightChars="0" w:firstLine="0" w:firstLineChars="0"/>
              <w:jc w:val="center"/>
              <w:rPr>
                <w:rFonts w:ascii="宋体" w:eastAsia="宋体"/>
                <w:b/>
                <w:sz w:val="16"/>
                <w:szCs w:val="16"/>
              </w:rPr>
            </w:pPr>
            <w:r>
              <w:rPr>
                <w:rFonts w:ascii="宋体" w:hAnsi="宋体" w:eastAsia="宋体" w:cs="宋体"/>
                <w:b/>
                <w:bCs/>
                <w:color w:val="auto"/>
                <w:kern w:val="0"/>
                <w:sz w:val="16"/>
                <w:szCs w:val="16"/>
                <w:lang w:val="en-US" w:eastAsia="zh-CN" w:bidi="ar"/>
              </w:rPr>
              <w:t>阶段</w:t>
            </w:r>
          </w:p>
        </w:tc>
        <w:tc>
          <w:tcPr>
            <w:tcW w:w="3116" w:type="dxa"/>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24081E10">
            <w:pPr>
              <w:keepNext w:val="0"/>
              <w:keepLines w:val="0"/>
              <w:widowControl/>
              <w:suppressLineNumbers w:val="0"/>
              <w:snapToGrid w:val="0"/>
              <w:spacing w:line="240" w:lineRule="auto"/>
              <w:ind w:left="0" w:leftChars="0" w:right="0" w:rightChars="0" w:firstLine="0" w:firstLineChars="0"/>
              <w:jc w:val="center"/>
              <w:rPr>
                <w:rFonts w:ascii="宋体" w:eastAsia="宋体"/>
                <w:b/>
                <w:sz w:val="16"/>
                <w:szCs w:val="16"/>
              </w:rPr>
            </w:pPr>
            <w:r>
              <w:rPr>
                <w:rFonts w:ascii="宋体" w:hAnsi="宋体" w:eastAsia="宋体" w:cs="宋体"/>
                <w:b/>
                <w:bCs/>
                <w:color w:val="auto"/>
                <w:kern w:val="0"/>
                <w:sz w:val="16"/>
                <w:szCs w:val="16"/>
                <w:lang w:val="en-US" w:eastAsia="zh-CN" w:bidi="ar"/>
              </w:rPr>
              <w:t>重点任务</w:t>
            </w:r>
          </w:p>
        </w:tc>
        <w:tc>
          <w:tcPr>
            <w:tcW w:w="4993" w:type="dxa"/>
            <w:tcBorders>
              <w:top w:val="single" w:color="888888" w:sz="12" w:space="0"/>
              <w:left w:val="nil"/>
              <w:bottom w:val="nil"/>
              <w:right w:val="nil"/>
            </w:tcBorders>
            <w:shd w:val="clear" w:color="auto" w:fill="D9EAF7"/>
            <w:noWrap w:val="0"/>
            <w:tcMar>
              <w:top w:w="-1" w:type="dxa"/>
              <w:left w:w="72" w:type="dxa"/>
              <w:bottom w:w="-1" w:type="dxa"/>
              <w:right w:w="72" w:type="dxa"/>
            </w:tcMar>
            <w:vAlign w:val="center"/>
          </w:tcPr>
          <w:p w14:paraId="7E92538C">
            <w:pPr>
              <w:keepNext w:val="0"/>
              <w:keepLines w:val="0"/>
              <w:widowControl/>
              <w:suppressLineNumbers w:val="0"/>
              <w:snapToGrid w:val="0"/>
              <w:spacing w:line="240" w:lineRule="auto"/>
              <w:ind w:left="0" w:leftChars="0" w:right="0" w:rightChars="0" w:firstLine="0" w:firstLineChars="0"/>
              <w:jc w:val="center"/>
              <w:rPr>
                <w:rFonts w:ascii="宋体" w:eastAsia="宋体"/>
                <w:b/>
                <w:sz w:val="16"/>
                <w:szCs w:val="16"/>
              </w:rPr>
            </w:pPr>
            <w:r>
              <w:rPr>
                <w:rFonts w:ascii="宋体" w:hAnsi="宋体" w:eastAsia="宋体" w:cs="宋体"/>
                <w:b/>
                <w:bCs/>
                <w:color w:val="auto"/>
                <w:kern w:val="0"/>
                <w:sz w:val="16"/>
                <w:szCs w:val="16"/>
                <w:lang w:val="en-US" w:eastAsia="zh-CN" w:bidi="ar"/>
              </w:rPr>
              <w:t>说明</w:t>
            </w:r>
          </w:p>
        </w:tc>
      </w:tr>
      <w:tr w14:paraId="4FFF6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41" w:type="dxa"/>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31F8A482">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近期</w:t>
            </w:r>
          </w:p>
        </w:tc>
        <w:tc>
          <w:tcPr>
            <w:tcW w:w="3116" w:type="dxa"/>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334385F8">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完善核心链路稳定性和异常处理能力</w:t>
            </w:r>
          </w:p>
        </w:tc>
        <w:tc>
          <w:tcPr>
            <w:tcW w:w="4993" w:type="dxa"/>
            <w:tcBorders>
              <w:top w:val="single" w:color="888888" w:sz="4" w:space="0"/>
              <w:left w:val="nil"/>
              <w:bottom w:val="nil"/>
              <w:right w:val="nil"/>
            </w:tcBorders>
            <w:shd w:val="clear" w:color="auto" w:fill="auto"/>
            <w:noWrap w:val="0"/>
            <w:tcMar>
              <w:top w:w="-1" w:type="dxa"/>
              <w:left w:w="72" w:type="dxa"/>
              <w:bottom w:w="-1" w:type="dxa"/>
              <w:right w:w="72" w:type="dxa"/>
            </w:tcMar>
            <w:vAlign w:val="center"/>
          </w:tcPr>
          <w:p w14:paraId="228D21F0">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保证政策识别、T2SQL取证、证据卡片、多Agent辩论、人工复核和报告生成稳定运行</w:t>
            </w:r>
          </w:p>
        </w:tc>
      </w:tr>
      <w:tr w14:paraId="7670D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41" w:type="dxa"/>
            <w:tcBorders>
              <w:top w:val="nil"/>
              <w:left w:val="nil"/>
              <w:bottom w:val="nil"/>
              <w:right w:val="nil"/>
            </w:tcBorders>
            <w:shd w:val="clear" w:color="auto" w:fill="auto"/>
            <w:noWrap w:val="0"/>
            <w:tcMar>
              <w:top w:w="-1" w:type="dxa"/>
              <w:left w:w="72" w:type="dxa"/>
              <w:bottom w:w="-1" w:type="dxa"/>
              <w:right w:w="72" w:type="dxa"/>
            </w:tcMar>
            <w:vAlign w:val="center"/>
          </w:tcPr>
          <w:p w14:paraId="33923C4C">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中期</w:t>
            </w:r>
          </w:p>
        </w:tc>
        <w:tc>
          <w:tcPr>
            <w:tcW w:w="3116" w:type="dxa"/>
            <w:tcBorders>
              <w:top w:val="nil"/>
              <w:left w:val="nil"/>
              <w:bottom w:val="nil"/>
              <w:right w:val="nil"/>
            </w:tcBorders>
            <w:shd w:val="clear" w:color="auto" w:fill="auto"/>
            <w:noWrap w:val="0"/>
            <w:tcMar>
              <w:top w:w="-1" w:type="dxa"/>
              <w:left w:w="72" w:type="dxa"/>
              <w:bottom w:w="-1" w:type="dxa"/>
              <w:right w:w="72" w:type="dxa"/>
            </w:tcMar>
            <w:vAlign w:val="center"/>
          </w:tcPr>
          <w:p w14:paraId="6438E3A9">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扩展规则库、补充测试样本、优化取证与辩论链路</w:t>
            </w:r>
          </w:p>
        </w:tc>
        <w:tc>
          <w:tcPr>
            <w:tcW w:w="4993" w:type="dxa"/>
            <w:tcBorders>
              <w:top w:val="nil"/>
              <w:left w:val="nil"/>
              <w:bottom w:val="nil"/>
              <w:right w:val="nil"/>
            </w:tcBorders>
            <w:shd w:val="clear" w:color="auto" w:fill="auto"/>
            <w:noWrap w:val="0"/>
            <w:tcMar>
              <w:top w:w="-1" w:type="dxa"/>
              <w:left w:w="72" w:type="dxa"/>
              <w:bottom w:w="-1" w:type="dxa"/>
              <w:right w:w="72" w:type="dxa"/>
            </w:tcMar>
            <w:vAlign w:val="center"/>
          </w:tcPr>
          <w:p w14:paraId="6F4FDEA1">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提高系统对多政策、多样本和复杂审核场景的适应能力</w:t>
            </w:r>
          </w:p>
        </w:tc>
      </w:tr>
      <w:tr w14:paraId="424D5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41"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1CC75576">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长期</w:t>
            </w:r>
          </w:p>
        </w:tc>
        <w:tc>
          <w:tcPr>
            <w:tcW w:w="3116"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7AEF05CE">
            <w:pPr>
              <w:keepNext w:val="0"/>
              <w:keepLines w:val="0"/>
              <w:widowControl/>
              <w:suppressLineNumbers w:val="0"/>
              <w:snapToGrid w:val="0"/>
              <w:spacing w:line="240" w:lineRule="auto"/>
              <w:ind w:left="0" w:leftChars="0" w:right="0" w:rightChars="0" w:firstLine="0" w:firstLineChars="0"/>
              <w:jc w:val="center"/>
              <w:rPr>
                <w:rFonts w:ascii="宋体" w:eastAsia="宋体"/>
                <w:sz w:val="16"/>
                <w:szCs w:val="16"/>
              </w:rPr>
            </w:pPr>
            <w:r>
              <w:rPr>
                <w:rFonts w:ascii="宋体" w:hAnsi="宋体" w:eastAsia="宋体" w:cs="宋体"/>
                <w:color w:val="auto"/>
                <w:kern w:val="0"/>
                <w:sz w:val="16"/>
                <w:szCs w:val="16"/>
                <w:lang w:val="en-US" w:eastAsia="zh-CN" w:bidi="ar"/>
              </w:rPr>
              <w:t>对接真实数据、完善权限审计、形成审核工作台</w:t>
            </w:r>
          </w:p>
        </w:tc>
        <w:tc>
          <w:tcPr>
            <w:tcW w:w="4993" w:type="dxa"/>
            <w:tcBorders>
              <w:top w:val="nil"/>
              <w:left w:val="nil"/>
              <w:bottom w:val="single" w:color="888888" w:sz="12" w:space="0"/>
              <w:right w:val="nil"/>
            </w:tcBorders>
            <w:shd w:val="clear" w:color="auto" w:fill="auto"/>
            <w:noWrap w:val="0"/>
            <w:tcMar>
              <w:top w:w="-1" w:type="dxa"/>
              <w:left w:w="72" w:type="dxa"/>
              <w:bottom w:w="-1" w:type="dxa"/>
              <w:right w:w="72" w:type="dxa"/>
            </w:tcMar>
            <w:vAlign w:val="center"/>
          </w:tcPr>
          <w:p w14:paraId="795DF3C3">
            <w:pPr>
              <w:keepNext w:val="0"/>
              <w:keepLines w:val="0"/>
              <w:widowControl/>
              <w:suppressLineNumbers w:val="0"/>
              <w:snapToGrid w:val="0"/>
              <w:spacing w:line="240" w:lineRule="auto"/>
              <w:ind w:left="0" w:leftChars="0" w:right="0" w:rightChars="0" w:firstLine="0" w:firstLineChars="0"/>
              <w:jc w:val="left"/>
              <w:rPr>
                <w:rFonts w:ascii="宋体" w:eastAsia="宋体"/>
                <w:sz w:val="16"/>
                <w:szCs w:val="16"/>
              </w:rPr>
            </w:pPr>
            <w:r>
              <w:rPr>
                <w:rFonts w:ascii="宋体" w:hAnsi="宋体" w:eastAsia="宋体" w:cs="宋体"/>
                <w:color w:val="auto"/>
                <w:kern w:val="0"/>
                <w:sz w:val="16"/>
                <w:szCs w:val="16"/>
                <w:lang w:val="en-US" w:eastAsia="zh-CN" w:bidi="ar"/>
              </w:rPr>
              <w:t>推动系统从比赛原型向实际辅助审核工具演进</w:t>
            </w:r>
          </w:p>
        </w:tc>
      </w:tr>
    </w:tbl>
    <w:p w14:paraId="18956B88">
      <w:pPr>
        <w:pStyle w:val="277"/>
        <w:widowControl/>
      </w:pPr>
      <w:r>
        <w:rPr>
          <w:vertAlign w:val="baseline"/>
        </w:rPr>
        <w:t>表8-2 分阶段优化计划</w:t>
      </w:r>
    </w:p>
    <w:p w14:paraId="481B19CA">
      <w:pPr>
        <w:pStyle w:val="35"/>
        <w:bidi w:val="0"/>
      </w:pPr>
      <w:r>
        <w:t>总体来看，本项目已经具备清晰的应用方向和完整的技术闭环。后续改进的重点不是简单增加功能数量，而是围绕“真实数据环境下是否稳定、证据取证是否可靠、Agent辩论是否可追溯、人工复核责任是否清晰、报告归档是否规范”持续完善，使系统更接近政务场景中的实际使用要求。</w:t>
      </w:r>
    </w:p>
    <w:sectPr>
      <w:footerReference r:id="rId5" w:type="default"/>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正圆-45W">
    <w:altName w:val="宋体"/>
    <w:panose1 w:val="00020600040101010101"/>
    <w:charset w:val="86"/>
    <w:family w:val="roman"/>
    <w:pitch w:val="default"/>
    <w:sig w:usb0="00000000" w:usb1="00000000" w:usb2="00000016" w:usb3="00000000" w:csb0="0004009F" w:csb1="00000000"/>
  </w:font>
  <w:font w:name="Calibri Light">
    <w:panose1 w:val="020F0302020204030204"/>
    <w:charset w:val="00"/>
    <w:family w:val="auto"/>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Microsoft YaHei UI">
    <w:panose1 w:val="020B0503020204020204"/>
    <w:charset w:val="86"/>
    <w:family w:val="swiss"/>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1B975">
    <w:pPr>
      <w:pStyle w:val="5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AFB70C">
                          <w:pPr>
                            <w:pStyle w:val="5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2AFB70C">
                    <w:pPr>
                      <w:pStyle w:val="5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B23F46"/>
    <w:multiLevelType w:val="multilevel"/>
    <w:tmpl w:val="A5B23F46"/>
    <w:lvl w:ilvl="0" w:tentative="0">
      <w:start w:val="1"/>
      <w:numFmt w:val="bullet"/>
      <w:pStyle w:val="41"/>
      <w:suff w:val="space"/>
      <w:lvlText w:val="◊"/>
      <w:lvlJc w:val="left"/>
      <w:pPr>
        <w:tabs>
          <w:tab w:val="left" w:pos="0"/>
        </w:tabs>
        <w:ind w:left="0" w:firstLine="0"/>
      </w:pPr>
      <w:rPr>
        <w:rFonts w:hint="default" w:ascii="Arial" w:hAnsi="Arial"/>
        <w:color w:val="auto"/>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C12C37DC"/>
    <w:multiLevelType w:val="singleLevel"/>
    <w:tmpl w:val="C12C37DC"/>
    <w:lvl w:ilvl="0" w:tentative="0">
      <w:start w:val="1"/>
      <w:numFmt w:val="bullet"/>
      <w:pStyle w:val="47"/>
      <w:suff w:val="space"/>
      <w:lvlText w:val=""/>
      <w:lvlJc w:val="left"/>
      <w:pPr>
        <w:tabs>
          <w:tab w:val="left" w:pos="420"/>
        </w:tabs>
        <w:ind w:left="0" w:firstLine="0"/>
      </w:pPr>
      <w:rPr>
        <w:rFonts w:hint="default" w:ascii="Wingdings" w:hAnsi="Wingdings"/>
        <w:color w:val="auto"/>
      </w:rPr>
    </w:lvl>
  </w:abstractNum>
  <w:abstractNum w:abstractNumId="2">
    <w:nsid w:val="E08E37DC"/>
    <w:multiLevelType w:val="singleLevel"/>
    <w:tmpl w:val="E08E37DC"/>
    <w:lvl w:ilvl="0" w:tentative="0">
      <w:start w:val="1"/>
      <w:numFmt w:val="bullet"/>
      <w:pStyle w:val="25"/>
      <w:suff w:val="space"/>
      <w:lvlText w:val=""/>
      <w:lvlJc w:val="left"/>
      <w:pPr>
        <w:tabs>
          <w:tab w:val="left" w:pos="0"/>
        </w:tabs>
        <w:ind w:left="0" w:firstLine="0"/>
      </w:pPr>
      <w:rPr>
        <w:rFonts w:hint="default" w:ascii="Wingdings" w:hAnsi="Wingdings"/>
        <w:color w:val="auto"/>
      </w:rPr>
    </w:lvl>
  </w:abstractNum>
  <w:abstractNum w:abstractNumId="3">
    <w:nsid w:val="E93C8293"/>
    <w:multiLevelType w:val="singleLevel"/>
    <w:tmpl w:val="E93C8293"/>
    <w:lvl w:ilvl="0" w:tentative="0">
      <w:start w:val="1"/>
      <w:numFmt w:val="decimal"/>
      <w:lvlText w:val="(%1)"/>
      <w:lvlJc w:val="left"/>
      <w:pPr>
        <w:ind w:left="425" w:hanging="425"/>
      </w:pPr>
      <w:rPr>
        <w:rFonts w:hint="default"/>
      </w:rPr>
    </w:lvl>
  </w:abstractNum>
  <w:abstractNum w:abstractNumId="4">
    <w:nsid w:val="106257FD"/>
    <w:multiLevelType w:val="multilevel"/>
    <w:tmpl w:val="106257FD"/>
    <w:lvl w:ilvl="0" w:tentative="0">
      <w:start w:val="1"/>
      <w:numFmt w:val="bullet"/>
      <w:pStyle w:val="17"/>
      <w:suff w:val="space"/>
      <w:lvlText w:val=""/>
      <w:lvlJc w:val="left"/>
      <w:pPr>
        <w:tabs>
          <w:tab w:val="left" w:pos="420"/>
        </w:tabs>
        <w:ind w:left="0" w:firstLine="0"/>
      </w:pPr>
      <w:rPr>
        <w:rFonts w:hint="default" w:ascii="Wingdings" w:hAnsi="Wingdings"/>
        <w:color w:val="auto"/>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5">
    <w:nsid w:val="6AB8781A"/>
    <w:multiLevelType w:val="singleLevel"/>
    <w:tmpl w:val="6AB8781A"/>
    <w:lvl w:ilvl="0" w:tentative="0">
      <w:start w:val="1"/>
      <w:numFmt w:val="decimal"/>
      <w:lvlText w:val="(%1)"/>
      <w:lvlJc w:val="left"/>
      <w:pPr>
        <w:ind w:left="425" w:hanging="425"/>
      </w:pPr>
      <w:rPr>
        <w:rFonts w:hint="default"/>
      </w:rPr>
    </w:lvl>
  </w:abstractNum>
  <w:abstractNum w:abstractNumId="6">
    <w:nsid w:val="74D657D1"/>
    <w:multiLevelType w:val="multilevel"/>
    <w:tmpl w:val="74D657D1"/>
    <w:lvl w:ilvl="0" w:tentative="0">
      <w:start w:val="1"/>
      <w:numFmt w:val="decimal"/>
      <w:pStyle w:val="20"/>
      <w:suff w:val="space"/>
      <w:lvlText w:val="第 %1 条"/>
      <w:lvlJc w:val="left"/>
      <w:pPr>
        <w:tabs>
          <w:tab w:val="left" w:pos="0"/>
        </w:tabs>
        <w:ind w:left="0" w:firstLine="0"/>
      </w:pPr>
      <w:rPr>
        <w:rFonts w:hint="default"/>
      </w:rPr>
    </w:lvl>
    <w:lvl w:ilvl="1" w:tentative="0">
      <w:start w:val="1"/>
      <w:numFmt w:val="decimalFullWidth"/>
      <w:pStyle w:val="14"/>
      <w:isLgl/>
      <w:suff w:val="space"/>
      <w:lvlText w:val="%1.%2"/>
      <w:lvlJc w:val="left"/>
      <w:pPr>
        <w:tabs>
          <w:tab w:val="left" w:pos="420"/>
        </w:tabs>
        <w:ind w:left="0" w:firstLine="0"/>
      </w:pPr>
      <w:rPr>
        <w:rFonts w:hint="eastAsia"/>
      </w:rPr>
    </w:lvl>
    <w:lvl w:ilvl="2" w:tentative="0">
      <w:start w:val="1"/>
      <w:numFmt w:val="decimal"/>
      <w:pStyle w:val="37"/>
      <w:isLgl/>
      <w:suff w:val="space"/>
      <w:lvlText w:val="%1.%2.%3"/>
      <w:lvlJc w:val="left"/>
      <w:pPr>
        <w:tabs>
          <w:tab w:val="left" w:pos="0"/>
        </w:tabs>
        <w:ind w:left="0" w:firstLine="0"/>
      </w:pPr>
      <w:rPr>
        <w:rFonts w:hint="eastAsia"/>
      </w:rPr>
    </w:lvl>
    <w:lvl w:ilvl="3" w:tentative="0">
      <w:start w:val="1"/>
      <w:numFmt w:val="decimal"/>
      <w:pStyle w:val="48"/>
      <w:isLgl/>
      <w:suff w:val="space"/>
      <w:lvlText w:val="%4）"/>
      <w:lvlJc w:val="left"/>
      <w:pPr>
        <w:tabs>
          <w:tab w:val="left" w:pos="420"/>
        </w:tabs>
        <w:ind w:left="0" w:firstLine="0"/>
      </w:pPr>
      <w:rPr>
        <w:rFonts w:hint="default"/>
      </w:rPr>
    </w:lvl>
    <w:lvl w:ilvl="4" w:tentative="0">
      <w:start w:val="1"/>
      <w:numFmt w:val="decimalZero"/>
      <w:pStyle w:val="66"/>
      <w:isLgl/>
      <w:lvlText w:val="%5."/>
      <w:lvlJc w:val="left"/>
      <w:pPr>
        <w:tabs>
          <w:tab w:val="left" w:pos="420"/>
        </w:tabs>
        <w:ind w:left="0" w:firstLine="0"/>
      </w:pPr>
      <w:rPr>
        <w:rFonts w:hint="default"/>
      </w:rPr>
    </w:lvl>
    <w:lvl w:ilvl="5" w:tentative="0">
      <w:start w:val="1"/>
      <w:numFmt w:val="lowerLetter"/>
      <w:lvlText w:val="%6)"/>
      <w:lvlJc w:val="left"/>
      <w:pPr>
        <w:ind w:left="1152" w:hanging="432"/>
      </w:pPr>
      <w:rPr>
        <w:rFonts w:hint="eastAsia"/>
      </w:rPr>
    </w:lvl>
    <w:lvl w:ilvl="6" w:tentative="0">
      <w:start w:val="1"/>
      <w:numFmt w:val="lowerRoman"/>
      <w:lvlText w:val="%7)"/>
      <w:lvlJc w:val="right"/>
      <w:pPr>
        <w:ind w:left="1296" w:hanging="288"/>
      </w:pPr>
      <w:rPr>
        <w:rFonts w:hint="eastAsia"/>
      </w:rPr>
    </w:lvl>
    <w:lvl w:ilvl="7" w:tentative="0">
      <w:start w:val="1"/>
      <w:numFmt w:val="lowerLetter"/>
      <w:lvlText w:val="%8."/>
      <w:lvlJc w:val="left"/>
      <w:pPr>
        <w:ind w:left="1440" w:hanging="432"/>
      </w:pPr>
      <w:rPr>
        <w:rFonts w:hint="eastAsia"/>
      </w:rPr>
    </w:lvl>
    <w:lvl w:ilvl="8" w:tentative="0">
      <w:start w:val="1"/>
      <w:numFmt w:val="lowerRoman"/>
      <w:lvlText w:val="%9."/>
      <w:lvlJc w:val="right"/>
      <w:pPr>
        <w:ind w:left="1584" w:hanging="144"/>
      </w:pPr>
      <w:rPr>
        <w:rFonts w:hint="eastAsia"/>
      </w:rPr>
    </w:lvl>
  </w:abstractNum>
  <w:abstractNum w:abstractNumId="7">
    <w:nsid w:val="789DDC66"/>
    <w:multiLevelType w:val="singleLevel"/>
    <w:tmpl w:val="789DDC66"/>
    <w:lvl w:ilvl="0" w:tentative="0">
      <w:start w:val="1"/>
      <w:numFmt w:val="bullet"/>
      <w:pStyle w:val="34"/>
      <w:suff w:val="space"/>
      <w:lvlText w:val=""/>
      <w:lvlJc w:val="left"/>
      <w:pPr>
        <w:tabs>
          <w:tab w:val="left" w:pos="420"/>
        </w:tabs>
        <w:ind w:left="0" w:firstLine="0"/>
      </w:pPr>
      <w:rPr>
        <w:rFonts w:hint="default" w:ascii="Wingdings" w:hAnsi="Wingdings"/>
        <w:color w:val="auto"/>
      </w:rPr>
    </w:lvl>
  </w:abstractNum>
  <w:num w:numId="1">
    <w:abstractNumId w:val="6"/>
  </w:num>
  <w:num w:numId="2">
    <w:abstractNumId w:val="4"/>
  </w:num>
  <w:num w:numId="3">
    <w:abstractNumId w:val="2"/>
  </w:num>
  <w:num w:numId="4">
    <w:abstractNumId w:val="7"/>
  </w:num>
  <w:num w:numId="5">
    <w:abstractNumId w:val="0"/>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B4F71"/>
    <w:rsid w:val="00AA1D8D"/>
    <w:rsid w:val="00B47730"/>
    <w:rsid w:val="00CB0664"/>
    <w:rsid w:val="00FC693F"/>
    <w:rsid w:val="012A0989"/>
    <w:rsid w:val="023A109F"/>
    <w:rsid w:val="05241B93"/>
    <w:rsid w:val="05B2719F"/>
    <w:rsid w:val="069F3BC7"/>
    <w:rsid w:val="10DE52EC"/>
    <w:rsid w:val="19EE57F1"/>
    <w:rsid w:val="20C067BC"/>
    <w:rsid w:val="24FF4CA0"/>
    <w:rsid w:val="25097B31"/>
    <w:rsid w:val="28304227"/>
    <w:rsid w:val="2A64465C"/>
    <w:rsid w:val="39704DF9"/>
    <w:rsid w:val="42B23D5F"/>
    <w:rsid w:val="4D477799"/>
    <w:rsid w:val="4FD33566"/>
    <w:rsid w:val="51CC4711"/>
    <w:rsid w:val="5CC75C52"/>
    <w:rsid w:val="61D01CF1"/>
    <w:rsid w:val="663E7534"/>
    <w:rsid w:val="6AD95A7D"/>
    <w:rsid w:val="70EC5DDE"/>
    <w:rsid w:val="782F3180"/>
    <w:rsid w:val="7B0E3521"/>
    <w:rsid w:val="7CAD6A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iPriority="99" w:name="HTML Acronym"/>
    <w:lsdException w:qFormat="1" w:unhideWhenUsed="0" w:uiPriority="0" w:semiHidden="0"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99"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bidi w:val="0"/>
      <w:adjustRightInd w:val="0"/>
      <w:snapToGrid w:val="0"/>
      <w:spacing w:line="360" w:lineRule="auto"/>
      <w:ind w:firstLine="440" w:firstLineChars="200"/>
      <w:jc w:val="both"/>
    </w:pPr>
    <w:rPr>
      <w:rFonts w:ascii="宋体" w:hAnsi="宋体" w:eastAsia="宋体" w:cs="Times New Roman"/>
      <w:color w:val="auto"/>
      <w:kern w:val="2"/>
      <w:sz w:val="24"/>
      <w:szCs w:val="24"/>
      <w:lang w:val="en-US" w:eastAsia="zh-CN" w:bidi="ar-SA"/>
    </w:rPr>
  </w:style>
  <w:style w:type="paragraph" w:styleId="3">
    <w:name w:val="heading 1"/>
    <w:next w:val="1"/>
    <w:qFormat/>
    <w:uiPriority w:val="9"/>
    <w:pPr>
      <w:keepNext w:val="0"/>
      <w:keepLines w:val="0"/>
      <w:widowControl w:val="0"/>
      <w:adjustRightInd w:val="0"/>
      <w:spacing w:before="480" w:after="360" w:line="240" w:lineRule="auto"/>
      <w:jc w:val="center"/>
      <w:outlineLvl w:val="0"/>
    </w:pPr>
    <w:rPr>
      <w:rFonts w:ascii="Times New Roman" w:hAnsi="Times New Roman" w:eastAsia="黑体" w:cs="Times New Roman"/>
      <w:kern w:val="44"/>
      <w:sz w:val="32"/>
      <w:szCs w:val="32"/>
      <w:lang w:bidi="ar-SA"/>
    </w:rPr>
  </w:style>
  <w:style w:type="paragraph" w:styleId="4">
    <w:name w:val="heading 2"/>
    <w:next w:val="1"/>
    <w:link w:val="278"/>
    <w:unhideWhenUsed/>
    <w:qFormat/>
    <w:uiPriority w:val="9"/>
    <w:pPr>
      <w:keepNext w:val="0"/>
      <w:keepLines w:val="0"/>
      <w:widowControl w:val="0"/>
      <w:adjustRightInd w:val="0"/>
      <w:spacing w:before="360" w:after="181" w:afterLines="50" w:line="240" w:lineRule="auto"/>
      <w:jc w:val="left"/>
      <w:outlineLvl w:val="1"/>
    </w:pPr>
    <w:rPr>
      <w:rFonts w:ascii="Times New Roman" w:hAnsi="Times New Roman" w:eastAsia="黑体" w:cs="Times New Roman"/>
      <w:kern w:val="2"/>
      <w:sz w:val="28"/>
      <w:szCs w:val="28"/>
      <w:lang w:bidi="ar-SA"/>
    </w:rPr>
  </w:style>
  <w:style w:type="paragraph" w:styleId="5">
    <w:name w:val="heading 3"/>
    <w:next w:val="1"/>
    <w:unhideWhenUsed/>
    <w:qFormat/>
    <w:uiPriority w:val="9"/>
    <w:pPr>
      <w:keepNext w:val="0"/>
      <w:keepLines w:val="0"/>
      <w:widowControl w:val="0"/>
      <w:adjustRightInd w:val="0"/>
      <w:spacing w:before="240" w:after="181" w:afterLines="50" w:line="240" w:lineRule="auto"/>
      <w:jc w:val="left"/>
      <w:outlineLvl w:val="2"/>
    </w:pPr>
    <w:rPr>
      <w:rFonts w:ascii="Times New Roman" w:hAnsi="Times New Roman" w:eastAsia="黑体" w:cs="Times New Roman"/>
      <w:kern w:val="2"/>
      <w:sz w:val="28"/>
      <w:szCs w:val="24"/>
      <w:lang w:bidi="ar-SA"/>
    </w:rPr>
  </w:style>
  <w:style w:type="paragraph" w:styleId="6">
    <w:name w:val="heading 4"/>
    <w:next w:val="1"/>
    <w:unhideWhenUsed/>
    <w:qFormat/>
    <w:uiPriority w:val="9"/>
    <w:pPr>
      <w:keepNext w:val="0"/>
      <w:keepLines w:val="0"/>
      <w:widowControl w:val="0"/>
      <w:adjustRightInd w:val="0"/>
      <w:spacing w:before="240" w:after="50" w:afterLines="50" w:line="400" w:lineRule="exact"/>
      <w:ind w:firstLine="480" w:firstLineChars="200"/>
      <w:jc w:val="left"/>
      <w:outlineLvl w:val="3"/>
    </w:pPr>
    <w:rPr>
      <w:rFonts w:ascii="Times New Roman" w:hAnsi="Times New Roman" w:eastAsia="黑体" w:cs="Times New Roman"/>
      <w:kern w:val="2"/>
      <w:sz w:val="24"/>
      <w:szCs w:val="24"/>
      <w:lang w:bidi="ar-SA"/>
    </w:rPr>
  </w:style>
  <w:style w:type="paragraph" w:styleId="7">
    <w:name w:val="heading 5"/>
    <w:next w:val="1"/>
    <w:unhideWhenUsed/>
    <w:qFormat/>
    <w:uiPriority w:val="9"/>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unhideWhenUsed/>
    <w:qFormat/>
    <w:uiPriority w:val="0"/>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unhideWhenUsed/>
    <w:qFormat/>
    <w:uiPriority w:val="0"/>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unhideWhenUsed/>
    <w:qFormat/>
    <w:uiPriority w:val="0"/>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unhideWhenUsed/>
    <w:qFormat/>
    <w:uiPriority w:val="0"/>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89">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249"/>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Courier New" w:hAnsi="Courier New" w:eastAsia="宋体" w:cs="Courier New"/>
      <w:kern w:val="2"/>
      <w:sz w:val="24"/>
      <w:szCs w:val="24"/>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1"/>
        <w:numId w:val="1"/>
      </w:numPr>
      <w:tabs>
        <w:tab w:val="left" w:pos="419"/>
        <w:tab w:val="left" w:pos="1843"/>
        <w:tab w:val="clear" w:pos="420"/>
      </w:tabs>
      <w:spacing w:before="50" w:after="50"/>
      <w:ind w:firstLineChars="0"/>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266"/>
    <w:qFormat/>
    <w:uiPriority w:val="0"/>
    <w:pPr>
      <w:jc w:val="center"/>
    </w:pPr>
    <w:rPr>
      <w:rFonts w:ascii="汉仪正圆-45W" w:hAnsi="汉仪正圆-45W" w:eastAsia="汉仪正圆-45W" w:cstheme="minorBidi"/>
      <w:kern w:val="2"/>
      <w:sz w:val="22"/>
      <w:szCs w:val="22"/>
    </w:rPr>
  </w:style>
  <w:style w:type="paragraph" w:styleId="17">
    <w:name w:val="List Bullet 4"/>
    <w:basedOn w:val="1"/>
    <w:qFormat/>
    <w:uiPriority w:val="0"/>
    <w:pPr>
      <w:numPr>
        <w:ilvl w:val="0"/>
        <w:numId w:val="2"/>
      </w:numPr>
      <w:tabs>
        <w:tab w:val="clear" w:pos="420"/>
      </w:tabs>
      <w:spacing w:before="50" w:after="50"/>
      <w:ind w:left="1361" w:hanging="340"/>
    </w:pPr>
  </w:style>
  <w:style w:type="paragraph" w:styleId="18">
    <w:name w:val="index 8"/>
    <w:basedOn w:val="1"/>
    <w:next w:val="1"/>
    <w:qFormat/>
    <w:uiPriority w:val="0"/>
    <w:pPr>
      <w:ind w:left="1400" w:leftChars="1400" w:firstLine="0"/>
    </w:pPr>
  </w:style>
  <w:style w:type="paragraph" w:styleId="19">
    <w:name w:val="E-mail Signature"/>
    <w:basedOn w:val="1"/>
    <w:link w:val="248"/>
    <w:qFormat/>
    <w:uiPriority w:val="0"/>
    <w:rPr>
      <w:rFonts w:ascii="汉仪正圆-45W" w:hAnsi="汉仪正圆-45W" w:eastAsia="汉仪正圆-45W" w:cstheme="minorBidi"/>
      <w:kern w:val="2"/>
      <w:sz w:val="22"/>
      <w:szCs w:val="22"/>
    </w:rPr>
  </w:style>
  <w:style w:type="paragraph" w:styleId="20">
    <w:name w:val="List Number"/>
    <w:basedOn w:val="1"/>
    <w:link w:val="241"/>
    <w:qFormat/>
    <w:uiPriority w:val="0"/>
    <w:pPr>
      <w:numPr>
        <w:ilvl w:val="0"/>
        <w:numId w:val="1"/>
      </w:numPr>
      <w:tabs>
        <w:tab w:val="clear" w:pos="0"/>
      </w:tabs>
      <w:spacing w:before="50" w:after="50"/>
      <w:ind w:firstLineChars="0"/>
    </w:pPr>
  </w:style>
  <w:style w:type="paragraph" w:styleId="21">
    <w:name w:val="Normal Indent"/>
    <w:basedOn w:val="1"/>
    <w:qFormat/>
    <w:uiPriority w:val="0"/>
    <w:pPr>
      <w:ind w:firstLine="420"/>
    </w:pPr>
  </w:style>
  <w:style w:type="paragraph" w:styleId="22">
    <w:name w:val="caption"/>
    <w:basedOn w:val="1"/>
    <w:next w:val="23"/>
    <w:unhideWhenUsed/>
    <w:qFormat/>
    <w:uiPriority w:val="0"/>
    <w:pPr>
      <w:ind w:firstLine="0" w:firstLineChars="0"/>
    </w:pPr>
    <w:rPr>
      <w:sz w:val="20"/>
      <w:szCs w:val="20"/>
    </w:rPr>
  </w:style>
  <w:style w:type="paragraph" w:customStyle="1" w:styleId="2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24">
    <w:name w:val="index 5"/>
    <w:basedOn w:val="1"/>
    <w:next w:val="1"/>
    <w:qFormat/>
    <w:uiPriority w:val="0"/>
    <w:pPr>
      <w:ind w:left="800" w:leftChars="800" w:firstLine="0"/>
    </w:pPr>
  </w:style>
  <w:style w:type="paragraph" w:styleId="25">
    <w:name w:val="List Bullet"/>
    <w:basedOn w:val="1"/>
    <w:link w:val="242"/>
    <w:qFormat/>
    <w:uiPriority w:val="0"/>
    <w:pPr>
      <w:numPr>
        <w:ilvl w:val="0"/>
        <w:numId w:val="3"/>
      </w:numPr>
      <w:tabs>
        <w:tab w:val="clear" w:pos="0"/>
      </w:tabs>
      <w:spacing w:before="50" w:after="50"/>
      <w:ind w:left="425" w:hanging="425"/>
    </w:pPr>
  </w:style>
  <w:style w:type="paragraph" w:styleId="26">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7">
    <w:name w:val="Document Map"/>
    <w:basedOn w:val="1"/>
    <w:link w:val="255"/>
    <w:qFormat/>
    <w:uiPriority w:val="0"/>
    <w:rPr>
      <w:rFonts w:ascii="Microsoft YaHei UI" w:hAnsi="汉仪正圆-45W" w:eastAsia="Microsoft YaHei UI" w:cstheme="minorBidi"/>
      <w:kern w:val="2"/>
      <w:sz w:val="18"/>
      <w:szCs w:val="18"/>
    </w:rPr>
  </w:style>
  <w:style w:type="paragraph" w:styleId="28">
    <w:name w:val="toa heading"/>
    <w:basedOn w:val="1"/>
    <w:next w:val="1"/>
    <w:qFormat/>
    <w:uiPriority w:val="0"/>
    <w:pPr>
      <w:spacing w:before="181" w:beforeLines="50" w:after="181" w:afterLines="50"/>
    </w:pPr>
    <w:rPr>
      <w:rFonts w:asciiTheme="majorHAnsi" w:hAnsiTheme="majorHAnsi" w:eastAsiaTheme="majorEastAsia" w:cstheme="majorBidi"/>
      <w:sz w:val="24"/>
      <w:szCs w:val="24"/>
    </w:rPr>
  </w:style>
  <w:style w:type="paragraph" w:styleId="29">
    <w:name w:val="annotation text"/>
    <w:basedOn w:val="1"/>
    <w:qFormat/>
    <w:uiPriority w:val="0"/>
    <w:pPr>
      <w:ind w:firstLine="0" w:firstLineChars="0"/>
      <w:jc w:val="left"/>
    </w:pPr>
  </w:style>
  <w:style w:type="paragraph" w:styleId="30">
    <w:name w:val="index 6"/>
    <w:basedOn w:val="1"/>
    <w:next w:val="1"/>
    <w:qFormat/>
    <w:uiPriority w:val="0"/>
    <w:pPr>
      <w:ind w:left="1000" w:leftChars="1000" w:firstLine="0"/>
    </w:pPr>
  </w:style>
  <w:style w:type="paragraph" w:styleId="31">
    <w:name w:val="Salutation"/>
    <w:basedOn w:val="1"/>
    <w:next w:val="1"/>
    <w:link w:val="246"/>
    <w:qFormat/>
    <w:uiPriority w:val="0"/>
    <w:pPr>
      <w:ind w:firstLine="0" w:firstLineChars="0"/>
    </w:pPr>
    <w:rPr>
      <w:rFonts w:ascii="汉仪正圆-45W" w:hAnsi="汉仪正圆-45W" w:eastAsia="宋体" w:cstheme="minorBidi"/>
      <w:kern w:val="2"/>
      <w:sz w:val="22"/>
      <w:szCs w:val="22"/>
    </w:rPr>
  </w:style>
  <w:style w:type="paragraph" w:styleId="32">
    <w:name w:val="Body Text 3"/>
    <w:basedOn w:val="1"/>
    <w:link w:val="259"/>
    <w:qFormat/>
    <w:uiPriority w:val="0"/>
    <w:pPr>
      <w:spacing w:after="120"/>
    </w:pPr>
    <w:rPr>
      <w:rFonts w:ascii="汉仪正圆-45W" w:hAnsi="汉仪正圆-45W" w:eastAsia="汉仪正圆-45W" w:cstheme="minorBidi"/>
      <w:kern w:val="2"/>
      <w:sz w:val="16"/>
      <w:szCs w:val="16"/>
    </w:rPr>
  </w:style>
  <w:style w:type="paragraph" w:styleId="33">
    <w:name w:val="Closing"/>
    <w:basedOn w:val="1"/>
    <w:link w:val="250"/>
    <w:qFormat/>
    <w:uiPriority w:val="0"/>
    <w:pPr>
      <w:ind w:left="100" w:leftChars="2100"/>
    </w:pPr>
    <w:rPr>
      <w:rFonts w:ascii="汉仪正圆-45W" w:hAnsi="汉仪正圆-45W" w:eastAsia="汉仪正圆-45W" w:cstheme="minorBidi"/>
      <w:kern w:val="2"/>
      <w:sz w:val="22"/>
      <w:szCs w:val="22"/>
    </w:rPr>
  </w:style>
  <w:style w:type="paragraph" w:styleId="34">
    <w:name w:val="List Bullet 3"/>
    <w:basedOn w:val="1"/>
    <w:qFormat/>
    <w:uiPriority w:val="0"/>
    <w:pPr>
      <w:numPr>
        <w:ilvl w:val="0"/>
        <w:numId w:val="4"/>
      </w:numPr>
      <w:tabs>
        <w:tab w:val="clear" w:pos="420"/>
      </w:tabs>
      <w:spacing w:before="50" w:after="50"/>
      <w:ind w:left="964" w:hanging="340"/>
    </w:pPr>
  </w:style>
  <w:style w:type="paragraph" w:styleId="35">
    <w:name w:val="Body Text"/>
    <w:link w:val="208"/>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36">
    <w:name w:val="Body Text Indent"/>
    <w:basedOn w:val="1"/>
    <w:link w:val="262"/>
    <w:qFormat/>
    <w:uiPriority w:val="0"/>
    <w:pPr>
      <w:spacing w:after="120"/>
      <w:ind w:left="420" w:leftChars="200"/>
    </w:pPr>
    <w:rPr>
      <w:rFonts w:ascii="汉仪正圆-45W" w:hAnsi="汉仪正圆-45W" w:eastAsia="汉仪正圆-45W" w:cstheme="minorBidi"/>
      <w:kern w:val="2"/>
      <w:sz w:val="22"/>
      <w:szCs w:val="22"/>
    </w:rPr>
  </w:style>
  <w:style w:type="paragraph" w:styleId="37">
    <w:name w:val="List Number 3"/>
    <w:basedOn w:val="1"/>
    <w:qFormat/>
    <w:uiPriority w:val="0"/>
    <w:pPr>
      <w:numPr>
        <w:ilvl w:val="2"/>
        <w:numId w:val="1"/>
      </w:numPr>
      <w:spacing w:before="50" w:after="50"/>
    </w:pPr>
  </w:style>
  <w:style w:type="paragraph" w:styleId="38">
    <w:name w:val="List 2"/>
    <w:basedOn w:val="1"/>
    <w:qFormat/>
    <w:uiPriority w:val="0"/>
    <w:pPr>
      <w:ind w:left="100" w:leftChars="200" w:hanging="200" w:hangingChars="200"/>
      <w:contextualSpacing/>
    </w:pPr>
  </w:style>
  <w:style w:type="paragraph" w:styleId="39">
    <w:name w:val="List Continue"/>
    <w:basedOn w:val="1"/>
    <w:qFormat/>
    <w:uiPriority w:val="0"/>
    <w:pPr>
      <w:spacing w:after="120"/>
      <w:ind w:left="420" w:leftChars="200"/>
      <w:contextualSpacing/>
    </w:pPr>
  </w:style>
  <w:style w:type="paragraph" w:styleId="40">
    <w:name w:val="Block Text"/>
    <w:basedOn w:val="1"/>
    <w:qFormat/>
    <w:uiPriority w:val="0"/>
    <w:pPr>
      <w:spacing w:after="120"/>
      <w:ind w:left="1440" w:leftChars="700" w:right="1440" w:rightChars="700"/>
    </w:pPr>
  </w:style>
  <w:style w:type="paragraph" w:styleId="41">
    <w:name w:val="List Bullet 2"/>
    <w:basedOn w:val="1"/>
    <w:link w:val="243"/>
    <w:qFormat/>
    <w:uiPriority w:val="0"/>
    <w:pPr>
      <w:numPr>
        <w:ilvl w:val="0"/>
        <w:numId w:val="5"/>
      </w:numPr>
      <w:tabs>
        <w:tab w:val="clear" w:pos="0"/>
      </w:tabs>
      <w:spacing w:before="50" w:after="50"/>
      <w:ind w:left="646" w:hanging="227"/>
    </w:pPr>
  </w:style>
  <w:style w:type="paragraph" w:styleId="42">
    <w:name w:val="HTML Address"/>
    <w:basedOn w:val="1"/>
    <w:link w:val="244"/>
    <w:qFormat/>
    <w:uiPriority w:val="0"/>
    <w:rPr>
      <w:rFonts w:ascii="汉仪正圆-45W" w:hAnsi="汉仪正圆-45W" w:eastAsia="汉仪正圆-45W" w:cstheme="minorBidi"/>
      <w:i/>
      <w:iCs/>
      <w:kern w:val="2"/>
      <w:sz w:val="22"/>
      <w:szCs w:val="22"/>
    </w:rPr>
  </w:style>
  <w:style w:type="paragraph" w:styleId="43">
    <w:name w:val="index 4"/>
    <w:basedOn w:val="1"/>
    <w:next w:val="1"/>
    <w:qFormat/>
    <w:uiPriority w:val="0"/>
    <w:pPr>
      <w:ind w:left="600" w:leftChars="600" w:firstLine="0"/>
    </w:pPr>
  </w:style>
  <w:style w:type="paragraph" w:styleId="44">
    <w:name w:val="toc 5"/>
    <w:basedOn w:val="1"/>
    <w:next w:val="1"/>
    <w:qFormat/>
    <w:uiPriority w:val="0"/>
    <w:pPr>
      <w:ind w:left="1680" w:leftChars="800" w:firstLine="0" w:firstLineChars="0"/>
    </w:pPr>
  </w:style>
  <w:style w:type="paragraph" w:styleId="45">
    <w:name w:val="toc 3"/>
    <w:next w:val="1"/>
    <w:qFormat/>
    <w:uiPriority w:val="0"/>
    <w:pPr>
      <w:adjustRightInd w:val="0"/>
      <w:spacing w:line="400" w:lineRule="exact"/>
      <w:ind w:left="0" w:leftChars="0" w:firstLine="960" w:firstLineChars="400"/>
    </w:pPr>
    <w:rPr>
      <w:rFonts w:ascii="Times New Roman" w:hAnsi="Times New Roman" w:eastAsia="宋体" w:cs="Times New Roman"/>
      <w:sz w:val="24"/>
      <w:szCs w:val="24"/>
    </w:rPr>
  </w:style>
  <w:style w:type="paragraph" w:styleId="46">
    <w:name w:val="Plain Text"/>
    <w:basedOn w:val="1"/>
    <w:link w:val="247"/>
    <w:qFormat/>
    <w:uiPriority w:val="0"/>
    <w:rPr>
      <w:rFonts w:hAnsi="Courier New" w:cs="Courier New" w:asciiTheme="minorEastAsia" w:eastAsiaTheme="minorEastAsia"/>
      <w:kern w:val="2"/>
      <w:sz w:val="22"/>
      <w:szCs w:val="22"/>
    </w:rPr>
  </w:style>
  <w:style w:type="paragraph" w:styleId="47">
    <w:name w:val="List Bullet 5"/>
    <w:basedOn w:val="1"/>
    <w:qFormat/>
    <w:uiPriority w:val="0"/>
    <w:pPr>
      <w:numPr>
        <w:ilvl w:val="0"/>
        <w:numId w:val="6"/>
      </w:numPr>
      <w:tabs>
        <w:tab w:val="clear" w:pos="420"/>
      </w:tabs>
      <w:spacing w:before="50" w:after="50"/>
      <w:ind w:left="1757" w:hanging="340"/>
    </w:pPr>
  </w:style>
  <w:style w:type="paragraph" w:styleId="48">
    <w:name w:val="List Number 4"/>
    <w:basedOn w:val="1"/>
    <w:qFormat/>
    <w:uiPriority w:val="0"/>
    <w:pPr>
      <w:numPr>
        <w:ilvl w:val="3"/>
        <w:numId w:val="1"/>
      </w:numPr>
      <w:tabs>
        <w:tab w:val="left" w:pos="-420"/>
        <w:tab w:val="left" w:pos="0"/>
        <w:tab w:val="clear" w:pos="420"/>
      </w:tabs>
      <w:spacing w:before="50" w:after="50"/>
    </w:pPr>
  </w:style>
  <w:style w:type="paragraph" w:styleId="49">
    <w:name w:val="toc 8"/>
    <w:basedOn w:val="1"/>
    <w:next w:val="1"/>
    <w:qFormat/>
    <w:uiPriority w:val="0"/>
    <w:pPr>
      <w:ind w:left="2940" w:leftChars="1400"/>
    </w:pPr>
  </w:style>
  <w:style w:type="paragraph" w:styleId="50">
    <w:name w:val="index 3"/>
    <w:basedOn w:val="1"/>
    <w:next w:val="1"/>
    <w:qFormat/>
    <w:uiPriority w:val="0"/>
    <w:pPr>
      <w:ind w:left="400" w:leftChars="400" w:firstLine="0"/>
    </w:pPr>
  </w:style>
  <w:style w:type="paragraph" w:styleId="51">
    <w:name w:val="Date"/>
    <w:basedOn w:val="1"/>
    <w:next w:val="1"/>
    <w:link w:val="253"/>
    <w:qFormat/>
    <w:uiPriority w:val="0"/>
    <w:pPr>
      <w:ind w:left="0" w:leftChars="0" w:firstLine="0" w:firstLineChars="0"/>
      <w:jc w:val="right"/>
    </w:pPr>
    <w:rPr>
      <w:rFonts w:ascii="汉仪正圆-45W" w:hAnsi="汉仪正圆-45W" w:eastAsia="宋体" w:cstheme="minorBidi"/>
      <w:kern w:val="2"/>
      <w:sz w:val="22"/>
      <w:szCs w:val="22"/>
    </w:rPr>
  </w:style>
  <w:style w:type="paragraph" w:styleId="52">
    <w:name w:val="Body Text Indent 2"/>
    <w:basedOn w:val="1"/>
    <w:link w:val="264"/>
    <w:qFormat/>
    <w:uiPriority w:val="0"/>
    <w:pPr>
      <w:spacing w:after="120" w:line="480" w:lineRule="auto"/>
      <w:ind w:left="420" w:leftChars="200"/>
    </w:pPr>
    <w:rPr>
      <w:rFonts w:ascii="汉仪正圆-45W" w:hAnsi="汉仪正圆-45W" w:eastAsia="汉仪正圆-45W" w:cstheme="minorBidi"/>
      <w:kern w:val="2"/>
      <w:sz w:val="22"/>
      <w:szCs w:val="22"/>
    </w:rPr>
  </w:style>
  <w:style w:type="paragraph" w:styleId="53">
    <w:name w:val="endnote text"/>
    <w:basedOn w:val="1"/>
    <w:qFormat/>
    <w:uiPriority w:val="0"/>
    <w:pPr>
      <w:ind w:firstLine="0" w:firstLineChars="0"/>
      <w:jc w:val="left"/>
    </w:pPr>
  </w:style>
  <w:style w:type="paragraph" w:styleId="54">
    <w:name w:val="List Continue 5"/>
    <w:basedOn w:val="1"/>
    <w:qFormat/>
    <w:uiPriority w:val="0"/>
    <w:pPr>
      <w:spacing w:after="120"/>
      <w:ind w:left="2100" w:leftChars="1000"/>
      <w:contextualSpacing/>
    </w:pPr>
  </w:style>
  <w:style w:type="paragraph" w:styleId="55">
    <w:name w:val="Balloon Text"/>
    <w:basedOn w:val="1"/>
    <w:link w:val="268"/>
    <w:qFormat/>
    <w:uiPriority w:val="0"/>
    <w:pPr>
      <w:ind w:firstLine="0" w:firstLineChars="0"/>
    </w:pPr>
    <w:rPr>
      <w:sz w:val="18"/>
      <w:szCs w:val="18"/>
    </w:rPr>
  </w:style>
  <w:style w:type="paragraph" w:styleId="56">
    <w:name w:val="footer"/>
    <w:basedOn w:val="1"/>
    <w:link w:val="200"/>
    <w:qFormat/>
    <w:uiPriority w:val="0"/>
    <w:pPr>
      <w:tabs>
        <w:tab w:val="center" w:pos="4153"/>
        <w:tab w:val="right" w:pos="8306"/>
      </w:tabs>
      <w:ind w:firstLine="0" w:firstLineChars="0"/>
      <w:jc w:val="center"/>
    </w:pPr>
    <w:rPr>
      <w:sz w:val="18"/>
      <w:szCs w:val="18"/>
    </w:rPr>
  </w:style>
  <w:style w:type="paragraph" w:styleId="57">
    <w:name w:val="envelope return"/>
    <w:basedOn w:val="1"/>
    <w:qFormat/>
    <w:uiPriority w:val="0"/>
    <w:rPr>
      <w:rFonts w:asciiTheme="majorHAnsi" w:hAnsiTheme="majorHAnsi" w:eastAsiaTheme="majorEastAsia" w:cstheme="majorBidi"/>
    </w:rPr>
  </w:style>
  <w:style w:type="paragraph" w:styleId="58">
    <w:name w:val="header"/>
    <w:basedOn w:val="1"/>
    <w:link w:val="199"/>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szCs w:val="18"/>
    </w:rPr>
  </w:style>
  <w:style w:type="paragraph" w:styleId="59">
    <w:name w:val="Signature"/>
    <w:basedOn w:val="1"/>
    <w:link w:val="252"/>
    <w:qFormat/>
    <w:uiPriority w:val="0"/>
    <w:pPr>
      <w:ind w:left="0" w:leftChars="0" w:firstLine="0" w:firstLineChars="0"/>
      <w:jc w:val="right"/>
    </w:pPr>
    <w:rPr>
      <w:rFonts w:ascii="汉仪正圆-45W" w:hAnsi="汉仪正圆-45W" w:eastAsia="宋体" w:cstheme="minorBidi"/>
      <w:kern w:val="2"/>
      <w:sz w:val="22"/>
      <w:szCs w:val="22"/>
    </w:rPr>
  </w:style>
  <w:style w:type="paragraph" w:styleId="60">
    <w:name w:val="toc 1"/>
    <w:next w:val="1"/>
    <w:qFormat/>
    <w:uiPriority w:val="0"/>
    <w:pPr>
      <w:adjustRightInd w:val="0"/>
      <w:spacing w:line="400" w:lineRule="exact"/>
      <w:ind w:firstLine="0" w:firstLineChars="0"/>
    </w:pPr>
    <w:rPr>
      <w:rFonts w:ascii="Times New Roman" w:hAnsi="Times New Roman" w:eastAsia="黑体" w:cs="Times New Roman"/>
      <w:sz w:val="24"/>
      <w:szCs w:val="24"/>
    </w:rPr>
  </w:style>
  <w:style w:type="paragraph" w:styleId="61">
    <w:name w:val="List Continue 4"/>
    <w:basedOn w:val="1"/>
    <w:qFormat/>
    <w:uiPriority w:val="0"/>
    <w:pPr>
      <w:spacing w:after="120"/>
      <w:ind w:left="1680" w:leftChars="800"/>
      <w:contextualSpacing/>
    </w:pPr>
  </w:style>
  <w:style w:type="paragraph" w:styleId="62">
    <w:name w:val="toc 4"/>
    <w:basedOn w:val="1"/>
    <w:next w:val="1"/>
    <w:qFormat/>
    <w:uiPriority w:val="0"/>
    <w:pPr>
      <w:ind w:left="1260" w:leftChars="600" w:firstLine="0" w:firstLineChars="0"/>
    </w:pPr>
  </w:style>
  <w:style w:type="paragraph" w:styleId="63">
    <w:name w:val="index heading"/>
    <w:basedOn w:val="1"/>
    <w:next w:val="64"/>
    <w:qFormat/>
    <w:uiPriority w:val="0"/>
    <w:pPr>
      <w:spacing w:before="181" w:beforeLines="50" w:after="181" w:afterLines="50"/>
    </w:pPr>
    <w:rPr>
      <w:rFonts w:asciiTheme="majorHAnsi" w:hAnsiTheme="majorHAnsi" w:eastAsiaTheme="majorEastAsia" w:cstheme="majorBidi"/>
      <w:b/>
      <w:bCs/>
    </w:rPr>
  </w:style>
  <w:style w:type="paragraph" w:styleId="64">
    <w:name w:val="index 1"/>
    <w:basedOn w:val="1"/>
    <w:next w:val="1"/>
    <w:qFormat/>
    <w:uiPriority w:val="0"/>
    <w:pPr>
      <w:ind w:firstLine="0"/>
    </w:pPr>
  </w:style>
  <w:style w:type="paragraph" w:styleId="65">
    <w:name w:val="Subtitle"/>
    <w:next w:val="35"/>
    <w:qFormat/>
    <w:uiPriority w:val="0"/>
    <w:pPr>
      <w:adjustRightInd w:val="0"/>
      <w:spacing w:beforeLines="0" w:beforeAutospacing="0" w:afterLines="0" w:afterAutospacing="0" w:line="240" w:lineRule="auto"/>
      <w:jc w:val="center"/>
      <w:outlineLvl w:val="9"/>
    </w:pPr>
    <w:rPr>
      <w:rFonts w:ascii="Times New Roman" w:hAnsi="Times New Roman" w:eastAsia="黑体" w:cs="Times New Roman"/>
      <w:kern w:val="28"/>
      <w:sz w:val="32"/>
      <w:szCs w:val="32"/>
    </w:rPr>
  </w:style>
  <w:style w:type="paragraph" w:styleId="66">
    <w:name w:val="List Number 5"/>
    <w:basedOn w:val="1"/>
    <w:qFormat/>
    <w:uiPriority w:val="0"/>
    <w:pPr>
      <w:numPr>
        <w:ilvl w:val="4"/>
        <w:numId w:val="1"/>
      </w:numPr>
      <w:tabs>
        <w:tab w:val="clear" w:pos="420"/>
      </w:tabs>
      <w:spacing w:before="50" w:after="50"/>
      <w:ind w:left="431" w:hanging="431"/>
    </w:pPr>
  </w:style>
  <w:style w:type="paragraph" w:styleId="67">
    <w:name w:val="List"/>
    <w:basedOn w:val="1"/>
    <w:qFormat/>
    <w:uiPriority w:val="0"/>
    <w:pPr>
      <w:ind w:left="200" w:hanging="200" w:hangingChars="200"/>
      <w:contextualSpacing/>
    </w:pPr>
  </w:style>
  <w:style w:type="paragraph" w:styleId="68">
    <w:name w:val="footnote text"/>
    <w:basedOn w:val="1"/>
    <w:qFormat/>
    <w:uiPriority w:val="0"/>
    <w:pPr>
      <w:ind w:firstLine="0" w:firstLineChars="0"/>
      <w:jc w:val="left"/>
    </w:pPr>
    <w:rPr>
      <w:sz w:val="24"/>
    </w:rPr>
  </w:style>
  <w:style w:type="paragraph" w:styleId="69">
    <w:name w:val="toc 6"/>
    <w:basedOn w:val="1"/>
    <w:next w:val="1"/>
    <w:qFormat/>
    <w:uiPriority w:val="0"/>
    <w:pPr>
      <w:ind w:left="2100" w:leftChars="1000"/>
    </w:pPr>
  </w:style>
  <w:style w:type="paragraph" w:styleId="70">
    <w:name w:val="List 5"/>
    <w:basedOn w:val="1"/>
    <w:qFormat/>
    <w:uiPriority w:val="0"/>
    <w:pPr>
      <w:ind w:left="100" w:leftChars="800" w:hanging="200" w:hangingChars="200"/>
      <w:contextualSpacing/>
    </w:pPr>
  </w:style>
  <w:style w:type="paragraph" w:styleId="71">
    <w:name w:val="Body Text Indent 3"/>
    <w:basedOn w:val="1"/>
    <w:link w:val="265"/>
    <w:qFormat/>
    <w:uiPriority w:val="0"/>
    <w:pPr>
      <w:spacing w:after="120"/>
      <w:ind w:left="420" w:leftChars="200"/>
    </w:pPr>
    <w:rPr>
      <w:rFonts w:ascii="汉仪正圆-45W" w:hAnsi="汉仪正圆-45W" w:eastAsia="汉仪正圆-45W" w:cstheme="minorBidi"/>
      <w:kern w:val="2"/>
      <w:sz w:val="16"/>
      <w:szCs w:val="16"/>
    </w:rPr>
  </w:style>
  <w:style w:type="paragraph" w:styleId="72">
    <w:name w:val="index 7"/>
    <w:basedOn w:val="1"/>
    <w:next w:val="1"/>
    <w:qFormat/>
    <w:uiPriority w:val="0"/>
    <w:pPr>
      <w:ind w:left="1200" w:leftChars="1200" w:firstLine="0"/>
    </w:pPr>
  </w:style>
  <w:style w:type="paragraph" w:styleId="73">
    <w:name w:val="index 9"/>
    <w:basedOn w:val="1"/>
    <w:next w:val="1"/>
    <w:qFormat/>
    <w:uiPriority w:val="0"/>
    <w:pPr>
      <w:ind w:left="1600" w:leftChars="1600" w:firstLine="0"/>
    </w:pPr>
  </w:style>
  <w:style w:type="paragraph" w:styleId="74">
    <w:name w:val="table of figures"/>
    <w:basedOn w:val="1"/>
    <w:next w:val="1"/>
    <w:qFormat/>
    <w:uiPriority w:val="0"/>
    <w:pPr>
      <w:ind w:leftChars="200" w:hanging="200" w:hangingChars="200"/>
    </w:pPr>
  </w:style>
  <w:style w:type="paragraph" w:styleId="75">
    <w:name w:val="toc 2"/>
    <w:next w:val="1"/>
    <w:qFormat/>
    <w:uiPriority w:val="0"/>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76">
    <w:name w:val="toc 9"/>
    <w:basedOn w:val="1"/>
    <w:next w:val="1"/>
    <w:qFormat/>
    <w:uiPriority w:val="0"/>
    <w:pPr>
      <w:ind w:left="3360" w:leftChars="1600"/>
    </w:pPr>
  </w:style>
  <w:style w:type="paragraph" w:styleId="77">
    <w:name w:val="Body Text 2"/>
    <w:basedOn w:val="1"/>
    <w:link w:val="258"/>
    <w:qFormat/>
    <w:uiPriority w:val="0"/>
    <w:pPr>
      <w:spacing w:after="120" w:line="480" w:lineRule="auto"/>
    </w:pPr>
    <w:rPr>
      <w:rFonts w:ascii="汉仪正圆-45W" w:hAnsi="汉仪正圆-45W" w:eastAsia="汉仪正圆-45W" w:cstheme="minorBidi"/>
      <w:kern w:val="2"/>
      <w:sz w:val="22"/>
      <w:szCs w:val="22"/>
    </w:rPr>
  </w:style>
  <w:style w:type="paragraph" w:styleId="78">
    <w:name w:val="List 4"/>
    <w:basedOn w:val="1"/>
    <w:qFormat/>
    <w:uiPriority w:val="0"/>
    <w:pPr>
      <w:ind w:left="100" w:leftChars="600" w:hanging="200" w:hangingChars="200"/>
      <w:contextualSpacing/>
    </w:pPr>
  </w:style>
  <w:style w:type="paragraph" w:styleId="79">
    <w:name w:val="List Continue 2"/>
    <w:basedOn w:val="1"/>
    <w:qFormat/>
    <w:uiPriority w:val="0"/>
    <w:pPr>
      <w:spacing w:after="120"/>
      <w:ind w:left="840" w:leftChars="400"/>
      <w:contextualSpacing/>
    </w:pPr>
  </w:style>
  <w:style w:type="paragraph" w:styleId="80">
    <w:name w:val="Message Header"/>
    <w:basedOn w:val="1"/>
    <w:link w:val="256"/>
    <w:qFormat/>
    <w:uiPriority w:val="0"/>
    <w:pPr>
      <w:pBdr>
        <w:top w:val="single" w:color="auto" w:sz="6" w:space="1"/>
        <w:left w:val="single" w:color="auto" w:sz="6" w:space="1"/>
        <w:bottom w:val="single" w:color="auto" w:sz="6" w:space="1"/>
        <w:right w:val="single" w:color="auto" w:sz="6" w:space="1"/>
      </w:pBdr>
      <w:shd w:val="pct20" w:color="auto" w:fill="auto"/>
      <w:spacing w:before="181" w:beforeLines="50" w:after="181" w:afterLines="50"/>
      <w:ind w:left="1080" w:leftChars="500" w:hanging="1080" w:hangingChars="500"/>
    </w:pPr>
    <w:rPr>
      <w:rFonts w:asciiTheme="majorHAnsi" w:hAnsiTheme="majorHAnsi" w:eastAsiaTheme="majorEastAsia" w:cstheme="majorBidi"/>
      <w:kern w:val="2"/>
      <w:sz w:val="24"/>
      <w:szCs w:val="24"/>
      <w:shd w:val="pct20" w:color="auto" w:fill="auto"/>
    </w:rPr>
  </w:style>
  <w:style w:type="paragraph" w:styleId="81">
    <w:name w:val="HTML Preformatted"/>
    <w:basedOn w:val="1"/>
    <w:link w:val="245"/>
    <w:qFormat/>
    <w:uiPriority w:val="0"/>
    <w:rPr>
      <w:rFonts w:ascii="Courier New" w:hAnsi="Courier New" w:eastAsia="汉仪正圆-45W" w:cs="Courier New"/>
      <w:kern w:val="2"/>
    </w:rPr>
  </w:style>
  <w:style w:type="paragraph" w:styleId="82">
    <w:name w:val="Normal (Web)"/>
    <w:basedOn w:val="1"/>
    <w:qFormat/>
    <w:uiPriority w:val="0"/>
    <w:rPr>
      <w:rFonts w:ascii="Times New Roman" w:hAnsi="Times New Roman" w:cs="Times New Roman"/>
      <w:sz w:val="24"/>
      <w:szCs w:val="24"/>
    </w:rPr>
  </w:style>
  <w:style w:type="paragraph" w:styleId="83">
    <w:name w:val="List Continue 3"/>
    <w:basedOn w:val="1"/>
    <w:qFormat/>
    <w:uiPriority w:val="0"/>
    <w:pPr>
      <w:spacing w:after="120"/>
      <w:ind w:left="1260" w:leftChars="600"/>
      <w:contextualSpacing/>
    </w:pPr>
  </w:style>
  <w:style w:type="paragraph" w:styleId="84">
    <w:name w:val="index 2"/>
    <w:basedOn w:val="1"/>
    <w:next w:val="1"/>
    <w:qFormat/>
    <w:uiPriority w:val="0"/>
    <w:pPr>
      <w:ind w:left="200" w:leftChars="200" w:firstLine="0"/>
    </w:pPr>
  </w:style>
  <w:style w:type="paragraph" w:styleId="85">
    <w:name w:val="Title"/>
    <w:qFormat/>
    <w:uiPriority w:val="10"/>
    <w:pPr>
      <w:widowControl w:val="0"/>
      <w:adjustRightInd w:val="0"/>
      <w:spacing w:line="240" w:lineRule="auto"/>
      <w:ind w:right="0" w:rightChars="0"/>
      <w:jc w:val="center"/>
      <w:outlineLvl w:val="9"/>
    </w:pPr>
    <w:rPr>
      <w:rFonts w:ascii="Times New Roman" w:hAnsi="Times New Roman" w:eastAsia="黑体" w:cs="Times New Roman"/>
      <w:kern w:val="2"/>
      <w:sz w:val="44"/>
      <w:szCs w:val="36"/>
      <w:lang w:bidi="ar-SA"/>
    </w:rPr>
  </w:style>
  <w:style w:type="paragraph" w:styleId="86">
    <w:name w:val="annotation subject"/>
    <w:basedOn w:val="29"/>
    <w:next w:val="29"/>
    <w:qFormat/>
    <w:uiPriority w:val="0"/>
    <w:rPr>
      <w:b/>
    </w:rPr>
  </w:style>
  <w:style w:type="paragraph" w:styleId="87">
    <w:name w:val="Body Text First Indent"/>
    <w:basedOn w:val="35"/>
    <w:link w:val="261"/>
    <w:qFormat/>
    <w:uiPriority w:val="0"/>
    <w:pPr>
      <w:spacing w:before="0" w:after="120" w:afterLines="0"/>
      <w:ind w:firstLine="420" w:firstLineChars="100"/>
    </w:pPr>
    <w:rPr>
      <w:rFonts w:ascii="汉仪正圆-45W" w:hAnsi="汉仪正圆-45W" w:eastAsia="汉仪正圆-45W" w:cstheme="minorBidi"/>
      <w:kern w:val="2"/>
      <w:sz w:val="22"/>
      <w:szCs w:val="22"/>
    </w:rPr>
  </w:style>
  <w:style w:type="paragraph" w:styleId="88">
    <w:name w:val="Body Text First Indent 2"/>
    <w:basedOn w:val="36"/>
    <w:link w:val="263"/>
    <w:qFormat/>
    <w:uiPriority w:val="0"/>
    <w:pPr>
      <w:ind w:firstLine="420"/>
    </w:pPr>
    <w:rPr>
      <w:rFonts w:ascii="汉仪正圆-45W" w:hAnsi="汉仪正圆-45W" w:eastAsia="汉仪正圆-45W" w:cstheme="minorBidi"/>
      <w:kern w:val="2"/>
      <w:sz w:val="22"/>
      <w:szCs w:val="22"/>
    </w:rPr>
  </w:style>
  <w:style w:type="table" w:styleId="90">
    <w:name w:val="Table Grid"/>
    <w:basedOn w:val="8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1">
    <w:name w:val="Light Shading"/>
    <w:basedOn w:val="89"/>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92">
    <w:name w:val="Light Shading Accent 1"/>
    <w:basedOn w:val="89"/>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93">
    <w:name w:val="Light Shading Accent 2"/>
    <w:basedOn w:val="89"/>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94">
    <w:name w:val="Light Shading Accent 3"/>
    <w:basedOn w:val="89"/>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95">
    <w:name w:val="Light Shading Accent 4"/>
    <w:basedOn w:val="89"/>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96">
    <w:name w:val="Light Shading Accent 5"/>
    <w:basedOn w:val="89"/>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97">
    <w:name w:val="Light Shading Accent 6"/>
    <w:basedOn w:val="89"/>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98">
    <w:name w:val="Light List"/>
    <w:basedOn w:val="89"/>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99">
    <w:name w:val="Light List Accent 1"/>
    <w:basedOn w:val="89"/>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100">
    <w:name w:val="Light List Accent 2"/>
    <w:basedOn w:val="89"/>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101">
    <w:name w:val="Light List Accent 3"/>
    <w:basedOn w:val="89"/>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102">
    <w:name w:val="Light List Accent 4"/>
    <w:basedOn w:val="89"/>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103">
    <w:name w:val="Light List Accent 5"/>
    <w:basedOn w:val="89"/>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104">
    <w:name w:val="Light List Accent 6"/>
    <w:basedOn w:val="89"/>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105">
    <w:name w:val="Light Grid"/>
    <w:basedOn w:val="89"/>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06">
    <w:name w:val="Light Grid Accent 1"/>
    <w:basedOn w:val="89"/>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107">
    <w:name w:val="Light Grid Accent 2"/>
    <w:basedOn w:val="89"/>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108">
    <w:name w:val="Light Grid Accent 3"/>
    <w:basedOn w:val="89"/>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109">
    <w:name w:val="Light Grid Accent 4"/>
    <w:basedOn w:val="89"/>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110">
    <w:name w:val="Light Grid Accent 5"/>
    <w:basedOn w:val="89"/>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111">
    <w:name w:val="Light Grid Accent 6"/>
    <w:basedOn w:val="89"/>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112">
    <w:name w:val="Medium Shading 1"/>
    <w:basedOn w:val="89"/>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13">
    <w:name w:val="Medium Shading 1 Accent 1"/>
    <w:basedOn w:val="89"/>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114">
    <w:name w:val="Medium Shading 1 Accent 2"/>
    <w:basedOn w:val="89"/>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115">
    <w:name w:val="Medium Shading 1 Accent 3"/>
    <w:basedOn w:val="89"/>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116">
    <w:name w:val="Medium Shading 1 Accent 4"/>
    <w:basedOn w:val="89"/>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117">
    <w:name w:val="Medium Shading 1 Accent 5"/>
    <w:basedOn w:val="89"/>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118">
    <w:name w:val="Medium Shading 1 Accent 6"/>
    <w:basedOn w:val="89"/>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119">
    <w:name w:val="Medium Shading 2"/>
    <w:basedOn w:val="8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0">
    <w:name w:val="Medium Shading 2 Accent 1"/>
    <w:basedOn w:val="8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1">
    <w:name w:val="Medium Shading 2 Accent 2"/>
    <w:basedOn w:val="8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2">
    <w:name w:val="Medium Shading 2 Accent 3"/>
    <w:basedOn w:val="8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3">
    <w:name w:val="Medium Shading 2 Accent 4"/>
    <w:basedOn w:val="8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4">
    <w:name w:val="Medium Shading 2 Accent 5"/>
    <w:basedOn w:val="8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5">
    <w:name w:val="Medium Shading 2 Accent 6"/>
    <w:basedOn w:val="89"/>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6">
    <w:name w:val="Medium List 1"/>
    <w:basedOn w:val="89"/>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27">
    <w:name w:val="Medium List 1 Accent 1"/>
    <w:basedOn w:val="89"/>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128">
    <w:name w:val="Medium List 1 Accent 2"/>
    <w:basedOn w:val="89"/>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129">
    <w:name w:val="Medium List 1 Accent 3"/>
    <w:basedOn w:val="89"/>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130">
    <w:name w:val="Medium List 1 Accent 4"/>
    <w:basedOn w:val="89"/>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131">
    <w:name w:val="Medium List 1 Accent 5"/>
    <w:basedOn w:val="89"/>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132">
    <w:name w:val="Medium List 1 Accent 6"/>
    <w:basedOn w:val="89"/>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133">
    <w:name w:val="Medium List 2"/>
    <w:basedOn w:val="8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34">
    <w:name w:val="Medium List 2 Accent 1"/>
    <w:basedOn w:val="8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35">
    <w:name w:val="Medium List 2 Accent 2"/>
    <w:basedOn w:val="8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36">
    <w:name w:val="Medium List 2 Accent 3"/>
    <w:basedOn w:val="8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37">
    <w:name w:val="Medium List 2 Accent 4"/>
    <w:basedOn w:val="8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38">
    <w:name w:val="Medium List 2 Accent 5"/>
    <w:basedOn w:val="8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39">
    <w:name w:val="Medium List 2 Accent 6"/>
    <w:basedOn w:val="8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0">
    <w:name w:val="Medium Grid 1"/>
    <w:basedOn w:val="89"/>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41">
    <w:name w:val="Medium Grid 1 Accent 1"/>
    <w:basedOn w:val="89"/>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42">
    <w:name w:val="Medium Grid 1 Accent 2"/>
    <w:basedOn w:val="89"/>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43">
    <w:name w:val="Medium Grid 1 Accent 3"/>
    <w:basedOn w:val="89"/>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44">
    <w:name w:val="Medium Grid 1 Accent 4"/>
    <w:basedOn w:val="89"/>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45">
    <w:name w:val="Medium Grid 1 Accent 5"/>
    <w:basedOn w:val="89"/>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46">
    <w:name w:val="Medium Grid 1 Accent 6"/>
    <w:basedOn w:val="89"/>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147">
    <w:name w:val="Medium Grid 2"/>
    <w:basedOn w:val="8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48">
    <w:name w:val="Medium Grid 2 Accent 1"/>
    <w:basedOn w:val="8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149">
    <w:name w:val="Medium Grid 2 Accent 2"/>
    <w:basedOn w:val="8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150">
    <w:name w:val="Medium Grid 2 Accent 3"/>
    <w:basedOn w:val="8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51">
    <w:name w:val="Medium Grid 2 Accent 4"/>
    <w:basedOn w:val="8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52">
    <w:name w:val="Medium Grid 2 Accent 5"/>
    <w:basedOn w:val="8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53">
    <w:name w:val="Medium Grid 2 Accent 6"/>
    <w:basedOn w:val="8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54">
    <w:name w:val="Medium Grid 3"/>
    <w:basedOn w:val="8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55">
    <w:name w:val="Medium Grid 3 Accent 1"/>
    <w:basedOn w:val="8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56">
    <w:name w:val="Medium Grid 3 Accent 2"/>
    <w:basedOn w:val="8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57">
    <w:name w:val="Medium Grid 3 Accent 3"/>
    <w:basedOn w:val="8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58">
    <w:name w:val="Medium Grid 3 Accent 4"/>
    <w:basedOn w:val="8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59">
    <w:name w:val="Medium Grid 3 Accent 5"/>
    <w:basedOn w:val="8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60">
    <w:name w:val="Medium Grid 3 Accent 6"/>
    <w:basedOn w:val="8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61">
    <w:name w:val="Dark List"/>
    <w:basedOn w:val="8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62">
    <w:name w:val="Dark List Accent 1"/>
    <w:basedOn w:val="8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63">
    <w:name w:val="Dark List Accent 2"/>
    <w:basedOn w:val="8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64">
    <w:name w:val="Dark List Accent 3"/>
    <w:basedOn w:val="8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65">
    <w:name w:val="Dark List Accent 4"/>
    <w:basedOn w:val="8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66">
    <w:name w:val="Dark List Accent 5"/>
    <w:basedOn w:val="8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67">
    <w:name w:val="Dark List Accent 6"/>
    <w:basedOn w:val="89"/>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68">
    <w:name w:val="Colorful Shading"/>
    <w:basedOn w:val="89"/>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69">
    <w:name w:val="Colorful Shading Accent 1"/>
    <w:basedOn w:val="89"/>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70">
    <w:name w:val="Colorful Shading Accent 2"/>
    <w:basedOn w:val="89"/>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71">
    <w:name w:val="Colorful Shading Accent 3"/>
    <w:basedOn w:val="89"/>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72">
    <w:name w:val="Colorful Shading Accent 4"/>
    <w:basedOn w:val="89"/>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73">
    <w:name w:val="Colorful Shading Accent 5"/>
    <w:basedOn w:val="89"/>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74">
    <w:name w:val="Colorful Shading Accent 6"/>
    <w:basedOn w:val="89"/>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75">
    <w:name w:val="Colorful List"/>
    <w:basedOn w:val="8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76">
    <w:name w:val="Colorful List Accent 1"/>
    <w:basedOn w:val="8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77">
    <w:name w:val="Colorful List Accent 2"/>
    <w:basedOn w:val="8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78">
    <w:name w:val="Colorful List Accent 3"/>
    <w:basedOn w:val="8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79">
    <w:name w:val="Colorful List Accent 4"/>
    <w:basedOn w:val="8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80">
    <w:name w:val="Colorful List Accent 5"/>
    <w:basedOn w:val="8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81">
    <w:name w:val="Colorful List Accent 6"/>
    <w:basedOn w:val="89"/>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82">
    <w:name w:val="Colorful Grid"/>
    <w:basedOn w:val="8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Colorful Grid Accent 1"/>
    <w:basedOn w:val="8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84">
    <w:name w:val="Colorful Grid Accent 2"/>
    <w:basedOn w:val="8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85">
    <w:name w:val="Colorful Grid Accent 3"/>
    <w:basedOn w:val="8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86">
    <w:name w:val="Colorful Grid Accent 4"/>
    <w:basedOn w:val="8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87">
    <w:name w:val="Colorful Grid Accent 5"/>
    <w:basedOn w:val="8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88">
    <w:name w:val="Colorful Grid Accent 6"/>
    <w:basedOn w:val="8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90">
    <w:name w:val="Strong"/>
    <w:basedOn w:val="189"/>
    <w:qFormat/>
    <w:uiPriority w:val="22"/>
    <w:rPr>
      <w:rFonts w:ascii="宋体" w:hAnsi="宋体" w:eastAsia="宋体" w:cs="Times New Roman"/>
      <w:b/>
      <w:bCs/>
      <w:color w:val="262626" w:themeColor="text1" w:themeTint="D9"/>
      <w:sz w:val="24"/>
      <w:szCs w:val="24"/>
      <w:u w:val="none"/>
      <w14:textFill>
        <w14:solidFill>
          <w14:schemeClr w14:val="tx1">
            <w14:lumMod w14:val="85000"/>
            <w14:lumOff w14:val="15000"/>
          </w14:schemeClr>
        </w14:solidFill>
      </w14:textFill>
    </w:rPr>
  </w:style>
  <w:style w:type="character" w:styleId="191">
    <w:name w:val="endnote reference"/>
    <w:basedOn w:val="189"/>
    <w:qFormat/>
    <w:uiPriority w:val="0"/>
    <w:rPr>
      <w:rFonts w:ascii="宋体" w:hAnsi="宋体" w:eastAsia="宋体" w:cs="Times New Roman"/>
      <w:color w:val="262626" w:themeColor="text1" w:themeTint="D9"/>
      <w:kern w:val="2"/>
      <w:sz w:val="28"/>
      <w:szCs w:val="28"/>
      <w:vertAlign w:val="superscript"/>
      <w:lang w:val="en-US" w:eastAsia="zh-CN" w:bidi="ar-SA"/>
      <w14:textFill>
        <w14:solidFill>
          <w14:schemeClr w14:val="tx1">
            <w14:lumMod w14:val="85000"/>
            <w14:lumOff w14:val="15000"/>
          </w14:schemeClr>
        </w14:solidFill>
      </w14:textFill>
    </w:rPr>
  </w:style>
  <w:style w:type="character" w:styleId="192">
    <w:name w:val="page number"/>
    <w:basedOn w:val="189"/>
    <w:qFormat/>
    <w:uiPriority w:val="0"/>
    <w:rPr>
      <w:rFonts w:ascii="宋体" w:hAnsi="宋体" w:eastAsia="宋体" w:cs="Times New Roman"/>
      <w:color w:val="404040" w:themeColor="text1" w:themeTint="BF"/>
      <w:kern w:val="2"/>
      <w:sz w:val="18"/>
      <w:szCs w:val="18"/>
      <w:lang w:val="en-US" w:eastAsia="zh-CN" w:bidi="ar-SA"/>
      <w14:textFill>
        <w14:solidFill>
          <w14:schemeClr w14:val="tx1">
            <w14:lumMod w14:val="75000"/>
            <w14:lumOff w14:val="25000"/>
          </w14:schemeClr>
        </w14:solidFill>
      </w14:textFill>
    </w:rPr>
  </w:style>
  <w:style w:type="character" w:styleId="193">
    <w:name w:val="FollowedHyperlink"/>
    <w:basedOn w:val="189"/>
    <w:qFormat/>
    <w:uiPriority w:val="0"/>
    <w:rPr>
      <w:rFonts w:ascii="宋体" w:hAnsi="宋体" w:eastAsia="宋体" w:cs="Times New Roman"/>
      <w:color w:val="800080"/>
      <w:kern w:val="2"/>
      <w:sz w:val="24"/>
      <w:szCs w:val="24"/>
      <w:u w:val="single"/>
      <w:lang w:val="en-US" w:eastAsia="zh-CN" w:bidi="ar-SA"/>
    </w:rPr>
  </w:style>
  <w:style w:type="character" w:styleId="194">
    <w:name w:val="Emphasis"/>
    <w:basedOn w:val="189"/>
    <w:qFormat/>
    <w:uiPriority w:val="20"/>
    <w:rPr>
      <w:rFonts w:ascii="宋体" w:hAnsi="宋体" w:eastAsia="宋体" w:cs="Times New Roman"/>
      <w:color w:val="C00000"/>
      <w:sz w:val="24"/>
      <w:szCs w:val="24"/>
    </w:rPr>
  </w:style>
  <w:style w:type="character" w:styleId="195">
    <w:name w:val="Hyperlink"/>
    <w:basedOn w:val="189"/>
    <w:qFormat/>
    <w:uiPriority w:val="0"/>
    <w:rPr>
      <w:rFonts w:ascii="宋体" w:hAnsi="宋体" w:eastAsia="宋体" w:cs="Times New Roman"/>
      <w:color w:val="0000FF"/>
      <w:kern w:val="2"/>
      <w:sz w:val="24"/>
      <w:szCs w:val="24"/>
      <w:u w:val="single"/>
      <w:lang w:val="en-US" w:eastAsia="zh-CN" w:bidi="ar-SA"/>
    </w:rPr>
  </w:style>
  <w:style w:type="character" w:styleId="196">
    <w:name w:val="HTML Code"/>
    <w:basedOn w:val="189"/>
    <w:semiHidden/>
    <w:unhideWhenUsed/>
    <w:uiPriority w:val="99"/>
    <w:rPr>
      <w:rFonts w:ascii="Courier New" w:hAnsi="Courier New"/>
      <w:sz w:val="20"/>
    </w:rPr>
  </w:style>
  <w:style w:type="character" w:styleId="197">
    <w:name w:val="annotation reference"/>
    <w:basedOn w:val="189"/>
    <w:qFormat/>
    <w:uiPriority w:val="0"/>
    <w:rPr>
      <w:rFonts w:ascii="宋体" w:hAnsi="宋体" w:eastAsia="宋体" w:cs="宋体"/>
      <w:kern w:val="2"/>
      <w:sz w:val="21"/>
      <w:szCs w:val="21"/>
      <w:lang w:val="en-US" w:eastAsia="zh-CN" w:bidi="ar-SA"/>
    </w:rPr>
  </w:style>
  <w:style w:type="character" w:styleId="198">
    <w:name w:val="footnote reference"/>
    <w:basedOn w:val="189"/>
    <w:qFormat/>
    <w:uiPriority w:val="0"/>
    <w:rPr>
      <w:rFonts w:ascii="宋体" w:hAnsi="宋体" w:eastAsia="宋体" w:cs="Times New Roman"/>
      <w:color w:val="262626" w:themeColor="text1" w:themeTint="D9"/>
      <w:kern w:val="2"/>
      <w:sz w:val="28"/>
      <w:szCs w:val="28"/>
      <w:vertAlign w:val="superscript"/>
      <w:lang w:val="en-US" w:eastAsia="zh-CN" w:bidi="ar-SA"/>
      <w14:textFill>
        <w14:solidFill>
          <w14:schemeClr w14:val="tx1">
            <w14:lumMod w14:val="85000"/>
            <w14:lumOff w14:val="15000"/>
          </w14:schemeClr>
        </w14:solidFill>
      </w14:textFill>
    </w:rPr>
  </w:style>
  <w:style w:type="character" w:customStyle="1" w:styleId="199">
    <w:name w:val="Header Char"/>
    <w:link w:val="58"/>
    <w:qFormat/>
    <w:uiPriority w:val="99"/>
    <w:rPr>
      <w:sz w:val="18"/>
      <w:szCs w:val="18"/>
    </w:rPr>
  </w:style>
  <w:style w:type="character" w:customStyle="1" w:styleId="200">
    <w:name w:val="Footer Char"/>
    <w:link w:val="56"/>
    <w:qFormat/>
    <w:uiPriority w:val="99"/>
    <w:rPr>
      <w:sz w:val="18"/>
      <w:szCs w:val="18"/>
    </w:rPr>
  </w:style>
  <w:style w:type="paragraph" w:styleId="201">
    <w:name w:val="No Spacing"/>
    <w:qFormat/>
    <w:uiPriority w:val="99"/>
    <w:pPr>
      <w:widowControl w:val="0"/>
      <w:adjustRightInd w:val="0"/>
      <w:snapToGrid w:val="0"/>
      <w:ind w:firstLine="440" w:firstLineChars="200"/>
      <w:jc w:val="both"/>
    </w:pPr>
    <w:rPr>
      <w:rFonts w:ascii="汉仪正圆-45W" w:hAnsi="汉仪正圆-45W" w:eastAsia="汉仪正圆-45W" w:cstheme="minorBidi"/>
      <w:kern w:val="2"/>
      <w:sz w:val="22"/>
      <w:szCs w:val="22"/>
      <w:lang w:val="en-US" w:eastAsia="zh-CN" w:bidi="ar-SA"/>
    </w:rPr>
  </w:style>
  <w:style w:type="character" w:customStyle="1" w:styleId="202">
    <w:name w:val="Heading 1 Char"/>
    <w:qFormat/>
    <w:uiPriority w:val="9"/>
    <w:rPr>
      <w:rFonts w:ascii="黑体" w:hAnsi="黑体" w:eastAsia="黑体" w:cs="Times New Roman"/>
      <w:b/>
      <w:bCs/>
      <w:color w:val="auto"/>
      <w:kern w:val="44"/>
      <w:sz w:val="32"/>
      <w:szCs w:val="32"/>
      <w:lang w:val="en-US" w:eastAsia="zh-CN" w:bidi="ar-SA"/>
    </w:rPr>
  </w:style>
  <w:style w:type="character" w:customStyle="1" w:styleId="203">
    <w:name w:val="Heading 2 Char"/>
    <w:qFormat/>
    <w:uiPriority w:val="9"/>
    <w:rPr>
      <w:rFonts w:ascii="黑体" w:hAnsi="黑体" w:eastAsia="黑体" w:cs="Times New Roman"/>
      <w:b/>
      <w:bCs/>
      <w:color w:val="auto"/>
      <w:kern w:val="2"/>
      <w:sz w:val="30"/>
      <w:szCs w:val="30"/>
      <w:lang w:val="en-US" w:eastAsia="zh-CN" w:bidi="ar-SA"/>
    </w:rPr>
  </w:style>
  <w:style w:type="character" w:customStyle="1" w:styleId="204">
    <w:name w:val="Heading 3 Char"/>
    <w:qFormat/>
    <w:uiPriority w:val="9"/>
    <w:rPr>
      <w:rFonts w:ascii="黑体" w:hAnsi="黑体" w:eastAsia="黑体" w:cs="Times New Roman"/>
      <w:b/>
      <w:bCs/>
      <w:color w:val="auto"/>
      <w:kern w:val="2"/>
      <w:sz w:val="28"/>
      <w:szCs w:val="28"/>
      <w:lang w:val="en-US" w:eastAsia="zh-CN" w:bidi="ar-SA"/>
    </w:rPr>
  </w:style>
  <w:style w:type="character" w:customStyle="1" w:styleId="205">
    <w:name w:val="Title Char"/>
    <w:qFormat/>
    <w:uiPriority w:val="10"/>
    <w:rPr>
      <w:rFonts w:ascii="Times New Roman" w:hAnsi="Times New Roman" w:eastAsia="黑体" w:cs="Times New Roman"/>
      <w:b/>
      <w:bCs/>
      <w:color w:val="auto"/>
      <w:spacing w:val="11"/>
      <w:sz w:val="44"/>
      <w:szCs w:val="44"/>
      <w:lang w:val="en-US" w:eastAsia="zh-CN" w:bidi="ar-SA"/>
    </w:rPr>
  </w:style>
  <w:style w:type="character" w:customStyle="1" w:styleId="206">
    <w:name w:val="Subtitle Char"/>
    <w:qFormat/>
    <w:uiPriority w:val="11"/>
    <w:rPr>
      <w:rFonts w:ascii="Times New Roman" w:hAnsi="Times New Roman" w:eastAsia="黑体" w:cs="Times New Roman"/>
      <w:color w:val="auto"/>
      <w:spacing w:val="11"/>
      <w:kern w:val="28"/>
      <w:sz w:val="36"/>
      <w:szCs w:val="36"/>
      <w:lang w:val="en-US" w:eastAsia="zh-CN" w:bidi="ar-SA"/>
    </w:rPr>
  </w:style>
  <w:style w:type="paragraph" w:styleId="207">
    <w:name w:val="List Paragraph"/>
    <w:basedOn w:val="1"/>
    <w:qFormat/>
    <w:uiPriority w:val="99"/>
    <w:pPr>
      <w:ind w:firstLine="420"/>
    </w:pPr>
  </w:style>
  <w:style w:type="character" w:customStyle="1" w:styleId="208">
    <w:name w:val="Body Text Char"/>
    <w:link w:val="35"/>
    <w:qFormat/>
    <w:uiPriority w:val="99"/>
  </w:style>
  <w:style w:type="character" w:customStyle="1" w:styleId="209">
    <w:name w:val="Body Text 2 Char"/>
    <w:link w:val="77"/>
    <w:qFormat/>
    <w:uiPriority w:val="99"/>
  </w:style>
  <w:style w:type="character" w:customStyle="1" w:styleId="210">
    <w:name w:val="Body Text 3 Char"/>
    <w:link w:val="32"/>
    <w:qFormat/>
    <w:uiPriority w:val="99"/>
    <w:rPr>
      <w:sz w:val="16"/>
      <w:szCs w:val="16"/>
    </w:rPr>
  </w:style>
  <w:style w:type="character" w:customStyle="1" w:styleId="211">
    <w:name w:val="Macro Text Char"/>
    <w:link w:val="2"/>
    <w:qFormat/>
    <w:uiPriority w:val="99"/>
    <w:rPr>
      <w:rFonts w:ascii="Courier New" w:hAnsi="Courier New" w:eastAsia="宋体" w:cs="Courier New"/>
      <w:kern w:val="2"/>
      <w:sz w:val="24"/>
      <w:szCs w:val="24"/>
      <w:lang w:val="en-US" w:eastAsia="zh-CN" w:bidi="ar-SA"/>
    </w:rPr>
  </w:style>
  <w:style w:type="paragraph" w:styleId="212">
    <w:name w:val="Quote"/>
    <w:basedOn w:val="1"/>
    <w:next w:val="1"/>
    <w:link w:val="257"/>
    <w:qFormat/>
    <w:uiPriority w:val="99"/>
    <w:pPr>
      <w:spacing w:before="200" w:after="160"/>
      <w:ind w:left="864" w:right="864"/>
      <w:jc w:val="center"/>
    </w:pPr>
    <w:rPr>
      <w:rFonts w:ascii="汉仪正圆-45W" w:hAnsi="汉仪正圆-45W" w:eastAsia="汉仪正圆-45W" w:cstheme="minorBidi"/>
      <w:i/>
      <w:iCs/>
      <w:color w:val="404040" w:themeColor="text1" w:themeTint="BF"/>
      <w:kern w:val="2"/>
      <w:sz w:val="22"/>
      <w:szCs w:val="22"/>
      <w14:textFill>
        <w14:solidFill>
          <w14:schemeClr w14:val="tx1">
            <w14:lumMod w14:val="75000"/>
            <w14:lumOff w14:val="25000"/>
          </w14:schemeClr>
        </w14:solidFill>
      </w14:textFill>
    </w:rPr>
  </w:style>
  <w:style w:type="character" w:customStyle="1" w:styleId="213">
    <w:name w:val="Quote Char"/>
    <w:link w:val="212"/>
    <w:qFormat/>
    <w:uiPriority w:val="29"/>
    <w:rPr>
      <w:i/>
      <w:iCs/>
      <w:color w:val="404040" w:themeColor="text1" w:themeTint="BF"/>
      <w14:textFill>
        <w14:solidFill>
          <w14:schemeClr w14:val="tx1">
            <w14:lumMod w14:val="75000"/>
            <w14:lumOff w14:val="25000"/>
          </w14:schemeClr>
        </w14:solidFill>
      </w14:textFill>
    </w:rPr>
  </w:style>
  <w:style w:type="character" w:customStyle="1" w:styleId="214">
    <w:name w:val="Heading 4 Char"/>
    <w:semiHidden/>
    <w:qFormat/>
    <w:uiPriority w:val="9"/>
    <w:rPr>
      <w:rFonts w:ascii="黑体" w:hAnsi="黑体" w:eastAsia="黑体" w:cs="Times New Roman"/>
      <w:b/>
      <w:bCs/>
      <w:color w:val="auto"/>
      <w:sz w:val="28"/>
      <w:szCs w:val="28"/>
      <w:lang w:val="en-US" w:eastAsia="zh-CN" w:bidi="ar-SA"/>
    </w:rPr>
  </w:style>
  <w:style w:type="character" w:customStyle="1" w:styleId="215">
    <w:name w:val="Heading 5 Char"/>
    <w:semiHidden/>
    <w:qFormat/>
    <w:uiPriority w:val="9"/>
    <w:rPr>
      <w:rFonts w:ascii="黑体" w:hAnsi="黑体" w:eastAsia="黑体" w:cs="Times New Roman"/>
      <w:b/>
      <w:bCs/>
      <w:color w:val="262626" w:themeColor="text1" w:themeTint="D9"/>
      <w:sz w:val="28"/>
      <w:szCs w:val="28"/>
      <w:lang w:val="en-US" w:eastAsia="zh-CN" w:bidi="ar-SA"/>
      <w14:textFill>
        <w14:solidFill>
          <w14:schemeClr w14:val="tx1">
            <w14:lumMod w14:val="85000"/>
            <w14:lumOff w14:val="15000"/>
          </w14:schemeClr>
        </w14:solidFill>
      </w14:textFill>
    </w:rPr>
  </w:style>
  <w:style w:type="character" w:customStyle="1" w:styleId="216">
    <w:name w:val="Heading 6 Char"/>
    <w:semiHidden/>
    <w:qFormat/>
    <w:uiPriority w:val="9"/>
    <w:rPr>
      <w:rFonts w:ascii="黑体" w:hAnsi="黑体" w:eastAsia="黑体" w:cs="黑体"/>
      <w:b/>
      <w:bCs/>
      <w:color w:val="auto"/>
      <w:sz w:val="24"/>
      <w:szCs w:val="24"/>
      <w:lang w:val="en-US" w:eastAsia="zh-CN" w:bidi="ar-SA"/>
    </w:rPr>
  </w:style>
  <w:style w:type="character" w:customStyle="1" w:styleId="217">
    <w:name w:val="Heading 7 Char"/>
    <w:semiHidden/>
    <w:qFormat/>
    <w:uiPriority w:val="9"/>
    <w:rPr>
      <w:rFonts w:ascii="黑体" w:hAnsi="黑体" w:eastAsia="黑体" w:cs="Times New Roman"/>
      <w:b/>
      <w:bCs/>
      <w:color w:val="auto"/>
      <w:sz w:val="24"/>
      <w:szCs w:val="24"/>
      <w:lang w:val="en-US" w:eastAsia="zh-CN" w:bidi="ar-SA"/>
    </w:rPr>
  </w:style>
  <w:style w:type="character" w:customStyle="1" w:styleId="218">
    <w:name w:val="Heading 8 Char"/>
    <w:semiHidden/>
    <w:qFormat/>
    <w:uiPriority w:val="9"/>
    <w:rPr>
      <w:rFonts w:ascii="黑体" w:hAnsi="黑体" w:eastAsia="黑体" w:cs="Times New Roman"/>
      <w:color w:val="auto"/>
      <w:sz w:val="24"/>
      <w:szCs w:val="24"/>
      <w:lang w:val="en-US" w:eastAsia="zh-CN" w:bidi="ar-SA"/>
    </w:rPr>
  </w:style>
  <w:style w:type="character" w:customStyle="1" w:styleId="219">
    <w:name w:val="Heading 9 Char"/>
    <w:semiHidden/>
    <w:qFormat/>
    <w:uiPriority w:val="9"/>
    <w:rPr>
      <w:rFonts w:ascii="黑体" w:hAnsi="黑体" w:eastAsia="黑体" w:cs="Times New Roman"/>
      <w:color w:val="auto"/>
      <w:sz w:val="24"/>
      <w:szCs w:val="24"/>
      <w:lang w:val="en-US" w:eastAsia="zh-CN" w:bidi="ar-SA"/>
    </w:rPr>
  </w:style>
  <w:style w:type="paragraph" w:styleId="220">
    <w:name w:val="Intense Quote"/>
    <w:basedOn w:val="1"/>
    <w:next w:val="1"/>
    <w:link w:val="251"/>
    <w:qFormat/>
    <w:uiPriority w:val="99"/>
    <w:pPr>
      <w:pBdr>
        <w:top w:val="single" w:color="4874CB" w:themeColor="accent1" w:sz="4" w:space="10"/>
        <w:bottom w:val="single" w:color="4874CB" w:themeColor="accent1" w:sz="4" w:space="10"/>
      </w:pBdr>
      <w:spacing w:before="360" w:after="360"/>
      <w:ind w:left="864" w:right="864"/>
      <w:jc w:val="center"/>
    </w:pPr>
    <w:rPr>
      <w:rFonts w:ascii="汉仪正圆-45W" w:hAnsi="汉仪正圆-45W" w:eastAsia="汉仪正圆-45W" w:cstheme="minorBidi"/>
      <w:i/>
      <w:iCs/>
      <w:color w:val="4874CB" w:themeColor="accent1"/>
      <w:kern w:val="2"/>
      <w:sz w:val="22"/>
      <w:szCs w:val="22"/>
      <w14:textFill>
        <w14:solidFill>
          <w14:schemeClr w14:val="accent1"/>
        </w14:solidFill>
      </w14:textFill>
    </w:rPr>
  </w:style>
  <w:style w:type="character" w:customStyle="1" w:styleId="221">
    <w:name w:val="Intense Quote Char"/>
    <w:link w:val="220"/>
    <w:qFormat/>
    <w:uiPriority w:val="30"/>
    <w:rPr>
      <w:i/>
      <w:iCs/>
      <w:color w:val="4874CB" w:themeColor="accent1"/>
      <w14:textFill>
        <w14:solidFill>
          <w14:schemeClr w14:val="accent1"/>
        </w14:solidFill>
      </w14:textFill>
    </w:rPr>
  </w:style>
  <w:style w:type="character" w:customStyle="1" w:styleId="222">
    <w:name w:val="Subtle Emphasis"/>
    <w:basedOn w:val="189"/>
    <w:qFormat/>
    <w:uiPriority w:val="19"/>
    <w:rPr>
      <w:i/>
      <w:iCs/>
      <w:color w:val="808080" w:themeColor="text1" w:themeTint="80"/>
      <w14:textFill>
        <w14:solidFill>
          <w14:schemeClr w14:val="tx1">
            <w14:lumMod w14:val="50000"/>
            <w14:lumOff w14:val="50000"/>
          </w14:schemeClr>
        </w14:solidFill>
      </w14:textFill>
    </w:rPr>
  </w:style>
  <w:style w:type="character" w:customStyle="1" w:styleId="223">
    <w:name w:val="Intense Emphasis"/>
    <w:basedOn w:val="189"/>
    <w:qFormat/>
    <w:uiPriority w:val="21"/>
    <w:rPr>
      <w:b/>
      <w:bCs/>
      <w:i/>
      <w:iCs/>
      <w:color w:val="4874CB" w:themeColor="accent1"/>
      <w14:textFill>
        <w14:solidFill>
          <w14:schemeClr w14:val="accent1"/>
        </w14:solidFill>
      </w14:textFill>
    </w:rPr>
  </w:style>
  <w:style w:type="character" w:customStyle="1" w:styleId="224">
    <w:name w:val="Subtle Reference"/>
    <w:basedOn w:val="189"/>
    <w:qFormat/>
    <w:uiPriority w:val="31"/>
    <w:rPr>
      <w:smallCaps/>
      <w:color w:val="EE822F" w:themeColor="accent2"/>
      <w:u w:val="single"/>
      <w14:textFill>
        <w14:solidFill>
          <w14:schemeClr w14:val="accent2"/>
        </w14:solidFill>
      </w14:textFill>
    </w:rPr>
  </w:style>
  <w:style w:type="character" w:customStyle="1" w:styleId="225">
    <w:name w:val="Intense Reference"/>
    <w:basedOn w:val="189"/>
    <w:qFormat/>
    <w:uiPriority w:val="32"/>
    <w:rPr>
      <w:b/>
      <w:bCs/>
      <w:smallCaps/>
      <w:color w:val="EE822F" w:themeColor="accent2"/>
      <w:spacing w:val="5"/>
      <w:u w:val="single"/>
      <w14:textFill>
        <w14:solidFill>
          <w14:schemeClr w14:val="accent2"/>
        </w14:solidFill>
      </w14:textFill>
    </w:rPr>
  </w:style>
  <w:style w:type="character" w:customStyle="1" w:styleId="226">
    <w:name w:val="Book Title"/>
    <w:basedOn w:val="189"/>
    <w:qFormat/>
    <w:uiPriority w:val="33"/>
    <w:rPr>
      <w:b/>
      <w:bCs/>
      <w:smallCaps/>
      <w:spacing w:val="5"/>
    </w:rPr>
  </w:style>
  <w:style w:type="paragraph" w:customStyle="1" w:styleId="227">
    <w:name w:val="TOC Heading"/>
    <w:basedOn w:val="3"/>
    <w:next w:val="1"/>
    <w:semiHidden/>
    <w:unhideWhenUsed/>
    <w:qFormat/>
    <w:uiPriority w:val="39"/>
    <w:pPr>
      <w:widowControl w:val="0"/>
      <w:numPr>
        <w:ilvl w:val="0"/>
        <w:numId w:val="0"/>
      </w:numPr>
      <w:spacing w:before="340" w:beforeLines="0" w:after="330" w:line="578" w:lineRule="auto"/>
      <w:ind w:firstLine="440" w:firstLineChars="200"/>
      <w:jc w:val="both"/>
      <w:outlineLvl w:val="9"/>
    </w:pPr>
    <w:rPr>
      <w:rFonts w:ascii="汉仪正圆-45W" w:hAnsi="汉仪正圆-45W" w:eastAsia="汉仪正圆-45W"/>
      <w:sz w:val="44"/>
      <w:szCs w:val="44"/>
    </w:rPr>
  </w:style>
  <w:style w:type="paragraph" w:customStyle="1" w:styleId="228">
    <w:name w:val="Table Text"/>
    <w:basedOn w:val="1"/>
    <w:semiHidden/>
    <w:qFormat/>
    <w:uiPriority w:val="0"/>
    <w:rPr>
      <w:rFonts w:ascii="华文宋体" w:hAnsi="华文宋体" w:eastAsia="华文宋体" w:cs="华文宋体"/>
      <w:sz w:val="16"/>
      <w:szCs w:val="16"/>
      <w:lang w:val="en-US" w:eastAsia="en-US" w:bidi="ar-SA"/>
    </w:rPr>
  </w:style>
  <w:style w:type="table" w:customStyle="1" w:styleId="229">
    <w:name w:val="Table Normal"/>
    <w:semiHidden/>
    <w:unhideWhenUsed/>
    <w:qFormat/>
    <w:uiPriority w:val="0"/>
    <w:tblPr>
      <w:tblCellMar>
        <w:top w:w="0" w:type="dxa"/>
        <w:left w:w="0" w:type="dxa"/>
        <w:bottom w:w="0" w:type="dxa"/>
        <w:right w:w="0" w:type="dxa"/>
      </w:tblCellMar>
    </w:tblPr>
  </w:style>
  <w:style w:type="paragraph" w:customStyle="1" w:styleId="230">
    <w:name w:val="目录标题"/>
    <w:qFormat/>
    <w:uiPriority w:val="0"/>
    <w:pPr>
      <w:widowControl w:val="0"/>
      <w:adjustRightInd w:val="0"/>
      <w:spacing w:before="480" w:after="360" w:line="400" w:lineRule="exact"/>
      <w:jc w:val="center"/>
      <w:outlineLvl w:val="9"/>
    </w:pPr>
    <w:rPr>
      <w:rFonts w:ascii="Times New Roman" w:hAnsi="Times New Roman" w:eastAsia="黑体" w:cs="Times New Roman"/>
      <w:kern w:val="2"/>
      <w:sz w:val="30"/>
      <w:szCs w:val="32"/>
      <w:lang w:bidi="ar-SA"/>
    </w:rPr>
  </w:style>
  <w:style w:type="character" w:customStyle="1" w:styleId="231">
    <w:name w:val="目录标题 Char"/>
    <w:qFormat/>
    <w:uiPriority w:val="0"/>
    <w:rPr>
      <w:rFonts w:ascii="宋体" w:hAnsi="宋体" w:eastAsia="宋体"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232">
    <w:name w:val="题注1"/>
    <w:basedOn w:val="1"/>
    <w:qFormat/>
    <w:uiPriority w:val="0"/>
    <w:pPr>
      <w:spacing w:before="50" w:after="50"/>
      <w:ind w:firstLine="0" w:firstLineChars="0"/>
    </w:pPr>
    <w:rPr>
      <w:sz w:val="20"/>
      <w:szCs w:val="20"/>
    </w:rPr>
  </w:style>
  <w:style w:type="paragraph" w:customStyle="1" w:styleId="233">
    <w:name w:val="文档说明标题"/>
    <w:next w:val="1"/>
    <w:qFormat/>
    <w:uiPriority w:val="0"/>
    <w:pPr>
      <w:keepNext/>
      <w:keepLines/>
      <w:tabs>
        <w:tab w:val="left" w:pos="0"/>
      </w:tabs>
      <w:bidi w:val="0"/>
      <w:adjustRightInd w:val="0"/>
      <w:snapToGrid w:val="0"/>
      <w:spacing w:before="50" w:beforeLines="50" w:after="150" w:afterLines="150" w:line="240" w:lineRule="auto"/>
      <w:jc w:val="center"/>
      <w:outlineLvl w:val="0"/>
    </w:pPr>
    <w:rPr>
      <w:rFonts w:ascii="黑体" w:hAnsi="黑体" w:eastAsia="黑体" w:cs="Times New Roman"/>
      <w:b/>
      <w:bCs/>
      <w:color w:val="auto"/>
      <w:spacing w:val="11"/>
      <w:kern w:val="44"/>
      <w:sz w:val="36"/>
      <w:szCs w:val="36"/>
      <w:lang w:val="en-US" w:eastAsia="zh-CN" w:bidi="ar-SA"/>
    </w:rPr>
  </w:style>
  <w:style w:type="paragraph" w:customStyle="1" w:styleId="234">
    <w:name w:val="章标题"/>
    <w:next w:val="1"/>
    <w:qFormat/>
    <w:uiPriority w:val="0"/>
    <w:pPr>
      <w:keepNext/>
      <w:keepLines/>
      <w:tabs>
        <w:tab w:val="left" w:pos="0"/>
      </w:tabs>
      <w:bidi w:val="0"/>
      <w:adjustRightInd w:val="0"/>
      <w:snapToGrid w:val="0"/>
      <w:spacing w:before="50" w:beforeLines="50" w:after="150" w:afterLines="150" w:line="240" w:lineRule="auto"/>
      <w:jc w:val="center"/>
      <w:outlineLvl w:val="0"/>
    </w:pPr>
    <w:rPr>
      <w:rFonts w:ascii="黑体" w:hAnsi="黑体" w:eastAsia="黑体" w:cs="Times New Roman"/>
      <w:b/>
      <w:bCs/>
      <w:color w:val="262626" w:themeColor="text1" w:themeTint="D9"/>
      <w:spacing w:val="11"/>
      <w:kern w:val="44"/>
      <w:sz w:val="36"/>
      <w:szCs w:val="36"/>
      <w:lang w:val="en-US" w:eastAsia="zh-CN" w:bidi="ar-SA"/>
      <w14:textFill>
        <w14:solidFill>
          <w14:schemeClr w14:val="tx1">
            <w14:lumMod w14:val="85000"/>
            <w14:lumOff w14:val="15000"/>
          </w14:schemeClr>
        </w14:solidFill>
      </w14:textFill>
    </w:rPr>
  </w:style>
  <w:style w:type="paragraph" w:customStyle="1" w:styleId="235">
    <w:name w:val="节标题"/>
    <w:next w:val="1"/>
    <w:qFormat/>
    <w:uiPriority w:val="0"/>
    <w:pPr>
      <w:tabs>
        <w:tab w:val="left" w:pos="0"/>
      </w:tabs>
      <w:bidi w:val="0"/>
      <w:adjustRightInd w:val="0"/>
      <w:snapToGrid w:val="0"/>
      <w:spacing w:before="50" w:beforeLines="50" w:after="150" w:afterLines="150" w:line="240" w:lineRule="auto"/>
      <w:jc w:val="center"/>
    </w:pPr>
    <w:rPr>
      <w:rFonts w:ascii="黑体" w:hAnsi="黑体" w:eastAsia="黑体" w:cs="Times New Roman"/>
      <w:b/>
      <w:bCs/>
      <w:color w:val="262626" w:themeColor="text1" w:themeTint="D9"/>
      <w:spacing w:val="11"/>
      <w:sz w:val="32"/>
      <w:szCs w:val="32"/>
      <w:lang w:val="en-US" w:eastAsia="zh-CN" w:bidi="ar-SA"/>
      <w14:textFill>
        <w14:solidFill>
          <w14:schemeClr w14:val="tx1">
            <w14:lumMod w14:val="85000"/>
            <w14:lumOff w14:val="15000"/>
          </w14:schemeClr>
        </w14:solidFill>
      </w14:textFill>
    </w:rPr>
  </w:style>
  <w:style w:type="paragraph" w:customStyle="1" w:styleId="236">
    <w:name w:val="附录标题"/>
    <w:next w:val="35"/>
    <w:qFormat/>
    <w:uiPriority w:val="0"/>
    <w:pPr>
      <w:keepNext/>
      <w:keepLines/>
      <w:tabs>
        <w:tab w:val="left" w:pos="0"/>
      </w:tabs>
      <w:bidi w:val="0"/>
      <w:adjustRightInd w:val="0"/>
      <w:snapToGrid w:val="0"/>
      <w:spacing w:before="100" w:beforeLines="100" w:after="150" w:afterLines="150" w:line="240" w:lineRule="auto"/>
      <w:jc w:val="center"/>
      <w:outlineLvl w:val="0"/>
    </w:pPr>
    <w:rPr>
      <w:rFonts w:ascii="黑体" w:hAnsi="黑体" w:eastAsia="黑体" w:cs="Times New Roman"/>
      <w:b/>
      <w:bCs/>
      <w:color w:val="auto"/>
      <w:kern w:val="44"/>
      <w:sz w:val="36"/>
      <w:szCs w:val="36"/>
      <w:lang w:val="en-US" w:eastAsia="zh-CN" w:bidi="ar-SA"/>
    </w:rPr>
  </w:style>
  <w:style w:type="character" w:customStyle="1" w:styleId="237">
    <w:name w:val="摘要"/>
    <w:basedOn w:val="189"/>
    <w:qFormat/>
    <w:uiPriority w:val="0"/>
    <w:rPr>
      <w:rFonts w:ascii="宋体" w:hAnsi="宋体" w:eastAsia="宋体" w:cs="Times New Roman"/>
      <w:b/>
      <w:bCs/>
      <w:color w:val="262626" w:themeColor="text1" w:themeTint="D9"/>
      <w:kern w:val="2"/>
      <w:sz w:val="28"/>
      <w:szCs w:val="28"/>
      <w:lang w:val="en-US" w:eastAsia="zh-CN" w:bidi="ar-SA"/>
      <w14:textFill>
        <w14:solidFill>
          <w14:schemeClr w14:val="tx1">
            <w14:lumMod w14:val="85000"/>
            <w14:lumOff w14:val="15000"/>
          </w14:schemeClr>
        </w14:solidFill>
      </w14:textFill>
    </w:rPr>
  </w:style>
  <w:style w:type="character" w:customStyle="1" w:styleId="238">
    <w:name w:val="参考文献条目"/>
    <w:basedOn w:val="189"/>
    <w:qFormat/>
    <w:uiPriority w:val="0"/>
    <w:rPr>
      <w:rFonts w:ascii="宋体" w:hAnsi="宋体" w:eastAsia="宋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239">
    <w:name w:val="关键词"/>
    <w:qFormat/>
    <w:uiPriority w:val="0"/>
    <w:rPr>
      <w:rFonts w:ascii="Times New Roman" w:hAnsi="Times New Roman" w:eastAsia="黑体" w:cs="Times New Roman"/>
      <w:b/>
      <w:kern w:val="2"/>
      <w:sz w:val="24"/>
      <w:szCs w:val="24"/>
      <w:lang w:bidi="ar-SA"/>
    </w:rPr>
  </w:style>
  <w:style w:type="character" w:customStyle="1" w:styleId="240">
    <w:name w:val="着重标题"/>
    <w:basedOn w:val="189"/>
    <w:qFormat/>
    <w:uiPriority w:val="0"/>
    <w:rPr>
      <w:rFonts w:ascii="宋体" w:hAnsi="宋体" w:eastAsia="宋体" w:cs="宋体"/>
      <w:kern w:val="2"/>
      <w:sz w:val="28"/>
      <w:szCs w:val="28"/>
      <w:lang w:val="en-US" w:eastAsia="zh-CN" w:bidi="ar-SA"/>
    </w:rPr>
  </w:style>
  <w:style w:type="character" w:customStyle="1" w:styleId="241">
    <w:name w:val="列表编号 字符"/>
    <w:link w:val="20"/>
    <w:qFormat/>
    <w:uiPriority w:val="0"/>
  </w:style>
  <w:style w:type="character" w:customStyle="1" w:styleId="242">
    <w:name w:val="列表项目符号 字符"/>
    <w:link w:val="25"/>
    <w:qFormat/>
    <w:uiPriority w:val="0"/>
  </w:style>
  <w:style w:type="character" w:customStyle="1" w:styleId="243">
    <w:name w:val="列表项目符号 2 字符"/>
    <w:link w:val="41"/>
    <w:qFormat/>
    <w:uiPriority w:val="0"/>
  </w:style>
  <w:style w:type="character" w:customStyle="1" w:styleId="244">
    <w:name w:val="HTML 地址 字符"/>
    <w:basedOn w:val="189"/>
    <w:link w:val="42"/>
    <w:qFormat/>
    <w:uiPriority w:val="0"/>
    <w:rPr>
      <w:rFonts w:ascii="汉仪正圆-45W" w:hAnsi="汉仪正圆-45W" w:eastAsia="汉仪正圆-45W" w:cstheme="minorBidi"/>
      <w:i/>
      <w:iCs/>
      <w:kern w:val="2"/>
      <w:sz w:val="22"/>
      <w:szCs w:val="22"/>
    </w:rPr>
  </w:style>
  <w:style w:type="character" w:customStyle="1" w:styleId="245">
    <w:name w:val="HTML 预设格式 字符"/>
    <w:basedOn w:val="189"/>
    <w:link w:val="81"/>
    <w:qFormat/>
    <w:uiPriority w:val="0"/>
    <w:rPr>
      <w:rFonts w:ascii="Courier New" w:hAnsi="Courier New" w:eastAsia="汉仪正圆-45W" w:cs="Courier New"/>
      <w:kern w:val="2"/>
    </w:rPr>
  </w:style>
  <w:style w:type="character" w:customStyle="1" w:styleId="246">
    <w:name w:val="称呼 字符"/>
    <w:basedOn w:val="189"/>
    <w:link w:val="31"/>
    <w:qFormat/>
    <w:uiPriority w:val="0"/>
    <w:rPr>
      <w:rFonts w:ascii="汉仪正圆-45W" w:hAnsi="汉仪正圆-45W" w:eastAsia="宋体" w:cstheme="minorBidi"/>
      <w:kern w:val="2"/>
      <w:sz w:val="22"/>
      <w:szCs w:val="22"/>
    </w:rPr>
  </w:style>
  <w:style w:type="character" w:customStyle="1" w:styleId="247">
    <w:name w:val="纯文本 字符"/>
    <w:basedOn w:val="189"/>
    <w:link w:val="46"/>
    <w:qFormat/>
    <w:uiPriority w:val="0"/>
    <w:rPr>
      <w:rFonts w:hAnsi="Courier New" w:cs="Courier New" w:asciiTheme="minorEastAsia" w:eastAsiaTheme="minorEastAsia"/>
      <w:kern w:val="2"/>
      <w:sz w:val="22"/>
      <w:szCs w:val="22"/>
    </w:rPr>
  </w:style>
  <w:style w:type="character" w:customStyle="1" w:styleId="248">
    <w:name w:val="电子邮件签名 字符"/>
    <w:basedOn w:val="189"/>
    <w:link w:val="19"/>
    <w:qFormat/>
    <w:uiPriority w:val="0"/>
    <w:rPr>
      <w:rFonts w:ascii="汉仪正圆-45W" w:hAnsi="汉仪正圆-45W" w:eastAsia="汉仪正圆-45W" w:cstheme="minorBidi"/>
      <w:kern w:val="2"/>
      <w:sz w:val="22"/>
      <w:szCs w:val="22"/>
    </w:rPr>
  </w:style>
  <w:style w:type="character" w:customStyle="1" w:styleId="249">
    <w:name w:val="宏文本 字符"/>
    <w:basedOn w:val="189"/>
    <w:link w:val="2"/>
    <w:qFormat/>
    <w:uiPriority w:val="0"/>
    <w:rPr>
      <w:rFonts w:ascii="Courier New" w:hAnsi="Courier New" w:eastAsia="宋体" w:cs="Courier New"/>
      <w:kern w:val="2"/>
      <w:sz w:val="24"/>
      <w:szCs w:val="24"/>
    </w:rPr>
  </w:style>
  <w:style w:type="character" w:customStyle="1" w:styleId="250">
    <w:name w:val="结束语 字符"/>
    <w:basedOn w:val="189"/>
    <w:link w:val="33"/>
    <w:qFormat/>
    <w:uiPriority w:val="0"/>
    <w:rPr>
      <w:rFonts w:ascii="汉仪正圆-45W" w:hAnsi="汉仪正圆-45W" w:eastAsia="汉仪正圆-45W" w:cstheme="minorBidi"/>
      <w:kern w:val="2"/>
      <w:sz w:val="22"/>
      <w:szCs w:val="22"/>
    </w:rPr>
  </w:style>
  <w:style w:type="character" w:customStyle="1" w:styleId="251">
    <w:name w:val="明显引用 字符"/>
    <w:basedOn w:val="189"/>
    <w:link w:val="220"/>
    <w:qFormat/>
    <w:uiPriority w:val="99"/>
    <w:rPr>
      <w:rFonts w:ascii="汉仪正圆-45W" w:hAnsi="汉仪正圆-45W" w:eastAsia="汉仪正圆-45W" w:cstheme="minorBidi"/>
      <w:i/>
      <w:iCs/>
      <w:color w:val="4874CB" w:themeColor="accent1"/>
      <w:kern w:val="2"/>
      <w:sz w:val="22"/>
      <w:szCs w:val="22"/>
      <w14:textFill>
        <w14:solidFill>
          <w14:schemeClr w14:val="accent1"/>
        </w14:solidFill>
      </w14:textFill>
    </w:rPr>
  </w:style>
  <w:style w:type="character" w:customStyle="1" w:styleId="252">
    <w:name w:val="签名 字符"/>
    <w:basedOn w:val="189"/>
    <w:link w:val="59"/>
    <w:qFormat/>
    <w:uiPriority w:val="0"/>
    <w:rPr>
      <w:rFonts w:ascii="汉仪正圆-45W" w:hAnsi="汉仪正圆-45W" w:eastAsia="宋体" w:cstheme="minorBidi"/>
      <w:kern w:val="2"/>
      <w:sz w:val="22"/>
      <w:szCs w:val="22"/>
    </w:rPr>
  </w:style>
  <w:style w:type="character" w:customStyle="1" w:styleId="253">
    <w:name w:val="日期 字符"/>
    <w:basedOn w:val="189"/>
    <w:link w:val="51"/>
    <w:qFormat/>
    <w:uiPriority w:val="0"/>
    <w:rPr>
      <w:rFonts w:ascii="汉仪正圆-45W" w:hAnsi="汉仪正圆-45W" w:eastAsia="宋体" w:cstheme="minorBidi"/>
      <w:kern w:val="2"/>
      <w:sz w:val="22"/>
      <w:szCs w:val="22"/>
    </w:rPr>
  </w:style>
  <w:style w:type="paragraph" w:customStyle="1" w:styleId="254">
    <w:name w:val="Bibliography"/>
    <w:basedOn w:val="1"/>
    <w:next w:val="1"/>
    <w:semiHidden/>
    <w:unhideWhenUsed/>
    <w:qFormat/>
    <w:uiPriority w:val="37"/>
  </w:style>
  <w:style w:type="character" w:customStyle="1" w:styleId="255">
    <w:name w:val="文档结构图 字符"/>
    <w:basedOn w:val="189"/>
    <w:link w:val="27"/>
    <w:qFormat/>
    <w:uiPriority w:val="0"/>
    <w:rPr>
      <w:rFonts w:ascii="Microsoft YaHei UI" w:hAnsi="汉仪正圆-45W" w:eastAsia="Microsoft YaHei UI" w:cstheme="minorBidi"/>
      <w:kern w:val="2"/>
      <w:sz w:val="18"/>
      <w:szCs w:val="18"/>
    </w:rPr>
  </w:style>
  <w:style w:type="character" w:customStyle="1" w:styleId="256">
    <w:name w:val="信息标题 字符"/>
    <w:basedOn w:val="189"/>
    <w:link w:val="80"/>
    <w:qFormat/>
    <w:uiPriority w:val="0"/>
    <w:rPr>
      <w:rFonts w:asciiTheme="majorHAnsi" w:hAnsiTheme="majorHAnsi" w:eastAsiaTheme="majorEastAsia" w:cstheme="majorBidi"/>
      <w:kern w:val="2"/>
      <w:sz w:val="24"/>
      <w:szCs w:val="24"/>
      <w:shd w:val="pct20" w:color="auto" w:fill="auto"/>
    </w:rPr>
  </w:style>
  <w:style w:type="character" w:customStyle="1" w:styleId="257">
    <w:name w:val="引用 字符"/>
    <w:basedOn w:val="189"/>
    <w:link w:val="212"/>
    <w:qFormat/>
    <w:uiPriority w:val="99"/>
    <w:rPr>
      <w:rFonts w:ascii="汉仪正圆-45W" w:hAnsi="汉仪正圆-45W" w:eastAsia="汉仪正圆-45W" w:cstheme="minorBidi"/>
      <w:i/>
      <w:iCs/>
      <w:color w:val="404040" w:themeColor="text1" w:themeTint="BF"/>
      <w:kern w:val="2"/>
      <w:sz w:val="22"/>
      <w:szCs w:val="22"/>
      <w14:textFill>
        <w14:solidFill>
          <w14:schemeClr w14:val="tx1">
            <w14:lumMod w14:val="75000"/>
            <w14:lumOff w14:val="25000"/>
          </w14:schemeClr>
        </w14:solidFill>
      </w14:textFill>
    </w:rPr>
  </w:style>
  <w:style w:type="character" w:customStyle="1" w:styleId="258">
    <w:name w:val="正文文本 2 字符"/>
    <w:basedOn w:val="189"/>
    <w:link w:val="77"/>
    <w:qFormat/>
    <w:uiPriority w:val="0"/>
    <w:rPr>
      <w:rFonts w:ascii="汉仪正圆-45W" w:hAnsi="汉仪正圆-45W" w:eastAsia="汉仪正圆-45W" w:cstheme="minorBidi"/>
      <w:kern w:val="2"/>
      <w:sz w:val="22"/>
      <w:szCs w:val="22"/>
    </w:rPr>
  </w:style>
  <w:style w:type="character" w:customStyle="1" w:styleId="259">
    <w:name w:val="正文文本 3 字符"/>
    <w:basedOn w:val="189"/>
    <w:link w:val="32"/>
    <w:qFormat/>
    <w:uiPriority w:val="0"/>
    <w:rPr>
      <w:rFonts w:ascii="汉仪正圆-45W" w:hAnsi="汉仪正圆-45W" w:eastAsia="汉仪正圆-45W" w:cstheme="minorBidi"/>
      <w:kern w:val="2"/>
      <w:sz w:val="16"/>
      <w:szCs w:val="16"/>
    </w:rPr>
  </w:style>
  <w:style w:type="character" w:customStyle="1" w:styleId="260">
    <w:name w:val="正文文本 字符"/>
    <w:qFormat/>
    <w:uiPriority w:val="0"/>
    <w:rPr>
      <w:rFonts w:ascii="宋体" w:hAnsi="宋体" w:eastAsia="宋体" w:cs="宋体"/>
      <w:kern w:val="2"/>
      <w:sz w:val="28"/>
      <w:szCs w:val="28"/>
      <w:lang w:val="en-US" w:eastAsia="zh-CN" w:bidi="ar-SA"/>
    </w:rPr>
  </w:style>
  <w:style w:type="character" w:customStyle="1" w:styleId="261">
    <w:name w:val="正文文本首行缩进 字符"/>
    <w:basedOn w:val="260"/>
    <w:link w:val="87"/>
    <w:qFormat/>
    <w:uiPriority w:val="0"/>
    <w:rPr>
      <w:rFonts w:ascii="汉仪正圆-45W" w:hAnsi="汉仪正圆-45W" w:eastAsia="汉仪正圆-45W" w:cstheme="minorBidi"/>
      <w:kern w:val="2"/>
      <w:sz w:val="22"/>
      <w:szCs w:val="22"/>
    </w:rPr>
  </w:style>
  <w:style w:type="character" w:customStyle="1" w:styleId="262">
    <w:name w:val="正文文本缩进 字符"/>
    <w:basedOn w:val="189"/>
    <w:link w:val="36"/>
    <w:qFormat/>
    <w:uiPriority w:val="0"/>
    <w:rPr>
      <w:rFonts w:ascii="汉仪正圆-45W" w:hAnsi="汉仪正圆-45W" w:eastAsia="汉仪正圆-45W" w:cstheme="minorBidi"/>
      <w:kern w:val="2"/>
      <w:sz w:val="22"/>
      <w:szCs w:val="22"/>
    </w:rPr>
  </w:style>
  <w:style w:type="character" w:customStyle="1" w:styleId="263">
    <w:name w:val="正文文本首行缩进 2 字符"/>
    <w:basedOn w:val="262"/>
    <w:link w:val="88"/>
    <w:qFormat/>
    <w:uiPriority w:val="0"/>
    <w:rPr>
      <w:rFonts w:ascii="汉仪正圆-45W" w:hAnsi="汉仪正圆-45W" w:eastAsia="汉仪正圆-45W" w:cstheme="minorBidi"/>
      <w:kern w:val="2"/>
      <w:sz w:val="22"/>
      <w:szCs w:val="22"/>
    </w:rPr>
  </w:style>
  <w:style w:type="character" w:customStyle="1" w:styleId="264">
    <w:name w:val="正文文本缩进 2 字符"/>
    <w:basedOn w:val="189"/>
    <w:link w:val="52"/>
    <w:qFormat/>
    <w:uiPriority w:val="0"/>
    <w:rPr>
      <w:rFonts w:ascii="汉仪正圆-45W" w:hAnsi="汉仪正圆-45W" w:eastAsia="汉仪正圆-45W" w:cstheme="minorBidi"/>
      <w:kern w:val="2"/>
      <w:sz w:val="22"/>
      <w:szCs w:val="22"/>
    </w:rPr>
  </w:style>
  <w:style w:type="character" w:customStyle="1" w:styleId="265">
    <w:name w:val="正文文本缩进 3 字符"/>
    <w:basedOn w:val="189"/>
    <w:link w:val="71"/>
    <w:qFormat/>
    <w:uiPriority w:val="0"/>
    <w:rPr>
      <w:rFonts w:ascii="汉仪正圆-45W" w:hAnsi="汉仪正圆-45W" w:eastAsia="汉仪正圆-45W" w:cstheme="minorBidi"/>
      <w:kern w:val="2"/>
      <w:sz w:val="16"/>
      <w:szCs w:val="16"/>
    </w:rPr>
  </w:style>
  <w:style w:type="character" w:customStyle="1" w:styleId="266">
    <w:name w:val="注释标题 字符"/>
    <w:basedOn w:val="189"/>
    <w:link w:val="16"/>
    <w:qFormat/>
    <w:uiPriority w:val="0"/>
    <w:rPr>
      <w:rFonts w:ascii="汉仪正圆-45W" w:hAnsi="汉仪正圆-45W" w:eastAsia="汉仪正圆-45W" w:cstheme="minorBidi"/>
      <w:kern w:val="2"/>
      <w:sz w:val="22"/>
      <w:szCs w:val="22"/>
    </w:rPr>
  </w:style>
  <w:style w:type="paragraph" w:customStyle="1" w:styleId="267">
    <w:name w:val="主送对象"/>
    <w:next w:val="35"/>
    <w:qFormat/>
    <w:uiPriority w:val="0"/>
    <w:pPr>
      <w:adjustRightInd w:val="0"/>
      <w:snapToGrid w:val="0"/>
      <w:spacing w:line="360" w:lineRule="auto"/>
    </w:pPr>
    <w:rPr>
      <w:rFonts w:hint="eastAsia" w:ascii="宋体" w:hAnsi="宋体" w:eastAsia="宋体"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268">
    <w:name w:val="批注框文本 Char"/>
    <w:link w:val="55"/>
    <w:qFormat/>
    <w:uiPriority w:val="0"/>
    <w:rPr>
      <w:sz w:val="18"/>
      <w:szCs w:val="18"/>
    </w:rPr>
  </w:style>
  <w:style w:type="paragraph" w:customStyle="1" w:styleId="269">
    <w:name w:val="摘要标题"/>
    <w:next w:val="1"/>
    <w:qFormat/>
    <w:uiPriority w:val="0"/>
    <w:pPr>
      <w:keepNext w:val="0"/>
      <w:keepLines w:val="0"/>
      <w:widowControl w:val="0"/>
      <w:adjustRightInd w:val="0"/>
      <w:spacing w:before="480" w:after="360" w:line="400" w:lineRule="exact"/>
      <w:jc w:val="center"/>
      <w:outlineLvl w:val="9"/>
    </w:pPr>
    <w:rPr>
      <w:rFonts w:ascii="Times New Roman" w:hAnsi="Times New Roman" w:eastAsia="黑体" w:cs="Times New Roman"/>
      <w:kern w:val="44"/>
      <w:sz w:val="30"/>
      <w:szCs w:val="32"/>
      <w:lang w:bidi="ar-SA"/>
    </w:rPr>
  </w:style>
  <w:style w:type="paragraph" w:customStyle="1" w:styleId="270">
    <w:name w:val="摘要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271">
    <w:name w:val="关键词正文"/>
    <w:next w:val="1"/>
    <w:qFormat/>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paragraph" w:customStyle="1" w:styleId="272">
    <w:name w:val="英文摘要标题"/>
    <w:next w:val="1"/>
    <w:qFormat/>
    <w:uiPriority w:val="0"/>
    <w:pPr>
      <w:keepNext w:val="0"/>
      <w:keepLines w:val="0"/>
      <w:widowControl w:val="0"/>
      <w:adjustRightInd w:val="0"/>
      <w:spacing w:before="480" w:after="360" w:line="400" w:lineRule="exact"/>
      <w:jc w:val="center"/>
      <w:outlineLvl w:val="9"/>
    </w:pPr>
    <w:rPr>
      <w:rFonts w:ascii="Times New Roman" w:hAnsi="Times New Roman" w:eastAsia="黑体" w:cs="Times New Roman"/>
      <w:b/>
      <w:bCs/>
      <w:kern w:val="44"/>
      <w:sz w:val="30"/>
      <w:szCs w:val="32"/>
      <w:lang w:bidi="ar-SA"/>
    </w:rPr>
  </w:style>
  <w:style w:type="paragraph" w:customStyle="1" w:styleId="273">
    <w:name w:val="英文摘要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274">
    <w:name w:val="英文关键词正文"/>
    <w:next w:val="1"/>
    <w:qFormat/>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275">
    <w:name w:val="英文关键词"/>
    <w:qFormat/>
    <w:uiPriority w:val="0"/>
    <w:rPr>
      <w:rFonts w:ascii="Times New Roman" w:hAnsi="Times New Roman" w:eastAsia="黑体" w:cs="Times New Roman"/>
      <w:b/>
      <w:bCs/>
      <w:kern w:val="2"/>
      <w:sz w:val="24"/>
      <w:szCs w:val="24"/>
      <w:lang w:bidi="ar-SA"/>
    </w:rPr>
  </w:style>
  <w:style w:type="paragraph" w:customStyle="1" w:styleId="276">
    <w:name w:val="图片标题"/>
    <w:next w:val="1"/>
    <w:qFormat/>
    <w:uiPriority w:val="0"/>
    <w:pPr>
      <w:widowControl w:val="0"/>
      <w:adjustRightInd w:val="0"/>
      <w:spacing w:before="120" w:after="240" w:line="240" w:lineRule="auto"/>
      <w:jc w:val="center"/>
      <w:outlineLvl w:val="9"/>
    </w:pPr>
    <w:rPr>
      <w:rFonts w:ascii="Times New Roman" w:hAnsi="Times New Roman" w:eastAsia="宋体" w:cs="Times New Roman"/>
      <w:kern w:val="2"/>
      <w:sz w:val="21"/>
      <w:szCs w:val="21"/>
      <w:lang w:bidi="ar-SA"/>
    </w:rPr>
  </w:style>
  <w:style w:type="paragraph" w:customStyle="1" w:styleId="277">
    <w:name w:val="表格标题"/>
    <w:next w:val="1"/>
    <w:qFormat/>
    <w:uiPriority w:val="0"/>
    <w:pPr>
      <w:widowControl w:val="0"/>
      <w:adjustRightInd w:val="0"/>
      <w:spacing w:before="240" w:after="120" w:line="240" w:lineRule="auto"/>
      <w:jc w:val="center"/>
      <w:outlineLvl w:val="9"/>
    </w:pPr>
    <w:rPr>
      <w:rFonts w:ascii="Times New Roman" w:hAnsi="Times New Roman" w:eastAsia="宋体" w:cs="Times New Roman"/>
      <w:kern w:val="2"/>
      <w:sz w:val="21"/>
      <w:szCs w:val="21"/>
      <w:lang w:bidi="ar-SA"/>
    </w:rPr>
  </w:style>
  <w:style w:type="character" w:customStyle="1" w:styleId="278">
    <w:name w:val="标题 2 Char"/>
    <w:link w:val="4"/>
    <w:uiPriority w:val="9"/>
    <w:rPr>
      <w:rFonts w:ascii="Times New Roman" w:hAnsi="Times New Roman" w:eastAsia="黑体" w:cs="Times New Roman"/>
      <w:kern w:val="2"/>
      <w:sz w:val="28"/>
      <w:szCs w:val="28"/>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9992</Words>
  <Characters>12613</Characters>
  <Lines>0</Lines>
  <Paragraphs>0</Paragraphs>
  <TotalTime>18</TotalTime>
  <ScaleCrop>false</ScaleCrop>
  <LinksUpToDate>false</LinksUpToDate>
  <CharactersWithSpaces>13005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asus</dc:creator>
  <dc:description>generated by python-docx</dc:description>
  <cp:lastModifiedBy>Be lonely-</cp:lastModifiedBy>
  <dcterms:modified xsi:type="dcterms:W3CDTF">2026-05-09T08:51:50Z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eyJoZGlkIjoiNmZjZDE5ZDU2NDZkNWRlMDc2OWU2YTFkYmM0NWUzMDEiLCJ1c2VySWQiOiI4ODA1NDE5NjgifQ==</vt:lpwstr>
  </property>
  <property fmtid="{D5CDD505-2E9C-101B-9397-08002B2CF9AE}" pid="3" name="KSOProductBuildVer">
    <vt:lpwstr>2052-12.1.0.25865</vt:lpwstr>
  </property>
  <property fmtid="{D5CDD505-2E9C-101B-9397-08002B2CF9AE}" pid="4" name="ICV">
    <vt:lpwstr>A4F29D47BE09452FA4F0E5FA1C202361_12</vt:lpwstr>
  </property>
</Properties>
</file>