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7357F3">
      <w:pPr>
        <w:widowControl/>
        <w:autoSpaceDE w:val="0"/>
        <w:autoSpaceDN w:val="0"/>
        <w:textAlignment w:val="bottom"/>
        <w:rPr>
          <w:color w:val="000000"/>
        </w:rPr>
      </w:pPr>
    </w:p>
    <w:p w14:paraId="4304940E">
      <w:pPr>
        <w:widowControl/>
        <w:autoSpaceDE w:val="0"/>
        <w:autoSpaceDN w:val="0"/>
        <w:textAlignment w:val="bottom"/>
        <w:rPr>
          <w:color w:val="000000"/>
        </w:rPr>
      </w:pPr>
    </w:p>
    <w:p w14:paraId="3DB358C5">
      <w:pPr>
        <w:widowControl/>
        <w:autoSpaceDE w:val="0"/>
        <w:autoSpaceDN w:val="0"/>
        <w:textAlignment w:val="bottom"/>
        <w:rPr>
          <w:color w:val="000000"/>
        </w:rPr>
      </w:pPr>
    </w:p>
    <w:p w14:paraId="07A44A59">
      <w:pPr>
        <w:widowControl/>
        <w:autoSpaceDE w:val="0"/>
        <w:autoSpaceDN w:val="0"/>
        <w:jc w:val="center"/>
        <w:textAlignment w:val="bottom"/>
        <w:rPr>
          <w:rFonts w:ascii="宋体" w:hAnsi="宋体"/>
          <w:b/>
          <w:color w:val="000000"/>
          <w:sz w:val="36"/>
          <w:szCs w:val="36"/>
        </w:rPr>
      </w:pPr>
      <w:r>
        <w:rPr>
          <w:rFonts w:hint="eastAsia" w:ascii="宋体" w:hAnsi="宋体"/>
          <w:b/>
          <w:color w:val="000000"/>
          <w:sz w:val="36"/>
          <w:szCs w:val="36"/>
        </w:rPr>
        <w:t>第X</w:t>
      </w:r>
      <w:r>
        <w:rPr>
          <w:rFonts w:ascii="宋体" w:hAnsi="宋体"/>
          <w:b/>
          <w:color w:val="000000"/>
          <w:sz w:val="36"/>
          <w:szCs w:val="36"/>
        </w:rPr>
        <w:t>X</w:t>
      </w:r>
      <w:r>
        <w:rPr>
          <w:rFonts w:hint="eastAsia" w:ascii="宋体" w:hAnsi="宋体"/>
          <w:b/>
          <w:color w:val="000000"/>
          <w:sz w:val="36"/>
          <w:szCs w:val="36"/>
        </w:rPr>
        <w:t>届中国机器人及人工智能大赛</w:t>
      </w:r>
    </w:p>
    <w:p w14:paraId="65B2D005">
      <w:pPr>
        <w:widowControl/>
        <w:autoSpaceDE w:val="0"/>
        <w:autoSpaceDN w:val="0"/>
        <w:jc w:val="center"/>
        <w:textAlignment w:val="bottom"/>
        <w:rPr>
          <w:rFonts w:ascii="宋体" w:hAnsi="宋体"/>
          <w:b/>
          <w:color w:val="000000"/>
          <w:sz w:val="36"/>
          <w:szCs w:val="36"/>
        </w:rPr>
      </w:pPr>
    </w:p>
    <w:p w14:paraId="74395520">
      <w:pPr>
        <w:widowControl/>
        <w:autoSpaceDE w:val="0"/>
        <w:autoSpaceDN w:val="0"/>
        <w:jc w:val="center"/>
        <w:textAlignment w:val="bottom"/>
        <w:outlineLvl w:val="0"/>
        <w:rPr>
          <w:rFonts w:ascii="黑体" w:eastAsia="黑体"/>
          <w:color w:val="000000"/>
          <w:sz w:val="44"/>
          <w:szCs w:val="44"/>
        </w:rPr>
      </w:pPr>
      <w:bookmarkStart w:id="0" w:name="_Toc444598197"/>
      <w:bookmarkStart w:id="1" w:name="_Toc475371780"/>
      <w:r>
        <w:rPr>
          <w:rFonts w:hint="eastAsia" w:ascii="黑体" w:eastAsia="黑体"/>
          <w:color w:val="000000"/>
          <w:sz w:val="44"/>
          <w:szCs w:val="44"/>
          <w:lang w:val="en-US" w:eastAsia="zh-CN"/>
        </w:rPr>
        <w:t>人工智能</w:t>
      </w:r>
      <w:r>
        <w:rPr>
          <w:rFonts w:hint="eastAsia" w:ascii="黑体" w:eastAsia="黑体"/>
          <w:color w:val="000000"/>
          <w:sz w:val="44"/>
          <w:szCs w:val="44"/>
        </w:rPr>
        <w:t>创新赛</w:t>
      </w:r>
      <w:bookmarkEnd w:id="0"/>
      <w:bookmarkEnd w:id="1"/>
      <w:r>
        <w:rPr>
          <w:rFonts w:hint="eastAsia" w:ascii="黑体" w:eastAsia="黑体"/>
          <w:color w:val="000000"/>
          <w:sz w:val="44"/>
          <w:szCs w:val="44"/>
        </w:rPr>
        <w:t>报名表</w:t>
      </w:r>
    </w:p>
    <w:p w14:paraId="02CBC9F0">
      <w:pPr>
        <w:widowControl/>
        <w:autoSpaceDE w:val="0"/>
        <w:autoSpaceDN w:val="0"/>
        <w:jc w:val="center"/>
        <w:textAlignment w:val="bottom"/>
        <w:rPr>
          <w:rFonts w:ascii="Georgia" w:eastAsia="Georgia"/>
          <w:color w:val="000000"/>
          <w:sz w:val="32"/>
          <w:szCs w:val="32"/>
          <w:shd w:val="pct10" w:color="auto" w:fill="FFFFFF"/>
        </w:rPr>
      </w:pPr>
    </w:p>
    <w:p w14:paraId="473252F0">
      <w:pPr>
        <w:widowControl/>
        <w:autoSpaceDE w:val="0"/>
        <w:autoSpaceDN w:val="0"/>
        <w:jc w:val="center"/>
        <w:textAlignment w:val="bottom"/>
        <w:rPr>
          <w:rFonts w:ascii="仿宋" w:hAnsi="仿宋" w:eastAsia="仿宋"/>
          <w:color w:val="000000"/>
          <w:sz w:val="32"/>
          <w:szCs w:val="32"/>
          <w:shd w:val="pct10" w:color="auto" w:fill="FFFFFF"/>
        </w:rPr>
      </w:pPr>
    </w:p>
    <w:p w14:paraId="6E5C1FC9">
      <w:pPr>
        <w:widowControl/>
        <w:autoSpaceDE w:val="0"/>
        <w:autoSpaceDN w:val="0"/>
        <w:jc w:val="center"/>
        <w:textAlignment w:val="bottom"/>
        <w:rPr>
          <w:rFonts w:ascii="仿宋" w:hAnsi="仿宋" w:eastAsia="仿宋"/>
          <w:color w:val="000000"/>
          <w:sz w:val="32"/>
          <w:szCs w:val="32"/>
          <w:shd w:val="pct10" w:color="auto" w:fill="FFFFFF"/>
        </w:rPr>
      </w:pPr>
    </w:p>
    <w:p w14:paraId="564B7CCE">
      <w:pPr>
        <w:widowControl/>
        <w:autoSpaceDE w:val="0"/>
        <w:autoSpaceDN w:val="0"/>
        <w:jc w:val="center"/>
        <w:textAlignment w:val="bottom"/>
        <w:rPr>
          <w:rFonts w:hint="eastAsia" w:ascii="仿宋" w:hAnsi="仿宋" w:eastAsia="仿宋"/>
          <w:color w:val="000000"/>
          <w:sz w:val="32"/>
          <w:szCs w:val="32"/>
          <w:shd w:val="pct10" w:color="auto" w:fill="FFFFFF"/>
        </w:rPr>
      </w:pPr>
    </w:p>
    <w:p w14:paraId="526CA6B2">
      <w:pPr>
        <w:widowControl/>
        <w:autoSpaceDE w:val="0"/>
        <w:autoSpaceDN w:val="0"/>
        <w:spacing w:line="400" w:lineRule="exact"/>
        <w:ind w:left="1438" w:leftChars="304" w:hanging="800" w:hangingChars="250"/>
        <w:jc w:val="left"/>
        <w:textAlignment w:val="bottom"/>
        <w:rPr>
          <w:rFonts w:ascii="楷体" w:hAnsi="楷体" w:eastAsia="楷体"/>
          <w:color w:val="000000"/>
          <w:sz w:val="32"/>
          <w:szCs w:val="32"/>
        </w:rPr>
      </w:pPr>
    </w:p>
    <w:p w14:paraId="253A64CA">
      <w:pPr>
        <w:widowControl/>
        <w:autoSpaceDE w:val="0"/>
        <w:autoSpaceDN w:val="0"/>
        <w:spacing w:line="400" w:lineRule="exact"/>
        <w:ind w:left="1438" w:leftChars="304" w:hanging="800" w:hangingChars="250"/>
        <w:jc w:val="left"/>
        <w:textAlignment w:val="bottom"/>
        <w:rPr>
          <w:rFonts w:ascii="楷体" w:hAnsi="楷体" w:eastAsia="楷体"/>
          <w:color w:val="000000"/>
          <w:sz w:val="32"/>
          <w:szCs w:val="32"/>
        </w:rPr>
      </w:pPr>
    </w:p>
    <w:p w14:paraId="7284940A">
      <w:pPr>
        <w:widowControl/>
        <w:autoSpaceDE w:val="0"/>
        <w:autoSpaceDN w:val="0"/>
        <w:spacing w:line="240" w:lineRule="auto"/>
        <w:ind w:left="2238" w:leftChars="304" w:hanging="1600" w:hangingChars="500"/>
        <w:jc w:val="left"/>
        <w:textAlignment w:val="bottom"/>
        <w:rPr>
          <w:rFonts w:ascii="楷体" w:hAnsi="楷体" w:eastAsia="楷体"/>
          <w:color w:val="000000"/>
          <w:sz w:val="32"/>
          <w:szCs w:val="32"/>
        </w:rPr>
      </w:pPr>
      <w:r>
        <w:rPr>
          <w:rFonts w:hint="eastAsia" w:ascii="楷体" w:hAnsi="楷体" w:eastAsia="楷体"/>
          <w:color w:val="000000"/>
          <w:sz w:val="32"/>
          <w:szCs w:val="32"/>
        </w:rPr>
        <w:t>项目名称：</w:t>
      </w:r>
      <w:r>
        <w:rPr>
          <w:rFonts w:hint="eastAsia" w:ascii="楷体" w:hAnsi="楷体" w:eastAsia="楷体" w:cs="Times New Roman"/>
          <w:color w:val="000000"/>
          <w:kern w:val="2"/>
          <w:sz w:val="32"/>
          <w:szCs w:val="32"/>
          <w:lang w:val="en-US" w:eastAsia="zh-CN" w:bidi="ar-SA"/>
        </w:rPr>
        <w:t>智策惠民——基于大模型与证据链取证的政务资格审核系统</w:t>
      </w:r>
    </w:p>
    <w:p w14:paraId="02BF57EE">
      <w:pPr>
        <w:widowControl/>
        <w:autoSpaceDE w:val="0"/>
        <w:autoSpaceDN w:val="0"/>
        <w:spacing w:line="400" w:lineRule="exact"/>
        <w:textAlignment w:val="bottom"/>
        <w:rPr>
          <w:rFonts w:ascii="楷体" w:hAnsi="楷体" w:eastAsia="楷体"/>
          <w:color w:val="000000"/>
          <w:sz w:val="32"/>
          <w:szCs w:val="32"/>
        </w:rPr>
      </w:pPr>
    </w:p>
    <w:p w14:paraId="24184A03">
      <w:pPr>
        <w:widowControl/>
        <w:autoSpaceDE w:val="0"/>
        <w:autoSpaceDN w:val="0"/>
        <w:spacing w:line="400" w:lineRule="exact"/>
        <w:ind w:firstLine="640" w:firstLineChars="200"/>
        <w:jc w:val="left"/>
        <w:textAlignment w:val="bottom"/>
        <w:rPr>
          <w:rFonts w:hint="default" w:ascii="楷体" w:hAnsi="楷体" w:eastAsia="楷体"/>
          <w:color w:val="000000"/>
          <w:sz w:val="32"/>
          <w:szCs w:val="32"/>
          <w:lang w:val="en-US" w:eastAsia="zh-CN"/>
        </w:rPr>
      </w:pPr>
      <w:r>
        <w:rPr>
          <w:rFonts w:hint="eastAsia" w:ascii="楷体" w:hAnsi="楷体" w:eastAsia="楷体"/>
          <w:color w:val="000000"/>
          <w:sz w:val="32"/>
          <w:szCs w:val="32"/>
        </w:rPr>
        <w:t>项目成员：</w:t>
      </w:r>
      <w:r>
        <w:rPr>
          <w:rFonts w:hint="eastAsia" w:ascii="楷体" w:hAnsi="楷体" w:eastAsia="楷体"/>
          <w:color w:val="000000"/>
          <w:sz w:val="32"/>
          <w:szCs w:val="32"/>
          <w:lang w:val="en-US" w:eastAsia="zh-CN"/>
        </w:rPr>
        <w:t>韩显 魏家昕 谢蕊</w:t>
      </w:r>
    </w:p>
    <w:p w14:paraId="674A67D6">
      <w:pPr>
        <w:widowControl/>
        <w:autoSpaceDE w:val="0"/>
        <w:autoSpaceDN w:val="0"/>
        <w:spacing w:line="400" w:lineRule="exact"/>
        <w:ind w:firstLine="640" w:firstLineChars="200"/>
        <w:jc w:val="left"/>
        <w:textAlignment w:val="bottom"/>
        <w:rPr>
          <w:rFonts w:ascii="楷体" w:hAnsi="楷体" w:eastAsia="楷体"/>
          <w:color w:val="000000"/>
          <w:sz w:val="32"/>
          <w:szCs w:val="32"/>
        </w:rPr>
      </w:pPr>
    </w:p>
    <w:p w14:paraId="4FE97257">
      <w:pPr>
        <w:widowControl/>
        <w:autoSpaceDE w:val="0"/>
        <w:autoSpaceDN w:val="0"/>
        <w:spacing w:line="400" w:lineRule="exact"/>
        <w:ind w:firstLine="640" w:firstLineChars="200"/>
        <w:jc w:val="left"/>
        <w:textAlignment w:val="bottom"/>
        <w:rPr>
          <w:rFonts w:hint="eastAsia" w:ascii="楷体" w:hAnsi="楷体" w:eastAsia="楷体"/>
          <w:color w:val="000000"/>
          <w:sz w:val="32"/>
          <w:szCs w:val="32"/>
          <w:u w:val="single"/>
          <w:lang w:val="en-US" w:eastAsia="zh-CN"/>
        </w:rPr>
      </w:pPr>
      <w:r>
        <w:rPr>
          <w:rFonts w:hint="eastAsia" w:ascii="楷体" w:hAnsi="楷体" w:eastAsia="楷体"/>
          <w:color w:val="000000"/>
          <w:sz w:val="32"/>
          <w:szCs w:val="32"/>
        </w:rPr>
        <w:t>指导教师：</w:t>
      </w:r>
      <w:r>
        <w:rPr>
          <w:rFonts w:hint="eastAsia" w:ascii="楷体" w:hAnsi="楷体" w:eastAsia="楷体"/>
          <w:color w:val="000000"/>
          <w:sz w:val="32"/>
          <w:szCs w:val="32"/>
          <w:lang w:val="en-US" w:eastAsia="zh-CN"/>
        </w:rPr>
        <w:t>王铬铭</w:t>
      </w:r>
    </w:p>
    <w:p w14:paraId="106EDD38">
      <w:pPr>
        <w:widowControl/>
        <w:autoSpaceDE w:val="0"/>
        <w:autoSpaceDN w:val="0"/>
        <w:spacing w:line="400" w:lineRule="exact"/>
        <w:textAlignment w:val="bottom"/>
        <w:rPr>
          <w:rFonts w:ascii="楷体" w:hAnsi="楷体" w:eastAsia="楷体"/>
          <w:color w:val="000000"/>
          <w:sz w:val="32"/>
          <w:szCs w:val="32"/>
        </w:rPr>
      </w:pPr>
    </w:p>
    <w:p w14:paraId="2B3FD621">
      <w:pPr>
        <w:widowControl/>
        <w:autoSpaceDE w:val="0"/>
        <w:autoSpaceDN w:val="0"/>
        <w:spacing w:line="400" w:lineRule="exact"/>
        <w:ind w:firstLine="640" w:firstLineChars="200"/>
        <w:jc w:val="left"/>
        <w:textAlignment w:val="bottom"/>
        <w:rPr>
          <w:rFonts w:hint="eastAsia" w:ascii="楷体" w:hAnsi="楷体" w:eastAsia="楷体"/>
          <w:color w:val="000000"/>
          <w:sz w:val="32"/>
          <w:szCs w:val="32"/>
          <w:u w:val="single"/>
          <w:lang w:val="en-US" w:eastAsia="zh-CN"/>
        </w:rPr>
      </w:pPr>
      <w:r>
        <w:rPr>
          <w:rFonts w:hint="eastAsia" w:ascii="楷体" w:hAnsi="楷体" w:eastAsia="楷体"/>
          <w:color w:val="000000"/>
          <w:sz w:val="32"/>
          <w:szCs w:val="32"/>
        </w:rPr>
        <w:t>所在学校（全称）：</w:t>
      </w:r>
      <w:r>
        <w:rPr>
          <w:rFonts w:hint="eastAsia" w:ascii="楷体" w:hAnsi="楷体" w:eastAsia="楷体"/>
          <w:color w:val="000000"/>
          <w:sz w:val="32"/>
          <w:szCs w:val="32"/>
          <w:lang w:val="en-US" w:eastAsia="zh-CN"/>
        </w:rPr>
        <w:t>西南交通大学</w:t>
      </w:r>
    </w:p>
    <w:p w14:paraId="004BBA84">
      <w:pPr>
        <w:widowControl/>
        <w:autoSpaceDE w:val="0"/>
        <w:autoSpaceDN w:val="0"/>
        <w:spacing w:line="400" w:lineRule="exact"/>
        <w:ind w:firstLine="640" w:firstLineChars="200"/>
        <w:textAlignment w:val="bottom"/>
        <w:rPr>
          <w:rFonts w:ascii="楷体" w:hAnsi="楷体" w:eastAsia="楷体"/>
          <w:color w:val="000000"/>
          <w:sz w:val="32"/>
          <w:szCs w:val="32"/>
          <w:u w:val="single"/>
        </w:rPr>
      </w:pPr>
    </w:p>
    <w:p w14:paraId="49773B3E">
      <w:pPr>
        <w:widowControl/>
        <w:autoSpaceDE w:val="0"/>
        <w:autoSpaceDN w:val="0"/>
        <w:spacing w:line="400" w:lineRule="exact"/>
        <w:textAlignment w:val="bottom"/>
        <w:rPr>
          <w:color w:val="000000"/>
          <w:sz w:val="32"/>
          <w:szCs w:val="32"/>
        </w:rPr>
      </w:pPr>
    </w:p>
    <w:p w14:paraId="4950B274">
      <w:pPr>
        <w:widowControl/>
        <w:autoSpaceDE w:val="0"/>
        <w:autoSpaceDN w:val="0"/>
        <w:spacing w:line="400" w:lineRule="exact"/>
        <w:textAlignment w:val="bottom"/>
        <w:rPr>
          <w:color w:val="000000"/>
          <w:sz w:val="32"/>
          <w:szCs w:val="32"/>
        </w:rPr>
      </w:pPr>
    </w:p>
    <w:p w14:paraId="762A325B">
      <w:pPr>
        <w:spacing w:line="400" w:lineRule="exact"/>
        <w:rPr>
          <w:rFonts w:ascii="楷体" w:hAnsi="楷体" w:eastAsia="楷体"/>
          <w:color w:val="000000"/>
          <w:sz w:val="32"/>
          <w:szCs w:val="32"/>
        </w:rPr>
      </w:pPr>
    </w:p>
    <w:p w14:paraId="28F702E2">
      <w:pPr>
        <w:widowControl/>
        <w:autoSpaceDE w:val="0"/>
        <w:autoSpaceDN w:val="0"/>
        <w:spacing w:line="400" w:lineRule="exact"/>
        <w:textAlignment w:val="bottom"/>
        <w:rPr>
          <w:rFonts w:ascii="楷体" w:hAnsi="楷体" w:eastAsia="楷体"/>
          <w:color w:val="000000"/>
          <w:sz w:val="32"/>
          <w:szCs w:val="32"/>
        </w:rPr>
      </w:pPr>
    </w:p>
    <w:p w14:paraId="72FBD0D3">
      <w:pPr>
        <w:widowControl/>
        <w:autoSpaceDE w:val="0"/>
        <w:autoSpaceDN w:val="0"/>
        <w:spacing w:line="400" w:lineRule="exact"/>
        <w:ind w:left="2160"/>
        <w:textAlignment w:val="bottom"/>
        <w:rPr>
          <w:rFonts w:ascii="楷体" w:hAnsi="楷体" w:eastAsia="楷体"/>
          <w:color w:val="000000"/>
          <w:sz w:val="32"/>
          <w:szCs w:val="32"/>
        </w:rPr>
      </w:pPr>
    </w:p>
    <w:p w14:paraId="3691BC2D">
      <w:pPr>
        <w:widowControl/>
        <w:autoSpaceDE w:val="0"/>
        <w:autoSpaceDN w:val="0"/>
        <w:spacing w:line="400" w:lineRule="exact"/>
        <w:ind w:left="2160"/>
        <w:textAlignment w:val="bottom"/>
        <w:rPr>
          <w:rFonts w:ascii="楷体" w:hAnsi="楷体" w:eastAsia="楷体"/>
          <w:color w:val="000000"/>
          <w:sz w:val="32"/>
          <w:szCs w:val="32"/>
        </w:rPr>
      </w:pPr>
    </w:p>
    <w:p w14:paraId="41FAB1BE">
      <w:pPr>
        <w:widowControl/>
        <w:autoSpaceDE w:val="0"/>
        <w:autoSpaceDN w:val="0"/>
        <w:spacing w:line="400" w:lineRule="exact"/>
        <w:ind w:left="2160"/>
        <w:textAlignment w:val="bottom"/>
        <w:rPr>
          <w:rFonts w:hint="eastAsia" w:ascii="楷体" w:hAnsi="楷体" w:eastAsia="楷体"/>
          <w:color w:val="000000"/>
          <w:sz w:val="32"/>
          <w:szCs w:val="32"/>
        </w:rPr>
      </w:pPr>
    </w:p>
    <w:p w14:paraId="4411D906">
      <w:pPr>
        <w:widowControl/>
        <w:autoSpaceDE w:val="0"/>
        <w:autoSpaceDN w:val="0"/>
        <w:spacing w:line="400" w:lineRule="exact"/>
        <w:ind w:left="2160"/>
        <w:textAlignment w:val="bottom"/>
        <w:rPr>
          <w:rFonts w:ascii="楷体" w:hAnsi="楷体" w:eastAsia="楷体"/>
          <w:color w:val="000000"/>
          <w:sz w:val="32"/>
          <w:szCs w:val="32"/>
        </w:rPr>
      </w:pPr>
    </w:p>
    <w:p w14:paraId="61EEBD1C">
      <w:pPr>
        <w:widowControl/>
        <w:autoSpaceDE w:val="0"/>
        <w:autoSpaceDN w:val="0"/>
        <w:spacing w:line="400" w:lineRule="exact"/>
        <w:ind w:left="2160"/>
        <w:textAlignment w:val="bottom"/>
        <w:rPr>
          <w:rFonts w:ascii="楷体" w:hAnsi="楷体" w:eastAsia="楷体"/>
          <w:color w:val="000000"/>
          <w:sz w:val="32"/>
          <w:szCs w:val="32"/>
        </w:rPr>
      </w:pPr>
    </w:p>
    <w:p w14:paraId="5180B12E">
      <w:pPr>
        <w:widowControl/>
        <w:autoSpaceDE w:val="0"/>
        <w:autoSpaceDN w:val="0"/>
        <w:spacing w:line="400" w:lineRule="exact"/>
        <w:ind w:left="2160"/>
        <w:textAlignment w:val="bottom"/>
        <w:rPr>
          <w:rFonts w:ascii="仿宋" w:hAnsi="仿宋" w:eastAsia="仿宋"/>
          <w:color w:val="000000"/>
          <w:sz w:val="24"/>
        </w:rPr>
      </w:pPr>
    </w:p>
    <w:p w14:paraId="5DD2247B">
      <w:pPr>
        <w:widowControl/>
        <w:autoSpaceDE w:val="0"/>
        <w:autoSpaceDN w:val="0"/>
        <w:spacing w:line="400" w:lineRule="exact"/>
        <w:jc w:val="center"/>
        <w:textAlignment w:val="bottom"/>
        <w:rPr>
          <w:rFonts w:ascii="隶书" w:eastAsia="隶书"/>
          <w:color w:val="000000"/>
          <w:sz w:val="32"/>
          <w:szCs w:val="32"/>
        </w:rPr>
      </w:pPr>
      <w:r>
        <w:rPr>
          <w:rFonts w:hint="eastAsia" w:ascii="仿宋" w:hAnsi="仿宋" w:eastAsia="仿宋" w:cs="仿宋"/>
          <w:color w:val="000000"/>
          <w:sz w:val="32"/>
          <w:szCs w:val="32"/>
        </w:rPr>
        <w:t>中国机器人及人工智能大赛组织委员会制</w:t>
      </w:r>
    </w:p>
    <w:p w14:paraId="7763F1AA">
      <w:pPr>
        <w:widowControl/>
        <w:autoSpaceDE w:val="0"/>
        <w:autoSpaceDN w:val="0"/>
        <w:textAlignment w:val="bottom"/>
        <w:rPr>
          <w:rFonts w:hint="eastAsia" w:hAnsi="minorBidi" w:eastAsiaTheme="minorEastAsia"/>
          <w:color w:val="000000"/>
          <w:sz w:val="32"/>
          <w:szCs w:val="32"/>
        </w:rPr>
        <w:sectPr>
          <w:headerReference r:id="rId4" w:type="first"/>
          <w:headerReference r:id="rId3" w:type="default"/>
          <w:footerReference r:id="rId5" w:type="default"/>
          <w:footerReference r:id="rId6" w:type="even"/>
          <w:type w:val="continuous"/>
          <w:pgSz w:w="11906" w:h="16838"/>
          <w:pgMar w:top="1134" w:right="1134" w:bottom="1134" w:left="1134" w:header="851" w:footer="851" w:gutter="0"/>
          <w:cols w:space="720" w:num="1"/>
        </w:sectPr>
      </w:pPr>
    </w:p>
    <w:p w14:paraId="3BD36894">
      <w:pPr>
        <w:widowControl/>
        <w:autoSpaceDE w:val="0"/>
        <w:autoSpaceDN w:val="0"/>
        <w:jc w:val="center"/>
        <w:textAlignment w:val="bottom"/>
        <w:rPr>
          <w:rFonts w:hint="eastAsia" w:ascii="minorBidi" w:hAnsi="minorBidi"/>
          <w:b/>
          <w:color w:val="000000"/>
          <w:sz w:val="28"/>
        </w:rPr>
      </w:pPr>
      <w:r>
        <w:rPr>
          <w:rFonts w:ascii="minorBidi" w:hAnsi="minorBidi"/>
          <w:b/>
          <w:color w:val="000000"/>
          <w:sz w:val="28"/>
        </w:rPr>
        <w:t>A</w:t>
      </w:r>
      <w:r>
        <w:rPr>
          <w:rFonts w:hint="eastAsia" w:ascii="minorBidi" w:hAnsi="minorBidi"/>
          <w:b/>
          <w:color w:val="000000"/>
          <w:sz w:val="28"/>
        </w:rPr>
        <w:t>、参赛队员情况</w:t>
      </w:r>
    </w:p>
    <w:p w14:paraId="500BF52F">
      <w:pPr>
        <w:widowControl/>
        <w:autoSpaceDE w:val="0"/>
        <w:autoSpaceDN w:val="0"/>
        <w:spacing w:after="120" w:afterLines="50"/>
        <w:jc w:val="left"/>
        <w:textAlignment w:val="bottom"/>
        <w:rPr>
          <w:rFonts w:ascii="仿宋" w:hAnsi="仿宋" w:eastAsia="仿宋"/>
          <w:color w:val="000000"/>
        </w:rPr>
      </w:pPr>
      <w:r>
        <w:rPr>
          <w:rFonts w:hint="eastAsia" w:ascii="仿宋" w:hAnsi="仿宋" w:eastAsia="仿宋"/>
          <w:color w:val="000000"/>
        </w:rPr>
        <w:t>说明：个人项目只填第一参赛队员情况，集体项目须填写每位参赛队员情况，</w:t>
      </w:r>
      <w:r>
        <w:rPr>
          <w:rFonts w:hint="eastAsia" w:ascii="仿宋" w:hAnsi="仿宋" w:eastAsia="仿宋"/>
          <w:b/>
          <w:color w:val="000000"/>
        </w:rPr>
        <w:t>第一参赛队员为队长</w:t>
      </w:r>
    </w:p>
    <w:tbl>
      <w:tblPr>
        <w:tblStyle w:val="14"/>
        <w:tblW w:w="9807" w:type="dxa"/>
        <w:jc w:val="center"/>
        <w:tblLayout w:type="fixed"/>
        <w:tblCellMar>
          <w:top w:w="0" w:type="dxa"/>
          <w:left w:w="28" w:type="dxa"/>
          <w:bottom w:w="0" w:type="dxa"/>
          <w:right w:w="28" w:type="dxa"/>
        </w:tblCellMar>
      </w:tblPr>
      <w:tblGrid>
        <w:gridCol w:w="420"/>
        <w:gridCol w:w="1155"/>
        <w:gridCol w:w="1119"/>
        <w:gridCol w:w="36"/>
        <w:gridCol w:w="525"/>
        <w:gridCol w:w="630"/>
        <w:gridCol w:w="525"/>
        <w:gridCol w:w="895"/>
        <w:gridCol w:w="1062"/>
        <w:gridCol w:w="12"/>
        <w:gridCol w:w="1418"/>
        <w:gridCol w:w="2010"/>
      </w:tblGrid>
      <w:tr w14:paraId="327563D2">
        <w:tblPrEx>
          <w:tblCellMar>
            <w:top w:w="0" w:type="dxa"/>
            <w:left w:w="28" w:type="dxa"/>
            <w:bottom w:w="0" w:type="dxa"/>
            <w:right w:w="28" w:type="dxa"/>
          </w:tblCellMar>
        </w:tblPrEx>
        <w:trPr>
          <w:cantSplit/>
          <w:trHeight w:val="454" w:hRule="atLeast"/>
          <w:jc w:val="center"/>
        </w:trPr>
        <w:tc>
          <w:tcPr>
            <w:tcW w:w="420" w:type="dxa"/>
            <w:vMerge w:val="restart"/>
            <w:tcBorders>
              <w:top w:val="single" w:color="auto" w:sz="6" w:space="0"/>
              <w:left w:val="single" w:color="auto" w:sz="6" w:space="0"/>
              <w:right w:val="single" w:color="auto" w:sz="4" w:space="0"/>
            </w:tcBorders>
            <w:vAlign w:val="center"/>
          </w:tcPr>
          <w:p w14:paraId="4847701B">
            <w:pPr>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第一参赛队员</w:t>
            </w:r>
          </w:p>
        </w:tc>
        <w:tc>
          <w:tcPr>
            <w:tcW w:w="1155" w:type="dxa"/>
            <w:tcBorders>
              <w:top w:val="single" w:color="auto" w:sz="6" w:space="0"/>
              <w:left w:val="single" w:color="auto" w:sz="4" w:space="0"/>
              <w:bottom w:val="single" w:color="auto" w:sz="6" w:space="0"/>
              <w:right w:val="single" w:color="auto" w:sz="6" w:space="0"/>
            </w:tcBorders>
            <w:vAlign w:val="center"/>
          </w:tcPr>
          <w:p w14:paraId="5E57B7D5">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姓  名</w:t>
            </w:r>
          </w:p>
        </w:tc>
        <w:tc>
          <w:tcPr>
            <w:tcW w:w="1155" w:type="dxa"/>
            <w:gridSpan w:val="2"/>
            <w:tcBorders>
              <w:top w:val="single" w:color="auto" w:sz="6" w:space="0"/>
              <w:bottom w:val="single" w:color="auto" w:sz="6" w:space="0"/>
              <w:right w:val="single" w:color="auto" w:sz="6" w:space="0"/>
            </w:tcBorders>
            <w:vAlign w:val="center"/>
          </w:tcPr>
          <w:p w14:paraId="69226AE5">
            <w:pPr>
              <w:widowControl/>
              <w:autoSpaceDE w:val="0"/>
              <w:autoSpaceDN w:val="0"/>
              <w:textAlignment w:val="bottom"/>
              <w:rPr>
                <w:rFonts w:hint="eastAsia" w:ascii="仿宋" w:hAnsi="仿宋" w:eastAsia="仿宋" w:cs="仿宋"/>
                <w:color w:val="000000"/>
                <w:lang w:val="en-US" w:eastAsia="zh-CN"/>
              </w:rPr>
            </w:pPr>
            <w:r>
              <w:rPr>
                <w:rFonts w:hint="eastAsia" w:ascii="仿宋" w:hAnsi="仿宋" w:eastAsia="仿宋" w:cs="仿宋"/>
                <w:color w:val="000000"/>
                <w:lang w:val="en-US" w:eastAsia="zh-CN"/>
              </w:rPr>
              <w:t>韩显</w:t>
            </w:r>
          </w:p>
        </w:tc>
        <w:tc>
          <w:tcPr>
            <w:tcW w:w="525" w:type="dxa"/>
            <w:tcBorders>
              <w:top w:val="single" w:color="auto" w:sz="6" w:space="0"/>
              <w:bottom w:val="single" w:color="auto" w:sz="6" w:space="0"/>
            </w:tcBorders>
            <w:vAlign w:val="center"/>
          </w:tcPr>
          <w:p w14:paraId="33246338">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性别</w:t>
            </w:r>
          </w:p>
        </w:tc>
        <w:tc>
          <w:tcPr>
            <w:tcW w:w="630" w:type="dxa"/>
            <w:tcBorders>
              <w:top w:val="single" w:color="auto" w:sz="6" w:space="0"/>
              <w:left w:val="single" w:color="auto" w:sz="6" w:space="0"/>
              <w:bottom w:val="single" w:color="auto" w:sz="6" w:space="0"/>
              <w:right w:val="single" w:color="auto" w:sz="6" w:space="0"/>
            </w:tcBorders>
            <w:vAlign w:val="center"/>
          </w:tcPr>
          <w:p w14:paraId="296558B3">
            <w:pPr>
              <w:widowControl/>
              <w:autoSpaceDE w:val="0"/>
              <w:autoSpaceDN w:val="0"/>
              <w:jc w:val="center"/>
              <w:textAlignment w:val="bottom"/>
              <w:rPr>
                <w:rFonts w:hint="eastAsia" w:ascii="仿宋" w:hAnsi="仿宋" w:eastAsia="仿宋" w:cs="仿宋"/>
                <w:color w:val="000000"/>
                <w:lang w:val="en-US" w:eastAsia="zh-CN"/>
              </w:rPr>
            </w:pPr>
            <w:r>
              <w:rPr>
                <w:rFonts w:hint="eastAsia" w:ascii="仿宋" w:hAnsi="仿宋" w:eastAsia="仿宋" w:cs="仿宋"/>
                <w:color w:val="000000"/>
                <w:lang w:val="en-US" w:eastAsia="zh-CN"/>
              </w:rPr>
              <w:t>男</w:t>
            </w:r>
          </w:p>
        </w:tc>
        <w:tc>
          <w:tcPr>
            <w:tcW w:w="525" w:type="dxa"/>
            <w:tcBorders>
              <w:top w:val="single" w:color="auto" w:sz="6" w:space="0"/>
              <w:bottom w:val="single" w:color="auto" w:sz="4" w:space="0"/>
            </w:tcBorders>
            <w:vAlign w:val="center"/>
          </w:tcPr>
          <w:p w14:paraId="7B6E8B14">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民族</w:t>
            </w:r>
          </w:p>
        </w:tc>
        <w:tc>
          <w:tcPr>
            <w:tcW w:w="895" w:type="dxa"/>
            <w:tcBorders>
              <w:top w:val="single" w:color="auto" w:sz="6" w:space="0"/>
              <w:left w:val="single" w:color="auto" w:sz="6" w:space="0"/>
              <w:bottom w:val="single" w:color="auto" w:sz="4" w:space="0"/>
              <w:right w:val="single" w:color="auto" w:sz="6" w:space="0"/>
            </w:tcBorders>
            <w:vAlign w:val="center"/>
          </w:tcPr>
          <w:p w14:paraId="2FFEEE3B">
            <w:pPr>
              <w:widowControl/>
              <w:autoSpaceDE w:val="0"/>
              <w:autoSpaceDN w:val="0"/>
              <w:jc w:val="center"/>
              <w:textAlignment w:val="bottom"/>
              <w:rPr>
                <w:rFonts w:hint="eastAsia" w:ascii="仿宋" w:hAnsi="仿宋" w:eastAsia="仿宋" w:cs="仿宋"/>
                <w:color w:val="000000"/>
                <w:lang w:val="en-US" w:eastAsia="zh-CN"/>
              </w:rPr>
            </w:pPr>
            <w:r>
              <w:rPr>
                <w:rFonts w:hint="eastAsia" w:ascii="仿宋" w:hAnsi="仿宋" w:eastAsia="仿宋" w:cs="仿宋"/>
                <w:color w:val="000000"/>
                <w:lang w:val="en-US" w:eastAsia="zh-CN"/>
              </w:rPr>
              <w:t>汉族</w:t>
            </w:r>
          </w:p>
        </w:tc>
        <w:tc>
          <w:tcPr>
            <w:tcW w:w="1074" w:type="dxa"/>
            <w:gridSpan w:val="2"/>
            <w:tcBorders>
              <w:top w:val="single" w:color="auto" w:sz="6" w:space="0"/>
              <w:bottom w:val="single" w:color="auto" w:sz="4" w:space="0"/>
              <w:right w:val="single" w:color="auto" w:sz="6" w:space="0"/>
            </w:tcBorders>
            <w:vAlign w:val="center"/>
          </w:tcPr>
          <w:p w14:paraId="0D9D6FAE">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出生年月</w:t>
            </w:r>
          </w:p>
        </w:tc>
        <w:tc>
          <w:tcPr>
            <w:tcW w:w="1418" w:type="dxa"/>
            <w:tcBorders>
              <w:top w:val="single" w:color="auto" w:sz="6" w:space="0"/>
              <w:bottom w:val="single" w:color="auto" w:sz="4" w:space="0"/>
            </w:tcBorders>
            <w:vAlign w:val="center"/>
          </w:tcPr>
          <w:p w14:paraId="43DA7A82">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2005.03</w:t>
            </w:r>
          </w:p>
        </w:tc>
        <w:tc>
          <w:tcPr>
            <w:tcW w:w="2010" w:type="dxa"/>
            <w:vMerge w:val="restart"/>
            <w:tcBorders>
              <w:top w:val="single" w:color="auto" w:sz="6" w:space="0"/>
              <w:left w:val="single" w:color="auto" w:sz="6" w:space="0"/>
              <w:right w:val="single" w:color="auto" w:sz="6" w:space="0"/>
            </w:tcBorders>
            <w:vAlign w:val="center"/>
          </w:tcPr>
          <w:p w14:paraId="3A15C61C">
            <w:pPr>
              <w:autoSpaceDE w:val="0"/>
              <w:autoSpaceDN w:val="0"/>
              <w:jc w:val="center"/>
              <w:textAlignment w:val="bottom"/>
              <w:rPr>
                <w:rFonts w:ascii="仿宋" w:hAnsi="仿宋" w:eastAsia="仿宋" w:cs="仿宋"/>
                <w:color w:val="000000"/>
              </w:rPr>
            </w:pPr>
            <w:r>
              <w:rPr>
                <w:rFonts w:hint="eastAsia" w:ascii="仿宋" w:hAnsi="仿宋" w:eastAsia="仿宋" w:cs="仿宋"/>
                <w:color w:val="000000"/>
              </w:rPr>
              <w:drawing>
                <wp:inline distT="0" distB="0" distL="114300" distR="114300">
                  <wp:extent cx="1238885" cy="1734185"/>
                  <wp:effectExtent l="0" t="0" r="5715" b="5715"/>
                  <wp:docPr id="1" name="图片 1" descr="微信图片_2026-04-19_185239_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4-19_185239_302"/>
                          <pic:cNvPicPr>
                            <a:picLocks noChangeAspect="1"/>
                          </pic:cNvPicPr>
                        </pic:nvPicPr>
                        <pic:blipFill>
                          <a:blip r:embed="rId14"/>
                          <a:stretch>
                            <a:fillRect/>
                          </a:stretch>
                        </pic:blipFill>
                        <pic:spPr>
                          <a:xfrm>
                            <a:off x="0" y="0"/>
                            <a:ext cx="1238885" cy="1734185"/>
                          </a:xfrm>
                          <a:prstGeom prst="rect">
                            <a:avLst/>
                          </a:prstGeom>
                        </pic:spPr>
                      </pic:pic>
                    </a:graphicData>
                  </a:graphic>
                </wp:inline>
              </w:drawing>
            </w:r>
          </w:p>
        </w:tc>
      </w:tr>
      <w:tr w14:paraId="01BD8E16">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2B5168B1">
            <w:pPr>
              <w:autoSpaceDE w:val="0"/>
              <w:autoSpaceDN w:val="0"/>
              <w:jc w:val="center"/>
              <w:textAlignment w:val="bottom"/>
              <w:rPr>
                <w:rFonts w:ascii="仿宋" w:hAnsi="仿宋" w:eastAsia="仿宋" w:cs="仿宋"/>
                <w:color w:val="000000"/>
              </w:rPr>
            </w:pPr>
          </w:p>
        </w:tc>
        <w:tc>
          <w:tcPr>
            <w:tcW w:w="1155" w:type="dxa"/>
            <w:tcBorders>
              <w:top w:val="single" w:color="auto" w:sz="6" w:space="0"/>
              <w:left w:val="single" w:color="auto" w:sz="4" w:space="0"/>
              <w:bottom w:val="single" w:color="auto" w:sz="6" w:space="0"/>
              <w:right w:val="single" w:color="auto" w:sz="6" w:space="0"/>
            </w:tcBorders>
            <w:vAlign w:val="center"/>
          </w:tcPr>
          <w:p w14:paraId="5352030D">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身份证号码</w:t>
            </w:r>
          </w:p>
        </w:tc>
        <w:tc>
          <w:tcPr>
            <w:tcW w:w="6222" w:type="dxa"/>
            <w:gridSpan w:val="9"/>
            <w:tcBorders>
              <w:top w:val="single" w:color="auto" w:sz="6" w:space="0"/>
              <w:bottom w:val="single" w:color="auto" w:sz="6" w:space="0"/>
            </w:tcBorders>
            <w:vAlign w:val="center"/>
          </w:tcPr>
          <w:p w14:paraId="73980387">
            <w:pPr>
              <w:widowControl/>
              <w:autoSpaceDE w:val="0"/>
              <w:autoSpaceDN w:val="0"/>
              <w:jc w:val="left"/>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23012520050318481X</w:t>
            </w:r>
          </w:p>
        </w:tc>
        <w:tc>
          <w:tcPr>
            <w:tcW w:w="2010" w:type="dxa"/>
            <w:vMerge w:val="continue"/>
            <w:tcBorders>
              <w:left w:val="single" w:color="auto" w:sz="6" w:space="0"/>
              <w:right w:val="single" w:color="auto" w:sz="6" w:space="0"/>
            </w:tcBorders>
            <w:vAlign w:val="center"/>
          </w:tcPr>
          <w:p w14:paraId="3C63EE27">
            <w:pPr>
              <w:widowControl/>
              <w:autoSpaceDE w:val="0"/>
              <w:autoSpaceDN w:val="0"/>
              <w:jc w:val="center"/>
              <w:textAlignment w:val="bottom"/>
              <w:rPr>
                <w:rFonts w:ascii="仿宋" w:hAnsi="仿宋" w:eastAsia="仿宋" w:cs="仿宋"/>
                <w:color w:val="000000"/>
              </w:rPr>
            </w:pPr>
          </w:p>
        </w:tc>
      </w:tr>
      <w:tr w14:paraId="0663CEAF">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3D37642E">
            <w:pPr>
              <w:autoSpaceDE w:val="0"/>
              <w:autoSpaceDN w:val="0"/>
              <w:jc w:val="center"/>
              <w:textAlignment w:val="bottom"/>
              <w:rPr>
                <w:rFonts w:ascii="仿宋" w:hAnsi="仿宋" w:eastAsia="仿宋" w:cs="仿宋"/>
                <w:color w:val="000000"/>
              </w:rPr>
            </w:pPr>
          </w:p>
        </w:tc>
        <w:tc>
          <w:tcPr>
            <w:tcW w:w="1155" w:type="dxa"/>
            <w:tcBorders>
              <w:left w:val="single" w:color="auto" w:sz="4" w:space="0"/>
              <w:bottom w:val="single" w:color="auto" w:sz="4" w:space="0"/>
            </w:tcBorders>
            <w:vAlign w:val="center"/>
          </w:tcPr>
          <w:p w14:paraId="3AF7C77B">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大学学制</w:t>
            </w:r>
          </w:p>
        </w:tc>
        <w:tc>
          <w:tcPr>
            <w:tcW w:w="3730" w:type="dxa"/>
            <w:gridSpan w:val="6"/>
            <w:tcBorders>
              <w:left w:val="single" w:color="auto" w:sz="4" w:space="0"/>
              <w:bottom w:val="single" w:color="auto" w:sz="4" w:space="0"/>
            </w:tcBorders>
            <w:vAlign w:val="center"/>
          </w:tcPr>
          <w:p w14:paraId="2B48C380">
            <w:pPr>
              <w:widowControl/>
              <w:autoSpaceDE w:val="0"/>
              <w:autoSpaceDN w:val="0"/>
              <w:ind w:firstLine="210" w:firstLineChars="100"/>
              <w:textAlignment w:val="bottom"/>
              <w:rPr>
                <w:rFonts w:ascii="仿宋" w:hAnsi="仿宋" w:eastAsia="仿宋" w:cs="仿宋"/>
                <w:color w:val="000000"/>
              </w:rPr>
            </w:pPr>
            <w:r>
              <w:rPr>
                <w:rFonts w:hint="eastAsia" w:ascii="仿宋" w:hAnsi="仿宋" w:eastAsia="仿宋" w:cs="仿宋"/>
                <w:color w:val="000000"/>
              </w:rPr>
              <w:t>□专科生</w:t>
            </w:r>
            <w:r>
              <w:rPr>
                <w:rFonts w:hint="eastAsia" w:ascii="仿宋" w:hAnsi="仿宋" w:eastAsia="仿宋" w:cs="仿宋"/>
                <w:color w:val="000000"/>
                <w:lang w:val="en-US" w:eastAsia="zh-CN"/>
              </w:rPr>
              <w:t xml:space="preserve">   </w:t>
            </w:r>
            <w:r>
              <w:rPr>
                <w:rFonts w:hint="eastAsia" w:ascii="仿宋" w:hAnsi="仿宋" w:eastAsia="仿宋" w:cs="仿宋"/>
                <w:color w:val="000000"/>
                <w:lang w:eastAsia="zh-CN"/>
              </w:rPr>
              <w:t>☑</w:t>
            </w:r>
            <w:r>
              <w:rPr>
                <w:rFonts w:hint="eastAsia" w:ascii="仿宋" w:hAnsi="仿宋" w:eastAsia="仿宋" w:cs="仿宋"/>
                <w:color w:val="000000"/>
              </w:rPr>
              <w:t>本科生   □硕士生</w:t>
            </w:r>
          </w:p>
        </w:tc>
        <w:tc>
          <w:tcPr>
            <w:tcW w:w="1074" w:type="dxa"/>
            <w:gridSpan w:val="2"/>
            <w:tcBorders>
              <w:top w:val="single" w:color="auto" w:sz="4" w:space="0"/>
              <w:left w:val="single" w:color="auto" w:sz="4" w:space="0"/>
              <w:bottom w:val="single" w:color="auto" w:sz="4" w:space="0"/>
            </w:tcBorders>
            <w:vAlign w:val="center"/>
          </w:tcPr>
          <w:p w14:paraId="1770747C">
            <w:pPr>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年  级</w:t>
            </w:r>
          </w:p>
        </w:tc>
        <w:tc>
          <w:tcPr>
            <w:tcW w:w="1418" w:type="dxa"/>
            <w:tcBorders>
              <w:left w:val="single" w:color="auto" w:sz="4" w:space="0"/>
              <w:bottom w:val="single" w:color="auto" w:sz="4" w:space="0"/>
            </w:tcBorders>
            <w:vAlign w:val="center"/>
          </w:tcPr>
          <w:p w14:paraId="60A10A16">
            <w:pPr>
              <w:widowControl/>
              <w:autoSpaceDE w:val="0"/>
              <w:autoSpaceDN w:val="0"/>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大学三年级</w:t>
            </w:r>
          </w:p>
        </w:tc>
        <w:tc>
          <w:tcPr>
            <w:tcW w:w="2010" w:type="dxa"/>
            <w:vMerge w:val="continue"/>
            <w:tcBorders>
              <w:left w:val="single" w:color="auto" w:sz="6" w:space="0"/>
              <w:right w:val="single" w:color="auto" w:sz="6" w:space="0"/>
            </w:tcBorders>
            <w:vAlign w:val="center"/>
          </w:tcPr>
          <w:p w14:paraId="74A6AF8B">
            <w:pPr>
              <w:widowControl/>
              <w:autoSpaceDE w:val="0"/>
              <w:autoSpaceDN w:val="0"/>
              <w:jc w:val="center"/>
              <w:textAlignment w:val="bottom"/>
              <w:rPr>
                <w:rFonts w:ascii="仿宋" w:hAnsi="仿宋" w:eastAsia="仿宋" w:cs="仿宋"/>
                <w:color w:val="000000"/>
              </w:rPr>
            </w:pPr>
          </w:p>
        </w:tc>
      </w:tr>
      <w:tr w14:paraId="391D4292">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2F0C608D">
            <w:pPr>
              <w:autoSpaceDE w:val="0"/>
              <w:autoSpaceDN w:val="0"/>
              <w:jc w:val="center"/>
              <w:textAlignment w:val="bottom"/>
              <w:rPr>
                <w:rFonts w:ascii="仿宋" w:hAnsi="仿宋" w:eastAsia="仿宋" w:cs="仿宋"/>
                <w:color w:val="000000"/>
              </w:rPr>
            </w:pPr>
          </w:p>
        </w:tc>
        <w:tc>
          <w:tcPr>
            <w:tcW w:w="1155" w:type="dxa"/>
            <w:tcBorders>
              <w:top w:val="single" w:color="auto" w:sz="6" w:space="0"/>
              <w:left w:val="single" w:color="auto" w:sz="4" w:space="0"/>
              <w:bottom w:val="nil"/>
              <w:right w:val="single" w:color="auto" w:sz="6" w:space="0"/>
            </w:tcBorders>
            <w:vAlign w:val="center"/>
          </w:tcPr>
          <w:p w14:paraId="110B2CE7">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学校全名</w:t>
            </w:r>
          </w:p>
        </w:tc>
        <w:tc>
          <w:tcPr>
            <w:tcW w:w="3730" w:type="dxa"/>
            <w:gridSpan w:val="6"/>
            <w:tcBorders>
              <w:bottom w:val="single" w:color="auto" w:sz="4" w:space="0"/>
            </w:tcBorders>
            <w:vAlign w:val="center"/>
          </w:tcPr>
          <w:p w14:paraId="1E48D08C">
            <w:pPr>
              <w:widowControl/>
              <w:autoSpaceDE w:val="0"/>
              <w:autoSpaceDN w:val="0"/>
              <w:jc w:val="center"/>
              <w:textAlignment w:val="bottom"/>
              <w:rPr>
                <w:rFonts w:hint="eastAsia" w:ascii="仿宋" w:hAnsi="仿宋" w:eastAsia="仿宋" w:cs="仿宋"/>
                <w:color w:val="000000"/>
                <w:lang w:val="en-US" w:eastAsia="zh-CN"/>
              </w:rPr>
            </w:pPr>
            <w:r>
              <w:rPr>
                <w:rFonts w:hint="eastAsia" w:ascii="仿宋" w:hAnsi="仿宋" w:eastAsia="仿宋" w:cs="仿宋"/>
                <w:color w:val="000000"/>
                <w:lang w:val="en-US" w:eastAsia="zh-CN"/>
              </w:rPr>
              <w:t>西南交通大学</w:t>
            </w:r>
          </w:p>
        </w:tc>
        <w:tc>
          <w:tcPr>
            <w:tcW w:w="1074" w:type="dxa"/>
            <w:gridSpan w:val="2"/>
            <w:tcBorders>
              <w:top w:val="single" w:color="auto" w:sz="4" w:space="0"/>
              <w:left w:val="single" w:color="auto" w:sz="4" w:space="0"/>
              <w:bottom w:val="nil"/>
            </w:tcBorders>
            <w:vAlign w:val="center"/>
          </w:tcPr>
          <w:p w14:paraId="0EEFEEAC">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学校邮编</w:t>
            </w:r>
          </w:p>
        </w:tc>
        <w:tc>
          <w:tcPr>
            <w:tcW w:w="1418" w:type="dxa"/>
            <w:tcBorders>
              <w:top w:val="single" w:color="auto" w:sz="4" w:space="0"/>
              <w:left w:val="single" w:color="auto" w:sz="4" w:space="0"/>
              <w:bottom w:val="nil"/>
            </w:tcBorders>
            <w:vAlign w:val="center"/>
          </w:tcPr>
          <w:p w14:paraId="3167B594">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611756</w:t>
            </w:r>
          </w:p>
        </w:tc>
        <w:tc>
          <w:tcPr>
            <w:tcW w:w="2010" w:type="dxa"/>
            <w:vMerge w:val="continue"/>
            <w:tcBorders>
              <w:left w:val="single" w:color="auto" w:sz="6" w:space="0"/>
              <w:right w:val="single" w:color="auto" w:sz="6" w:space="0"/>
            </w:tcBorders>
            <w:vAlign w:val="center"/>
          </w:tcPr>
          <w:p w14:paraId="250EACA2">
            <w:pPr>
              <w:widowControl/>
              <w:autoSpaceDE w:val="0"/>
              <w:autoSpaceDN w:val="0"/>
              <w:jc w:val="center"/>
              <w:textAlignment w:val="bottom"/>
              <w:rPr>
                <w:rFonts w:ascii="仿宋" w:hAnsi="仿宋" w:eastAsia="仿宋" w:cs="仿宋"/>
                <w:color w:val="000000"/>
              </w:rPr>
            </w:pPr>
          </w:p>
        </w:tc>
      </w:tr>
      <w:tr w14:paraId="3E1E8A86">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4FC26719">
            <w:pPr>
              <w:autoSpaceDE w:val="0"/>
              <w:autoSpaceDN w:val="0"/>
              <w:jc w:val="center"/>
              <w:textAlignment w:val="bottom"/>
              <w:rPr>
                <w:rFonts w:ascii="仿宋" w:hAnsi="仿宋" w:eastAsia="仿宋" w:cs="仿宋"/>
                <w:color w:val="000000"/>
              </w:rPr>
            </w:pPr>
          </w:p>
        </w:tc>
        <w:tc>
          <w:tcPr>
            <w:tcW w:w="1155" w:type="dxa"/>
            <w:tcBorders>
              <w:top w:val="single" w:color="auto" w:sz="6" w:space="0"/>
              <w:left w:val="single" w:color="auto" w:sz="4" w:space="0"/>
              <w:bottom w:val="nil"/>
              <w:right w:val="single" w:color="auto" w:sz="6" w:space="0"/>
            </w:tcBorders>
            <w:vAlign w:val="center"/>
          </w:tcPr>
          <w:p w14:paraId="720C0195">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所学专业</w:t>
            </w:r>
          </w:p>
        </w:tc>
        <w:tc>
          <w:tcPr>
            <w:tcW w:w="3730" w:type="dxa"/>
            <w:gridSpan w:val="6"/>
            <w:tcBorders>
              <w:top w:val="single" w:color="auto" w:sz="4" w:space="0"/>
              <w:bottom w:val="single" w:color="auto" w:sz="6" w:space="0"/>
            </w:tcBorders>
            <w:vAlign w:val="center"/>
          </w:tcPr>
          <w:p w14:paraId="6DFFE76E">
            <w:pPr>
              <w:widowControl/>
              <w:autoSpaceDE w:val="0"/>
              <w:autoSpaceDN w:val="0"/>
              <w:jc w:val="center"/>
              <w:textAlignment w:val="bottom"/>
              <w:rPr>
                <w:rFonts w:hint="eastAsia" w:ascii="仿宋" w:hAnsi="仿宋" w:eastAsia="仿宋" w:cs="仿宋"/>
                <w:color w:val="000000"/>
                <w:lang w:val="en-US" w:eastAsia="zh-CN"/>
              </w:rPr>
            </w:pPr>
            <w:r>
              <w:rPr>
                <w:rFonts w:hint="eastAsia" w:ascii="仿宋" w:hAnsi="仿宋" w:eastAsia="仿宋" w:cs="仿宋"/>
                <w:color w:val="000000"/>
                <w:lang w:val="en-US" w:eastAsia="zh-CN"/>
              </w:rPr>
              <w:t>人工智能</w:t>
            </w:r>
          </w:p>
        </w:tc>
        <w:tc>
          <w:tcPr>
            <w:tcW w:w="1074" w:type="dxa"/>
            <w:gridSpan w:val="2"/>
            <w:tcBorders>
              <w:top w:val="single" w:color="auto" w:sz="4" w:space="0"/>
              <w:left w:val="single" w:color="auto" w:sz="4" w:space="0"/>
              <w:bottom w:val="nil"/>
            </w:tcBorders>
            <w:vAlign w:val="center"/>
          </w:tcPr>
          <w:p w14:paraId="4ED1049A">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所在学院</w:t>
            </w:r>
          </w:p>
        </w:tc>
        <w:tc>
          <w:tcPr>
            <w:tcW w:w="1418" w:type="dxa"/>
            <w:tcBorders>
              <w:top w:val="single" w:color="auto" w:sz="4" w:space="0"/>
              <w:left w:val="single" w:color="auto" w:sz="4" w:space="0"/>
              <w:bottom w:val="single" w:color="auto" w:sz="4" w:space="0"/>
            </w:tcBorders>
            <w:vAlign w:val="center"/>
          </w:tcPr>
          <w:p w14:paraId="3C497914">
            <w:pPr>
              <w:widowControl/>
              <w:autoSpaceDE w:val="0"/>
              <w:autoSpaceDN w:val="0"/>
              <w:jc w:val="center"/>
              <w:textAlignment w:val="bottom"/>
              <w:rPr>
                <w:rFonts w:hint="eastAsia" w:ascii="仿宋" w:hAnsi="仿宋" w:eastAsia="仿宋" w:cs="仿宋"/>
                <w:color w:val="000000"/>
                <w:lang w:val="en-US" w:eastAsia="zh-CN"/>
              </w:rPr>
            </w:pPr>
            <w:r>
              <w:rPr>
                <w:rFonts w:hint="eastAsia" w:ascii="仿宋" w:hAnsi="仿宋" w:eastAsia="仿宋" w:cs="仿宋"/>
                <w:color w:val="000000"/>
                <w:lang w:val="en-US" w:eastAsia="zh-CN"/>
              </w:rPr>
              <w:t>计算机与人工智能学院</w:t>
            </w:r>
          </w:p>
        </w:tc>
        <w:tc>
          <w:tcPr>
            <w:tcW w:w="2010" w:type="dxa"/>
            <w:vMerge w:val="continue"/>
            <w:tcBorders>
              <w:left w:val="single" w:color="auto" w:sz="6" w:space="0"/>
              <w:right w:val="single" w:color="auto" w:sz="6" w:space="0"/>
            </w:tcBorders>
            <w:vAlign w:val="center"/>
          </w:tcPr>
          <w:p w14:paraId="12A0FA91">
            <w:pPr>
              <w:widowControl/>
              <w:autoSpaceDE w:val="0"/>
              <w:autoSpaceDN w:val="0"/>
              <w:jc w:val="center"/>
              <w:textAlignment w:val="bottom"/>
              <w:rPr>
                <w:rFonts w:ascii="仿宋" w:hAnsi="仿宋" w:eastAsia="仿宋" w:cs="仿宋"/>
                <w:color w:val="000000"/>
              </w:rPr>
            </w:pPr>
          </w:p>
        </w:tc>
      </w:tr>
      <w:tr w14:paraId="2A081010">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0443F182">
            <w:pPr>
              <w:autoSpaceDE w:val="0"/>
              <w:autoSpaceDN w:val="0"/>
              <w:jc w:val="center"/>
              <w:textAlignment w:val="bottom"/>
              <w:rPr>
                <w:rFonts w:ascii="仿宋" w:hAnsi="仿宋" w:eastAsia="仿宋" w:cs="仿宋"/>
                <w:color w:val="000000"/>
              </w:rPr>
            </w:pPr>
          </w:p>
        </w:tc>
        <w:tc>
          <w:tcPr>
            <w:tcW w:w="1155" w:type="dxa"/>
            <w:tcBorders>
              <w:top w:val="single" w:color="auto" w:sz="6" w:space="0"/>
              <w:left w:val="single" w:color="auto" w:sz="4" w:space="0"/>
              <w:bottom w:val="nil"/>
              <w:right w:val="single" w:color="auto" w:sz="6" w:space="0"/>
            </w:tcBorders>
            <w:vAlign w:val="center"/>
          </w:tcPr>
          <w:p w14:paraId="59DC4CE2">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项目分工</w:t>
            </w:r>
          </w:p>
        </w:tc>
        <w:tc>
          <w:tcPr>
            <w:tcW w:w="6222" w:type="dxa"/>
            <w:gridSpan w:val="9"/>
            <w:tcBorders>
              <w:top w:val="single" w:color="auto" w:sz="4" w:space="0"/>
              <w:bottom w:val="single" w:color="auto" w:sz="6" w:space="0"/>
            </w:tcBorders>
            <w:vAlign w:val="center"/>
          </w:tcPr>
          <w:p w14:paraId="7A2CFBF0">
            <w:pPr>
              <w:widowControl/>
              <w:autoSpaceDE w:val="0"/>
              <w:autoSpaceDN w:val="0"/>
              <w:jc w:val="left"/>
              <w:textAlignment w:val="bottom"/>
              <w:rPr>
                <w:rFonts w:ascii="仿宋" w:hAnsi="仿宋" w:eastAsia="仿宋" w:cs="仿宋"/>
                <w:color w:val="000000"/>
              </w:rPr>
            </w:pPr>
            <w:r>
              <w:rPr>
                <w:rFonts w:hint="eastAsia" w:ascii="仿宋" w:hAnsi="仿宋" w:eastAsia="仿宋" w:cs="仿宋"/>
                <w:color w:val="000000"/>
              </w:rPr>
              <w:t>负责项目整体架构设计，核心算法实现，包括政策规则引擎、Text-to-SQL证据链取证、多Agent辩论仲裁、统一决策引擎、后端API开发、数据库设计及系统集成测试。</w:t>
            </w:r>
          </w:p>
        </w:tc>
        <w:tc>
          <w:tcPr>
            <w:tcW w:w="2010" w:type="dxa"/>
            <w:vMerge w:val="continue"/>
            <w:tcBorders>
              <w:left w:val="single" w:color="auto" w:sz="6" w:space="0"/>
              <w:bottom w:val="single" w:color="auto" w:sz="4" w:space="0"/>
              <w:right w:val="single" w:color="auto" w:sz="6" w:space="0"/>
            </w:tcBorders>
            <w:vAlign w:val="center"/>
          </w:tcPr>
          <w:p w14:paraId="7067ACA6">
            <w:pPr>
              <w:widowControl/>
              <w:autoSpaceDE w:val="0"/>
              <w:autoSpaceDN w:val="0"/>
              <w:jc w:val="center"/>
              <w:textAlignment w:val="bottom"/>
              <w:rPr>
                <w:rFonts w:ascii="仿宋" w:hAnsi="仿宋" w:eastAsia="仿宋" w:cs="仿宋"/>
                <w:color w:val="000000"/>
              </w:rPr>
            </w:pPr>
          </w:p>
        </w:tc>
      </w:tr>
      <w:tr w14:paraId="169C26BB">
        <w:tblPrEx>
          <w:tblCellMar>
            <w:top w:w="0" w:type="dxa"/>
            <w:left w:w="28" w:type="dxa"/>
            <w:bottom w:w="0" w:type="dxa"/>
            <w:right w:w="28" w:type="dxa"/>
          </w:tblCellMar>
        </w:tblPrEx>
        <w:trPr>
          <w:cantSplit/>
          <w:trHeight w:val="454" w:hRule="atLeast"/>
          <w:jc w:val="center"/>
        </w:trPr>
        <w:tc>
          <w:tcPr>
            <w:tcW w:w="420" w:type="dxa"/>
            <w:vMerge w:val="restart"/>
            <w:tcBorders>
              <w:top w:val="single" w:color="auto" w:sz="6" w:space="0"/>
              <w:left w:val="single" w:color="auto" w:sz="6" w:space="0"/>
              <w:right w:val="single" w:color="auto" w:sz="4" w:space="0"/>
            </w:tcBorders>
            <w:vAlign w:val="center"/>
          </w:tcPr>
          <w:p w14:paraId="0B8E82F8">
            <w:pPr>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第二参赛队员</w:t>
            </w:r>
          </w:p>
        </w:tc>
        <w:tc>
          <w:tcPr>
            <w:tcW w:w="1155" w:type="dxa"/>
            <w:tcBorders>
              <w:top w:val="single" w:color="auto" w:sz="6" w:space="0"/>
              <w:left w:val="single" w:color="auto" w:sz="4" w:space="0"/>
              <w:bottom w:val="single" w:color="auto" w:sz="6" w:space="0"/>
              <w:right w:val="single" w:color="auto" w:sz="6" w:space="0"/>
            </w:tcBorders>
            <w:vAlign w:val="center"/>
          </w:tcPr>
          <w:p w14:paraId="01EA51D1">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姓  名</w:t>
            </w:r>
          </w:p>
        </w:tc>
        <w:tc>
          <w:tcPr>
            <w:tcW w:w="1155" w:type="dxa"/>
            <w:gridSpan w:val="2"/>
            <w:tcBorders>
              <w:top w:val="single" w:color="auto" w:sz="6" w:space="0"/>
              <w:bottom w:val="single" w:color="auto" w:sz="6" w:space="0"/>
              <w:right w:val="single" w:color="auto" w:sz="6" w:space="0"/>
            </w:tcBorders>
            <w:vAlign w:val="center"/>
          </w:tcPr>
          <w:p w14:paraId="5BC401A4">
            <w:pPr>
              <w:widowControl/>
              <w:autoSpaceDE w:val="0"/>
              <w:autoSpaceDN w:val="0"/>
              <w:textAlignment w:val="bottom"/>
              <w:rPr>
                <w:rFonts w:ascii="仿宋" w:hAnsi="仿宋" w:eastAsia="仿宋" w:cs="仿宋"/>
                <w:color w:val="000000"/>
              </w:rPr>
            </w:pPr>
            <w:r>
              <w:rPr>
                <w:rFonts w:hint="eastAsia" w:ascii="仿宋" w:hAnsi="仿宋" w:eastAsia="仿宋" w:cs="仿宋"/>
                <w:color w:val="000000"/>
              </w:rPr>
              <w:t>魏家昕</w:t>
            </w:r>
          </w:p>
        </w:tc>
        <w:tc>
          <w:tcPr>
            <w:tcW w:w="525" w:type="dxa"/>
            <w:tcBorders>
              <w:top w:val="single" w:color="auto" w:sz="6" w:space="0"/>
              <w:bottom w:val="single" w:color="auto" w:sz="6" w:space="0"/>
            </w:tcBorders>
            <w:vAlign w:val="center"/>
          </w:tcPr>
          <w:p w14:paraId="661B9C87">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性别</w:t>
            </w:r>
          </w:p>
        </w:tc>
        <w:tc>
          <w:tcPr>
            <w:tcW w:w="630" w:type="dxa"/>
            <w:tcBorders>
              <w:top w:val="single" w:color="auto" w:sz="6" w:space="0"/>
              <w:left w:val="single" w:color="auto" w:sz="6" w:space="0"/>
              <w:bottom w:val="single" w:color="auto" w:sz="6" w:space="0"/>
              <w:right w:val="single" w:color="auto" w:sz="6" w:space="0"/>
            </w:tcBorders>
            <w:vAlign w:val="center"/>
          </w:tcPr>
          <w:p w14:paraId="472BF67C">
            <w:pPr>
              <w:widowControl/>
              <w:autoSpaceDE w:val="0"/>
              <w:autoSpaceDN w:val="0"/>
              <w:jc w:val="center"/>
              <w:textAlignment w:val="bottom"/>
              <w:rPr>
                <w:rFonts w:hint="eastAsia" w:ascii="仿宋" w:hAnsi="仿宋" w:eastAsia="仿宋" w:cs="仿宋"/>
                <w:color w:val="000000"/>
                <w:lang w:val="en-US" w:eastAsia="zh-CN"/>
              </w:rPr>
            </w:pPr>
            <w:r>
              <w:rPr>
                <w:rFonts w:hint="eastAsia" w:ascii="仿宋" w:hAnsi="仿宋" w:eastAsia="仿宋" w:cs="仿宋"/>
                <w:color w:val="000000"/>
                <w:lang w:val="en-US" w:eastAsia="zh-CN"/>
              </w:rPr>
              <w:t>男</w:t>
            </w:r>
          </w:p>
        </w:tc>
        <w:tc>
          <w:tcPr>
            <w:tcW w:w="525" w:type="dxa"/>
            <w:tcBorders>
              <w:top w:val="single" w:color="auto" w:sz="6" w:space="0"/>
              <w:bottom w:val="single" w:color="auto" w:sz="4" w:space="0"/>
            </w:tcBorders>
            <w:vAlign w:val="center"/>
          </w:tcPr>
          <w:p w14:paraId="6027D00E">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民族</w:t>
            </w:r>
          </w:p>
        </w:tc>
        <w:tc>
          <w:tcPr>
            <w:tcW w:w="895" w:type="dxa"/>
            <w:tcBorders>
              <w:top w:val="single" w:color="auto" w:sz="6" w:space="0"/>
              <w:left w:val="single" w:color="auto" w:sz="6" w:space="0"/>
              <w:bottom w:val="single" w:color="auto" w:sz="4" w:space="0"/>
              <w:right w:val="single" w:color="auto" w:sz="6" w:space="0"/>
            </w:tcBorders>
            <w:vAlign w:val="center"/>
          </w:tcPr>
          <w:p w14:paraId="66B0988F">
            <w:pPr>
              <w:widowControl/>
              <w:autoSpaceDE w:val="0"/>
              <w:autoSpaceDN w:val="0"/>
              <w:jc w:val="center"/>
              <w:textAlignment w:val="bottom"/>
              <w:rPr>
                <w:rFonts w:hint="eastAsia" w:ascii="仿宋" w:hAnsi="仿宋" w:eastAsia="仿宋" w:cs="仿宋"/>
                <w:color w:val="000000"/>
                <w:lang w:val="en-US" w:eastAsia="zh-CN"/>
              </w:rPr>
            </w:pPr>
            <w:r>
              <w:rPr>
                <w:rFonts w:hint="eastAsia" w:ascii="仿宋" w:hAnsi="仿宋" w:eastAsia="仿宋" w:cs="仿宋"/>
                <w:color w:val="000000"/>
                <w:lang w:val="en-US" w:eastAsia="zh-CN"/>
              </w:rPr>
              <w:t>汉族</w:t>
            </w:r>
          </w:p>
        </w:tc>
        <w:tc>
          <w:tcPr>
            <w:tcW w:w="1074" w:type="dxa"/>
            <w:gridSpan w:val="2"/>
            <w:tcBorders>
              <w:top w:val="single" w:color="auto" w:sz="6" w:space="0"/>
              <w:bottom w:val="single" w:color="auto" w:sz="4" w:space="0"/>
              <w:right w:val="single" w:color="auto" w:sz="6" w:space="0"/>
            </w:tcBorders>
            <w:vAlign w:val="center"/>
          </w:tcPr>
          <w:p w14:paraId="5E9015B0">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出生年月</w:t>
            </w:r>
          </w:p>
        </w:tc>
        <w:tc>
          <w:tcPr>
            <w:tcW w:w="1418" w:type="dxa"/>
            <w:tcBorders>
              <w:top w:val="single" w:color="auto" w:sz="6" w:space="0"/>
              <w:bottom w:val="single" w:color="auto" w:sz="4" w:space="0"/>
            </w:tcBorders>
            <w:vAlign w:val="center"/>
          </w:tcPr>
          <w:p w14:paraId="4A9F3B0A">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2005.01</w:t>
            </w:r>
          </w:p>
        </w:tc>
        <w:tc>
          <w:tcPr>
            <w:tcW w:w="2010" w:type="dxa"/>
            <w:vMerge w:val="restart"/>
            <w:tcBorders>
              <w:top w:val="single" w:color="auto" w:sz="6" w:space="0"/>
              <w:left w:val="single" w:color="auto" w:sz="6" w:space="0"/>
              <w:right w:val="single" w:color="auto" w:sz="6" w:space="0"/>
            </w:tcBorders>
            <w:vAlign w:val="center"/>
          </w:tcPr>
          <w:p w14:paraId="53C78FD4">
            <w:pPr>
              <w:autoSpaceDE w:val="0"/>
              <w:autoSpaceDN w:val="0"/>
              <w:jc w:val="center"/>
              <w:textAlignment w:val="bottom"/>
              <w:rPr>
                <w:rFonts w:ascii="仿宋" w:hAnsi="仿宋" w:eastAsia="仿宋" w:cs="仿宋"/>
                <w:color w:val="000000"/>
              </w:rPr>
            </w:pPr>
            <w:r>
              <w:rPr>
                <w:rFonts w:hint="eastAsia" w:ascii="仿宋" w:hAnsi="仿宋" w:eastAsia="仿宋" w:cs="仿宋"/>
                <w:color w:val="000000"/>
              </w:rPr>
              <w:drawing>
                <wp:inline distT="0" distB="0" distL="114300" distR="114300">
                  <wp:extent cx="1239520" cy="1735455"/>
                  <wp:effectExtent l="0" t="0" r="5080" b="4445"/>
                  <wp:docPr id="2" name="图片 2" descr="dfd40d0b0f381cfae231019a16daa8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fd40d0b0f381cfae231019a16daa88f"/>
                          <pic:cNvPicPr>
                            <a:picLocks noChangeAspect="1"/>
                          </pic:cNvPicPr>
                        </pic:nvPicPr>
                        <pic:blipFill>
                          <a:blip r:embed="rId15"/>
                          <a:stretch>
                            <a:fillRect/>
                          </a:stretch>
                        </pic:blipFill>
                        <pic:spPr>
                          <a:xfrm>
                            <a:off x="0" y="0"/>
                            <a:ext cx="1239520" cy="1735455"/>
                          </a:xfrm>
                          <a:prstGeom prst="rect">
                            <a:avLst/>
                          </a:prstGeom>
                        </pic:spPr>
                      </pic:pic>
                    </a:graphicData>
                  </a:graphic>
                </wp:inline>
              </w:drawing>
            </w:r>
          </w:p>
        </w:tc>
      </w:tr>
      <w:tr w14:paraId="204E7BF7">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1AB33A8F">
            <w:pPr>
              <w:autoSpaceDE w:val="0"/>
              <w:autoSpaceDN w:val="0"/>
              <w:jc w:val="center"/>
              <w:textAlignment w:val="bottom"/>
              <w:rPr>
                <w:rFonts w:ascii="仿宋" w:hAnsi="仿宋" w:eastAsia="仿宋" w:cs="仿宋"/>
                <w:color w:val="000000"/>
              </w:rPr>
            </w:pPr>
          </w:p>
        </w:tc>
        <w:tc>
          <w:tcPr>
            <w:tcW w:w="1155" w:type="dxa"/>
            <w:tcBorders>
              <w:top w:val="single" w:color="auto" w:sz="6" w:space="0"/>
              <w:left w:val="single" w:color="auto" w:sz="4" w:space="0"/>
              <w:bottom w:val="single" w:color="auto" w:sz="6" w:space="0"/>
              <w:right w:val="single" w:color="auto" w:sz="6" w:space="0"/>
            </w:tcBorders>
            <w:vAlign w:val="center"/>
          </w:tcPr>
          <w:p w14:paraId="346C18E7">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身份证号码</w:t>
            </w:r>
          </w:p>
        </w:tc>
        <w:tc>
          <w:tcPr>
            <w:tcW w:w="6222" w:type="dxa"/>
            <w:gridSpan w:val="9"/>
            <w:tcBorders>
              <w:top w:val="single" w:color="auto" w:sz="6" w:space="0"/>
              <w:bottom w:val="single" w:color="auto" w:sz="6" w:space="0"/>
            </w:tcBorders>
            <w:vAlign w:val="center"/>
          </w:tcPr>
          <w:p w14:paraId="0C5E4FCC">
            <w:pPr>
              <w:widowControl/>
              <w:autoSpaceDE w:val="0"/>
              <w:autoSpaceDN w:val="0"/>
              <w:jc w:val="left"/>
              <w:textAlignment w:val="bottom"/>
              <w:rPr>
                <w:rFonts w:ascii="仿宋" w:hAnsi="仿宋" w:eastAsia="仿宋" w:cs="仿宋"/>
                <w:color w:val="000000"/>
              </w:rPr>
            </w:pPr>
            <w:r>
              <w:rPr>
                <w:rFonts w:hint="eastAsia" w:ascii="仿宋" w:hAnsi="仿宋" w:eastAsia="仿宋" w:cs="仿宋"/>
                <w:color w:val="000000"/>
              </w:rPr>
              <w:t>32108820050105853X</w:t>
            </w:r>
          </w:p>
        </w:tc>
        <w:tc>
          <w:tcPr>
            <w:tcW w:w="2010" w:type="dxa"/>
            <w:vMerge w:val="continue"/>
            <w:tcBorders>
              <w:left w:val="single" w:color="auto" w:sz="6" w:space="0"/>
              <w:right w:val="single" w:color="auto" w:sz="6" w:space="0"/>
            </w:tcBorders>
            <w:vAlign w:val="center"/>
          </w:tcPr>
          <w:p w14:paraId="0EFA52D4">
            <w:pPr>
              <w:widowControl/>
              <w:autoSpaceDE w:val="0"/>
              <w:autoSpaceDN w:val="0"/>
              <w:jc w:val="center"/>
              <w:textAlignment w:val="bottom"/>
              <w:rPr>
                <w:rFonts w:ascii="仿宋" w:hAnsi="仿宋" w:eastAsia="仿宋" w:cs="仿宋"/>
                <w:color w:val="000000"/>
              </w:rPr>
            </w:pPr>
          </w:p>
        </w:tc>
      </w:tr>
      <w:tr w14:paraId="34544727">
        <w:tblPrEx>
          <w:tblCellMar>
            <w:top w:w="0" w:type="dxa"/>
            <w:left w:w="28" w:type="dxa"/>
            <w:bottom w:w="0" w:type="dxa"/>
            <w:right w:w="28" w:type="dxa"/>
          </w:tblCellMar>
        </w:tblPrEx>
        <w:trPr>
          <w:cantSplit/>
          <w:trHeight w:val="439" w:hRule="atLeast"/>
          <w:jc w:val="center"/>
        </w:trPr>
        <w:tc>
          <w:tcPr>
            <w:tcW w:w="420" w:type="dxa"/>
            <w:vMerge w:val="continue"/>
            <w:tcBorders>
              <w:left w:val="single" w:color="auto" w:sz="6" w:space="0"/>
              <w:right w:val="single" w:color="auto" w:sz="4" w:space="0"/>
            </w:tcBorders>
            <w:vAlign w:val="center"/>
          </w:tcPr>
          <w:p w14:paraId="25D1FD4B">
            <w:pPr>
              <w:autoSpaceDE w:val="0"/>
              <w:autoSpaceDN w:val="0"/>
              <w:jc w:val="center"/>
              <w:textAlignment w:val="bottom"/>
              <w:rPr>
                <w:rFonts w:ascii="仿宋" w:hAnsi="仿宋" w:eastAsia="仿宋" w:cs="仿宋"/>
                <w:color w:val="000000"/>
              </w:rPr>
            </w:pPr>
          </w:p>
        </w:tc>
        <w:tc>
          <w:tcPr>
            <w:tcW w:w="1155" w:type="dxa"/>
            <w:tcBorders>
              <w:left w:val="single" w:color="auto" w:sz="4" w:space="0"/>
              <w:bottom w:val="single" w:color="auto" w:sz="4" w:space="0"/>
            </w:tcBorders>
            <w:vAlign w:val="center"/>
          </w:tcPr>
          <w:p w14:paraId="10135C8A">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大学学制</w:t>
            </w:r>
          </w:p>
        </w:tc>
        <w:tc>
          <w:tcPr>
            <w:tcW w:w="3730" w:type="dxa"/>
            <w:gridSpan w:val="6"/>
            <w:tcBorders>
              <w:left w:val="single" w:color="auto" w:sz="4" w:space="0"/>
              <w:bottom w:val="single" w:color="auto" w:sz="4" w:space="0"/>
            </w:tcBorders>
            <w:vAlign w:val="center"/>
          </w:tcPr>
          <w:p w14:paraId="4DDD2123">
            <w:pPr>
              <w:widowControl/>
              <w:autoSpaceDE w:val="0"/>
              <w:autoSpaceDN w:val="0"/>
              <w:ind w:firstLine="210" w:firstLineChars="100"/>
              <w:textAlignment w:val="bottom"/>
              <w:rPr>
                <w:rFonts w:ascii="仿宋" w:hAnsi="仿宋" w:eastAsia="仿宋" w:cs="仿宋"/>
                <w:color w:val="000000"/>
              </w:rPr>
            </w:pPr>
            <w:r>
              <w:rPr>
                <w:rFonts w:hint="eastAsia" w:ascii="仿宋" w:hAnsi="仿宋" w:eastAsia="仿宋" w:cs="仿宋"/>
                <w:color w:val="000000"/>
              </w:rPr>
              <w:t>□专科生</w:t>
            </w:r>
            <w:r>
              <w:rPr>
                <w:rFonts w:hint="eastAsia" w:ascii="仿宋" w:hAnsi="仿宋" w:eastAsia="仿宋" w:cs="仿宋"/>
                <w:color w:val="000000"/>
                <w:lang w:val="en-US" w:eastAsia="zh-CN"/>
              </w:rPr>
              <w:t xml:space="preserve">   </w:t>
            </w:r>
            <w:r>
              <w:rPr>
                <w:rFonts w:hint="eastAsia" w:ascii="仿宋" w:hAnsi="仿宋" w:eastAsia="仿宋" w:cs="仿宋"/>
                <w:color w:val="000000"/>
                <w:lang w:eastAsia="zh-CN"/>
              </w:rPr>
              <w:t>☑</w:t>
            </w:r>
            <w:r>
              <w:rPr>
                <w:rFonts w:hint="eastAsia" w:ascii="仿宋" w:hAnsi="仿宋" w:eastAsia="仿宋" w:cs="仿宋"/>
                <w:color w:val="000000"/>
              </w:rPr>
              <w:t>本科生   □硕士生</w:t>
            </w:r>
          </w:p>
        </w:tc>
        <w:tc>
          <w:tcPr>
            <w:tcW w:w="1074" w:type="dxa"/>
            <w:gridSpan w:val="2"/>
            <w:tcBorders>
              <w:top w:val="single" w:color="auto" w:sz="4" w:space="0"/>
              <w:left w:val="single" w:color="auto" w:sz="4" w:space="0"/>
              <w:bottom w:val="single" w:color="auto" w:sz="4" w:space="0"/>
            </w:tcBorders>
            <w:vAlign w:val="center"/>
          </w:tcPr>
          <w:p w14:paraId="251C92B5">
            <w:pPr>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年  级</w:t>
            </w:r>
          </w:p>
        </w:tc>
        <w:tc>
          <w:tcPr>
            <w:tcW w:w="1418" w:type="dxa"/>
            <w:tcBorders>
              <w:left w:val="single" w:color="auto" w:sz="4" w:space="0"/>
              <w:bottom w:val="single" w:color="auto" w:sz="4" w:space="0"/>
            </w:tcBorders>
            <w:vAlign w:val="center"/>
          </w:tcPr>
          <w:p w14:paraId="42B10F5E">
            <w:pPr>
              <w:widowControl/>
              <w:autoSpaceDE w:val="0"/>
              <w:autoSpaceDN w:val="0"/>
              <w:textAlignment w:val="bottom"/>
              <w:rPr>
                <w:rFonts w:ascii="仿宋" w:hAnsi="仿宋" w:eastAsia="仿宋" w:cs="仿宋"/>
                <w:color w:val="000000"/>
              </w:rPr>
            </w:pPr>
            <w:r>
              <w:rPr>
                <w:rFonts w:hint="eastAsia" w:ascii="仿宋" w:hAnsi="仿宋" w:eastAsia="仿宋" w:cs="仿宋"/>
                <w:color w:val="000000"/>
              </w:rPr>
              <w:t>大学三年级</w:t>
            </w:r>
          </w:p>
        </w:tc>
        <w:tc>
          <w:tcPr>
            <w:tcW w:w="2010" w:type="dxa"/>
            <w:vMerge w:val="continue"/>
            <w:tcBorders>
              <w:left w:val="single" w:color="auto" w:sz="6" w:space="0"/>
              <w:right w:val="single" w:color="auto" w:sz="6" w:space="0"/>
            </w:tcBorders>
          </w:tcPr>
          <w:p w14:paraId="58750D16">
            <w:pPr>
              <w:widowControl/>
              <w:autoSpaceDE w:val="0"/>
              <w:autoSpaceDN w:val="0"/>
              <w:jc w:val="center"/>
              <w:textAlignment w:val="bottom"/>
              <w:rPr>
                <w:rFonts w:ascii="仿宋" w:hAnsi="仿宋" w:eastAsia="仿宋" w:cs="仿宋"/>
                <w:color w:val="000000"/>
              </w:rPr>
            </w:pPr>
          </w:p>
        </w:tc>
      </w:tr>
      <w:tr w14:paraId="166352EF">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5EE84462">
            <w:pPr>
              <w:autoSpaceDE w:val="0"/>
              <w:autoSpaceDN w:val="0"/>
              <w:jc w:val="center"/>
              <w:textAlignment w:val="bottom"/>
              <w:rPr>
                <w:rFonts w:ascii="仿宋" w:hAnsi="仿宋" w:eastAsia="仿宋" w:cs="仿宋"/>
                <w:color w:val="000000"/>
              </w:rPr>
            </w:pPr>
          </w:p>
        </w:tc>
        <w:tc>
          <w:tcPr>
            <w:tcW w:w="1155" w:type="dxa"/>
            <w:tcBorders>
              <w:top w:val="single" w:color="auto" w:sz="6" w:space="0"/>
              <w:left w:val="single" w:color="auto" w:sz="4" w:space="0"/>
              <w:bottom w:val="nil"/>
              <w:right w:val="single" w:color="auto" w:sz="6" w:space="0"/>
            </w:tcBorders>
            <w:vAlign w:val="center"/>
          </w:tcPr>
          <w:p w14:paraId="483A5420">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学校全名</w:t>
            </w:r>
          </w:p>
        </w:tc>
        <w:tc>
          <w:tcPr>
            <w:tcW w:w="3730" w:type="dxa"/>
            <w:gridSpan w:val="6"/>
            <w:tcBorders>
              <w:bottom w:val="single" w:color="auto" w:sz="4" w:space="0"/>
            </w:tcBorders>
            <w:vAlign w:val="center"/>
          </w:tcPr>
          <w:p w14:paraId="2C0A0EAD">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西南交通大学</w:t>
            </w:r>
          </w:p>
        </w:tc>
        <w:tc>
          <w:tcPr>
            <w:tcW w:w="1074" w:type="dxa"/>
            <w:gridSpan w:val="2"/>
            <w:tcBorders>
              <w:top w:val="single" w:color="auto" w:sz="4" w:space="0"/>
              <w:left w:val="single" w:color="auto" w:sz="4" w:space="0"/>
              <w:bottom w:val="nil"/>
            </w:tcBorders>
            <w:vAlign w:val="center"/>
          </w:tcPr>
          <w:p w14:paraId="77034E97">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学校电话</w:t>
            </w:r>
          </w:p>
        </w:tc>
        <w:tc>
          <w:tcPr>
            <w:tcW w:w="1418" w:type="dxa"/>
            <w:tcBorders>
              <w:top w:val="single" w:color="auto" w:sz="4" w:space="0"/>
              <w:left w:val="single" w:color="auto" w:sz="4" w:space="0"/>
              <w:bottom w:val="nil"/>
            </w:tcBorders>
            <w:vAlign w:val="center"/>
          </w:tcPr>
          <w:p w14:paraId="399970AD">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028-66366295</w:t>
            </w:r>
          </w:p>
        </w:tc>
        <w:tc>
          <w:tcPr>
            <w:tcW w:w="2010" w:type="dxa"/>
            <w:vMerge w:val="continue"/>
            <w:tcBorders>
              <w:left w:val="single" w:color="auto" w:sz="6" w:space="0"/>
              <w:right w:val="single" w:color="auto" w:sz="6" w:space="0"/>
            </w:tcBorders>
          </w:tcPr>
          <w:p w14:paraId="407989BF">
            <w:pPr>
              <w:widowControl/>
              <w:autoSpaceDE w:val="0"/>
              <w:autoSpaceDN w:val="0"/>
              <w:jc w:val="center"/>
              <w:textAlignment w:val="bottom"/>
              <w:rPr>
                <w:rFonts w:ascii="仿宋" w:hAnsi="仿宋" w:eastAsia="仿宋" w:cs="仿宋"/>
                <w:color w:val="000000"/>
              </w:rPr>
            </w:pPr>
          </w:p>
        </w:tc>
      </w:tr>
      <w:tr w14:paraId="7DCB5AA3">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6CAD90F5">
            <w:pPr>
              <w:autoSpaceDE w:val="0"/>
              <w:autoSpaceDN w:val="0"/>
              <w:jc w:val="center"/>
              <w:textAlignment w:val="bottom"/>
              <w:rPr>
                <w:rFonts w:ascii="仿宋" w:hAnsi="仿宋" w:eastAsia="仿宋" w:cs="仿宋"/>
                <w:color w:val="000000"/>
              </w:rPr>
            </w:pPr>
          </w:p>
        </w:tc>
        <w:tc>
          <w:tcPr>
            <w:tcW w:w="1155" w:type="dxa"/>
            <w:tcBorders>
              <w:top w:val="single" w:color="auto" w:sz="6" w:space="0"/>
              <w:left w:val="single" w:color="auto" w:sz="4" w:space="0"/>
              <w:bottom w:val="nil"/>
              <w:right w:val="single" w:color="auto" w:sz="6" w:space="0"/>
            </w:tcBorders>
            <w:vAlign w:val="center"/>
          </w:tcPr>
          <w:p w14:paraId="60CC6AC0">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所学专业</w:t>
            </w:r>
          </w:p>
        </w:tc>
        <w:tc>
          <w:tcPr>
            <w:tcW w:w="3730" w:type="dxa"/>
            <w:gridSpan w:val="6"/>
            <w:tcBorders>
              <w:top w:val="single" w:color="auto" w:sz="4" w:space="0"/>
              <w:bottom w:val="single" w:color="auto" w:sz="6" w:space="0"/>
            </w:tcBorders>
            <w:vAlign w:val="center"/>
          </w:tcPr>
          <w:p w14:paraId="08B68015">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电子信息工程</w:t>
            </w:r>
          </w:p>
        </w:tc>
        <w:tc>
          <w:tcPr>
            <w:tcW w:w="1074" w:type="dxa"/>
            <w:gridSpan w:val="2"/>
            <w:tcBorders>
              <w:top w:val="single" w:color="auto" w:sz="4" w:space="0"/>
              <w:left w:val="single" w:color="auto" w:sz="4" w:space="0"/>
              <w:bottom w:val="nil"/>
            </w:tcBorders>
            <w:vAlign w:val="center"/>
          </w:tcPr>
          <w:p w14:paraId="06EF905F">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所在学院</w:t>
            </w:r>
          </w:p>
        </w:tc>
        <w:tc>
          <w:tcPr>
            <w:tcW w:w="1418" w:type="dxa"/>
            <w:tcBorders>
              <w:top w:val="single" w:color="auto" w:sz="4" w:space="0"/>
              <w:left w:val="single" w:color="auto" w:sz="4" w:space="0"/>
              <w:bottom w:val="single" w:color="auto" w:sz="4" w:space="0"/>
            </w:tcBorders>
            <w:vAlign w:val="center"/>
          </w:tcPr>
          <w:p w14:paraId="42422A68">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利兹学院</w:t>
            </w:r>
          </w:p>
        </w:tc>
        <w:tc>
          <w:tcPr>
            <w:tcW w:w="2010" w:type="dxa"/>
            <w:vMerge w:val="continue"/>
            <w:tcBorders>
              <w:left w:val="single" w:color="auto" w:sz="6" w:space="0"/>
              <w:right w:val="single" w:color="auto" w:sz="6" w:space="0"/>
            </w:tcBorders>
          </w:tcPr>
          <w:p w14:paraId="0D905B8B">
            <w:pPr>
              <w:widowControl/>
              <w:autoSpaceDE w:val="0"/>
              <w:autoSpaceDN w:val="0"/>
              <w:jc w:val="center"/>
              <w:textAlignment w:val="bottom"/>
              <w:rPr>
                <w:rFonts w:ascii="仿宋" w:hAnsi="仿宋" w:eastAsia="仿宋" w:cs="仿宋"/>
                <w:color w:val="000000"/>
              </w:rPr>
            </w:pPr>
          </w:p>
        </w:tc>
      </w:tr>
      <w:tr w14:paraId="4837A284">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1825E2AB">
            <w:pPr>
              <w:autoSpaceDE w:val="0"/>
              <w:autoSpaceDN w:val="0"/>
              <w:jc w:val="center"/>
              <w:textAlignment w:val="bottom"/>
              <w:rPr>
                <w:rFonts w:ascii="仿宋" w:hAnsi="仿宋" w:eastAsia="仿宋" w:cs="仿宋"/>
                <w:color w:val="000000"/>
              </w:rPr>
            </w:pPr>
          </w:p>
        </w:tc>
        <w:tc>
          <w:tcPr>
            <w:tcW w:w="1155" w:type="dxa"/>
            <w:tcBorders>
              <w:top w:val="single" w:color="auto" w:sz="6" w:space="0"/>
              <w:left w:val="single" w:color="auto" w:sz="4" w:space="0"/>
              <w:bottom w:val="nil"/>
              <w:right w:val="single" w:color="auto" w:sz="6" w:space="0"/>
            </w:tcBorders>
            <w:vAlign w:val="center"/>
          </w:tcPr>
          <w:p w14:paraId="4856FF56">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lang w:val="en-US" w:eastAsia="zh-CN"/>
              </w:rPr>
              <w:t>项目分工</w:t>
            </w:r>
          </w:p>
        </w:tc>
        <w:tc>
          <w:tcPr>
            <w:tcW w:w="6222" w:type="dxa"/>
            <w:gridSpan w:val="9"/>
            <w:tcBorders>
              <w:top w:val="single" w:color="auto" w:sz="4" w:space="0"/>
              <w:bottom w:val="single" w:color="auto" w:sz="6" w:space="0"/>
            </w:tcBorders>
            <w:vAlign w:val="center"/>
          </w:tcPr>
          <w:p w14:paraId="25378B03">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rPr>
              <w:t>负责审查Agent的Prompt设计与调试、攻防检测与置信度计算模块开发、人工复核接口实现、评估测试用例设计与消融实验执行、系统</w:t>
            </w:r>
          </w:p>
          <w:p w14:paraId="64E72419">
            <w:pPr>
              <w:widowControl/>
              <w:autoSpaceDE w:val="0"/>
              <w:autoSpaceDN w:val="0"/>
              <w:jc w:val="both"/>
              <w:textAlignment w:val="bottom"/>
              <w:rPr>
                <w:rFonts w:ascii="仿宋" w:hAnsi="仿宋" w:eastAsia="仿宋" w:cs="仿宋"/>
                <w:color w:val="000000"/>
              </w:rPr>
            </w:pPr>
            <w:r>
              <w:rPr>
                <w:rFonts w:hint="eastAsia" w:ascii="仿宋" w:hAnsi="仿宋" w:eastAsia="仿宋" w:cs="仿宋"/>
                <w:color w:val="000000"/>
              </w:rPr>
              <w:t>性能优化与Bug修复。</w:t>
            </w:r>
          </w:p>
        </w:tc>
        <w:tc>
          <w:tcPr>
            <w:tcW w:w="2010" w:type="dxa"/>
            <w:vMerge w:val="continue"/>
            <w:tcBorders>
              <w:left w:val="single" w:color="auto" w:sz="6" w:space="0"/>
              <w:bottom w:val="single" w:color="auto" w:sz="4" w:space="0"/>
              <w:right w:val="single" w:color="auto" w:sz="6" w:space="0"/>
            </w:tcBorders>
          </w:tcPr>
          <w:p w14:paraId="19A69D85">
            <w:pPr>
              <w:widowControl/>
              <w:autoSpaceDE w:val="0"/>
              <w:autoSpaceDN w:val="0"/>
              <w:jc w:val="center"/>
              <w:textAlignment w:val="bottom"/>
              <w:rPr>
                <w:rFonts w:ascii="仿宋" w:hAnsi="仿宋" w:eastAsia="仿宋" w:cs="仿宋"/>
                <w:color w:val="000000"/>
              </w:rPr>
            </w:pPr>
          </w:p>
        </w:tc>
      </w:tr>
      <w:tr w14:paraId="06922652">
        <w:tblPrEx>
          <w:tblCellMar>
            <w:top w:w="0" w:type="dxa"/>
            <w:left w:w="28" w:type="dxa"/>
            <w:bottom w:w="0" w:type="dxa"/>
            <w:right w:w="28" w:type="dxa"/>
          </w:tblCellMar>
        </w:tblPrEx>
        <w:trPr>
          <w:cantSplit/>
          <w:trHeight w:val="454" w:hRule="atLeast"/>
          <w:jc w:val="center"/>
        </w:trPr>
        <w:tc>
          <w:tcPr>
            <w:tcW w:w="420" w:type="dxa"/>
            <w:vMerge w:val="restart"/>
            <w:tcBorders>
              <w:top w:val="single" w:color="auto" w:sz="6" w:space="0"/>
              <w:left w:val="single" w:color="auto" w:sz="6" w:space="0"/>
              <w:right w:val="single" w:color="auto" w:sz="4" w:space="0"/>
            </w:tcBorders>
            <w:vAlign w:val="center"/>
          </w:tcPr>
          <w:p w14:paraId="6FC49EA2">
            <w:pPr>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第三参赛队员</w:t>
            </w:r>
          </w:p>
        </w:tc>
        <w:tc>
          <w:tcPr>
            <w:tcW w:w="1155" w:type="dxa"/>
            <w:tcBorders>
              <w:top w:val="single" w:color="auto" w:sz="6" w:space="0"/>
              <w:left w:val="single" w:color="auto" w:sz="4" w:space="0"/>
              <w:bottom w:val="single" w:color="auto" w:sz="6" w:space="0"/>
              <w:right w:val="single" w:color="auto" w:sz="6" w:space="0"/>
            </w:tcBorders>
            <w:vAlign w:val="center"/>
          </w:tcPr>
          <w:p w14:paraId="42F3E7E6">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姓  名</w:t>
            </w:r>
          </w:p>
        </w:tc>
        <w:tc>
          <w:tcPr>
            <w:tcW w:w="1119" w:type="dxa"/>
            <w:tcBorders>
              <w:top w:val="single" w:color="auto" w:sz="6" w:space="0"/>
              <w:bottom w:val="single" w:color="auto" w:sz="6" w:space="0"/>
              <w:right w:val="single" w:color="auto" w:sz="6" w:space="0"/>
            </w:tcBorders>
            <w:vAlign w:val="center"/>
          </w:tcPr>
          <w:p w14:paraId="45DDCE78">
            <w:pPr>
              <w:widowControl/>
              <w:autoSpaceDE w:val="0"/>
              <w:autoSpaceDN w:val="0"/>
              <w:textAlignment w:val="bottom"/>
              <w:rPr>
                <w:rFonts w:hint="eastAsia" w:ascii="仿宋" w:hAnsi="仿宋" w:eastAsia="仿宋" w:cs="仿宋"/>
                <w:color w:val="000000"/>
                <w:lang w:val="en-US" w:eastAsia="zh-CN"/>
              </w:rPr>
            </w:pPr>
            <w:r>
              <w:rPr>
                <w:rFonts w:hint="eastAsia" w:ascii="仿宋" w:hAnsi="仿宋" w:eastAsia="仿宋" w:cs="仿宋"/>
                <w:color w:val="000000"/>
                <w:lang w:val="en-US" w:eastAsia="zh-CN"/>
              </w:rPr>
              <w:t>谢蕊</w:t>
            </w:r>
          </w:p>
        </w:tc>
        <w:tc>
          <w:tcPr>
            <w:tcW w:w="561" w:type="dxa"/>
            <w:gridSpan w:val="2"/>
            <w:tcBorders>
              <w:top w:val="single" w:color="auto" w:sz="6" w:space="0"/>
              <w:bottom w:val="single" w:color="auto" w:sz="6" w:space="0"/>
            </w:tcBorders>
            <w:vAlign w:val="center"/>
          </w:tcPr>
          <w:p w14:paraId="37E6E8D8">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性别</w:t>
            </w:r>
          </w:p>
        </w:tc>
        <w:tc>
          <w:tcPr>
            <w:tcW w:w="630" w:type="dxa"/>
            <w:tcBorders>
              <w:top w:val="single" w:color="auto" w:sz="6" w:space="0"/>
              <w:left w:val="single" w:color="auto" w:sz="6" w:space="0"/>
              <w:bottom w:val="single" w:color="auto" w:sz="6" w:space="0"/>
              <w:right w:val="single" w:color="auto" w:sz="6" w:space="0"/>
            </w:tcBorders>
            <w:vAlign w:val="center"/>
          </w:tcPr>
          <w:p w14:paraId="7AA989AD">
            <w:pPr>
              <w:widowControl/>
              <w:autoSpaceDE w:val="0"/>
              <w:autoSpaceDN w:val="0"/>
              <w:jc w:val="center"/>
              <w:textAlignment w:val="bottom"/>
              <w:rPr>
                <w:rFonts w:hint="eastAsia" w:ascii="仿宋" w:hAnsi="仿宋" w:eastAsia="仿宋" w:cs="仿宋"/>
                <w:color w:val="000000"/>
                <w:lang w:val="en-US" w:eastAsia="zh-CN"/>
              </w:rPr>
            </w:pPr>
            <w:r>
              <w:rPr>
                <w:rFonts w:hint="eastAsia" w:ascii="仿宋" w:hAnsi="仿宋" w:eastAsia="仿宋" w:cs="仿宋"/>
                <w:color w:val="000000"/>
                <w:lang w:val="en-US" w:eastAsia="zh-CN"/>
              </w:rPr>
              <w:t>女</w:t>
            </w:r>
          </w:p>
        </w:tc>
        <w:tc>
          <w:tcPr>
            <w:tcW w:w="525" w:type="dxa"/>
            <w:tcBorders>
              <w:top w:val="single" w:color="auto" w:sz="6" w:space="0"/>
              <w:bottom w:val="single" w:color="auto" w:sz="4" w:space="0"/>
            </w:tcBorders>
            <w:vAlign w:val="center"/>
          </w:tcPr>
          <w:p w14:paraId="5BDB5E4E">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民族</w:t>
            </w:r>
          </w:p>
        </w:tc>
        <w:tc>
          <w:tcPr>
            <w:tcW w:w="895" w:type="dxa"/>
            <w:tcBorders>
              <w:top w:val="single" w:color="auto" w:sz="6" w:space="0"/>
              <w:left w:val="single" w:color="auto" w:sz="6" w:space="0"/>
              <w:bottom w:val="single" w:color="auto" w:sz="4" w:space="0"/>
              <w:right w:val="single" w:color="auto" w:sz="6" w:space="0"/>
            </w:tcBorders>
            <w:vAlign w:val="center"/>
          </w:tcPr>
          <w:p w14:paraId="2D9C30B2">
            <w:pPr>
              <w:widowControl/>
              <w:autoSpaceDE w:val="0"/>
              <w:autoSpaceDN w:val="0"/>
              <w:jc w:val="center"/>
              <w:textAlignment w:val="bottom"/>
              <w:rPr>
                <w:rFonts w:hint="eastAsia" w:ascii="仿宋" w:hAnsi="仿宋" w:eastAsia="仿宋" w:cs="仿宋"/>
                <w:color w:val="000000"/>
                <w:lang w:val="en-US" w:eastAsia="zh-CN"/>
              </w:rPr>
            </w:pPr>
            <w:r>
              <w:rPr>
                <w:rFonts w:hint="eastAsia" w:ascii="仿宋" w:hAnsi="仿宋" w:eastAsia="仿宋" w:cs="仿宋"/>
                <w:color w:val="000000"/>
                <w:lang w:val="en-US" w:eastAsia="zh-CN"/>
              </w:rPr>
              <w:t>汉族</w:t>
            </w:r>
          </w:p>
        </w:tc>
        <w:tc>
          <w:tcPr>
            <w:tcW w:w="1062" w:type="dxa"/>
            <w:tcBorders>
              <w:top w:val="single" w:color="auto" w:sz="6" w:space="0"/>
              <w:bottom w:val="single" w:color="auto" w:sz="4" w:space="0"/>
              <w:right w:val="single" w:color="auto" w:sz="6" w:space="0"/>
            </w:tcBorders>
            <w:vAlign w:val="center"/>
          </w:tcPr>
          <w:p w14:paraId="39DD3CE0">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出生年月</w:t>
            </w:r>
          </w:p>
        </w:tc>
        <w:tc>
          <w:tcPr>
            <w:tcW w:w="1430" w:type="dxa"/>
            <w:gridSpan w:val="2"/>
            <w:tcBorders>
              <w:top w:val="single" w:color="auto" w:sz="6" w:space="0"/>
              <w:bottom w:val="single" w:color="auto" w:sz="4" w:space="0"/>
            </w:tcBorders>
            <w:vAlign w:val="center"/>
          </w:tcPr>
          <w:p w14:paraId="2CE3F4DC">
            <w:pPr>
              <w:widowControl/>
              <w:autoSpaceDE w:val="0"/>
              <w:autoSpaceDN w:val="0"/>
              <w:jc w:val="center"/>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2006.11</w:t>
            </w:r>
          </w:p>
        </w:tc>
        <w:tc>
          <w:tcPr>
            <w:tcW w:w="2010" w:type="dxa"/>
            <w:vMerge w:val="restart"/>
            <w:tcBorders>
              <w:top w:val="single" w:color="auto" w:sz="6" w:space="0"/>
              <w:left w:val="single" w:color="auto" w:sz="6" w:space="0"/>
              <w:right w:val="single" w:color="auto" w:sz="6" w:space="0"/>
            </w:tcBorders>
            <w:vAlign w:val="center"/>
          </w:tcPr>
          <w:p w14:paraId="15D13CA2">
            <w:pPr>
              <w:autoSpaceDE w:val="0"/>
              <w:autoSpaceDN w:val="0"/>
              <w:jc w:val="center"/>
              <w:textAlignment w:val="bottom"/>
              <w:rPr>
                <w:rFonts w:ascii="仿宋" w:hAnsi="仿宋" w:eastAsia="仿宋" w:cs="仿宋"/>
                <w:color w:val="000000"/>
              </w:rPr>
            </w:pPr>
            <w:r>
              <w:rPr>
                <w:rFonts w:hint="eastAsia" w:ascii="仿宋" w:hAnsi="仿宋" w:eastAsia="仿宋" w:cs="仿宋"/>
                <w:color w:val="000000"/>
              </w:rPr>
              <w:drawing>
                <wp:inline distT="0" distB="0" distL="114300" distR="114300">
                  <wp:extent cx="1147445" cy="1735455"/>
                  <wp:effectExtent l="0" t="0" r="8255" b="4445"/>
                  <wp:docPr id="3" name="图片 3" descr="8ca7a8c7c27ae94e7adec493076b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8ca7a8c7c27ae94e7adec493076be156"/>
                          <pic:cNvPicPr>
                            <a:picLocks noChangeAspect="1"/>
                          </pic:cNvPicPr>
                        </pic:nvPicPr>
                        <pic:blipFill>
                          <a:blip r:embed="rId16"/>
                          <a:stretch>
                            <a:fillRect/>
                          </a:stretch>
                        </pic:blipFill>
                        <pic:spPr>
                          <a:xfrm>
                            <a:off x="0" y="0"/>
                            <a:ext cx="1147445" cy="1735455"/>
                          </a:xfrm>
                          <a:prstGeom prst="rect">
                            <a:avLst/>
                          </a:prstGeom>
                        </pic:spPr>
                      </pic:pic>
                    </a:graphicData>
                  </a:graphic>
                </wp:inline>
              </w:drawing>
            </w:r>
          </w:p>
        </w:tc>
      </w:tr>
      <w:tr w14:paraId="2647AED8">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31AE9104">
            <w:pPr>
              <w:autoSpaceDE w:val="0"/>
              <w:autoSpaceDN w:val="0"/>
              <w:jc w:val="center"/>
              <w:textAlignment w:val="bottom"/>
              <w:rPr>
                <w:rFonts w:ascii="仿宋" w:hAnsi="仿宋" w:eastAsia="仿宋" w:cs="仿宋"/>
                <w:color w:val="000000"/>
              </w:rPr>
            </w:pPr>
          </w:p>
        </w:tc>
        <w:tc>
          <w:tcPr>
            <w:tcW w:w="1155" w:type="dxa"/>
            <w:tcBorders>
              <w:top w:val="single" w:color="auto" w:sz="6" w:space="0"/>
              <w:left w:val="single" w:color="auto" w:sz="4" w:space="0"/>
              <w:bottom w:val="single" w:color="auto" w:sz="6" w:space="0"/>
              <w:right w:val="single" w:color="auto" w:sz="6" w:space="0"/>
            </w:tcBorders>
            <w:vAlign w:val="center"/>
          </w:tcPr>
          <w:p w14:paraId="0364F769">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身份证号码</w:t>
            </w:r>
          </w:p>
        </w:tc>
        <w:tc>
          <w:tcPr>
            <w:tcW w:w="6222" w:type="dxa"/>
            <w:gridSpan w:val="9"/>
            <w:tcBorders>
              <w:top w:val="single" w:color="auto" w:sz="6" w:space="0"/>
              <w:bottom w:val="single" w:color="auto" w:sz="6" w:space="0"/>
            </w:tcBorders>
            <w:vAlign w:val="center"/>
          </w:tcPr>
          <w:p w14:paraId="6685E2F5">
            <w:pPr>
              <w:widowControl/>
              <w:autoSpaceDE w:val="0"/>
              <w:autoSpaceDN w:val="0"/>
              <w:jc w:val="left"/>
              <w:textAlignment w:val="bottom"/>
              <w:rPr>
                <w:rFonts w:hint="default" w:ascii="仿宋" w:hAnsi="仿宋" w:eastAsia="仿宋" w:cs="仿宋"/>
                <w:color w:val="000000"/>
                <w:lang w:val="en-US" w:eastAsia="zh-CN"/>
              </w:rPr>
            </w:pPr>
            <w:r>
              <w:rPr>
                <w:rFonts w:hint="eastAsia" w:ascii="仿宋" w:hAnsi="仿宋" w:eastAsia="仿宋" w:cs="仿宋"/>
                <w:color w:val="000000"/>
                <w:lang w:val="en-US" w:eastAsia="zh-CN"/>
              </w:rPr>
              <w:t>512081200611138823</w:t>
            </w:r>
          </w:p>
        </w:tc>
        <w:tc>
          <w:tcPr>
            <w:tcW w:w="2010" w:type="dxa"/>
            <w:vMerge w:val="continue"/>
            <w:tcBorders>
              <w:left w:val="single" w:color="auto" w:sz="6" w:space="0"/>
              <w:right w:val="single" w:color="auto" w:sz="6" w:space="0"/>
            </w:tcBorders>
            <w:vAlign w:val="center"/>
          </w:tcPr>
          <w:p w14:paraId="70F2D4A5">
            <w:pPr>
              <w:widowControl/>
              <w:autoSpaceDE w:val="0"/>
              <w:autoSpaceDN w:val="0"/>
              <w:jc w:val="center"/>
              <w:textAlignment w:val="bottom"/>
              <w:rPr>
                <w:rFonts w:ascii="仿宋" w:hAnsi="仿宋" w:eastAsia="仿宋" w:cs="仿宋"/>
                <w:color w:val="000000"/>
              </w:rPr>
            </w:pPr>
          </w:p>
        </w:tc>
      </w:tr>
      <w:tr w14:paraId="27F47AFB">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6E6169B5">
            <w:pPr>
              <w:autoSpaceDE w:val="0"/>
              <w:autoSpaceDN w:val="0"/>
              <w:jc w:val="center"/>
              <w:textAlignment w:val="bottom"/>
              <w:rPr>
                <w:rFonts w:ascii="仿宋" w:hAnsi="仿宋" w:eastAsia="仿宋" w:cs="仿宋"/>
                <w:color w:val="000000"/>
              </w:rPr>
            </w:pPr>
          </w:p>
        </w:tc>
        <w:tc>
          <w:tcPr>
            <w:tcW w:w="1155" w:type="dxa"/>
            <w:tcBorders>
              <w:left w:val="single" w:color="auto" w:sz="4" w:space="0"/>
              <w:bottom w:val="single" w:color="auto" w:sz="4" w:space="0"/>
            </w:tcBorders>
            <w:vAlign w:val="center"/>
          </w:tcPr>
          <w:p w14:paraId="1FF4798B">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大学学制</w:t>
            </w:r>
          </w:p>
        </w:tc>
        <w:tc>
          <w:tcPr>
            <w:tcW w:w="3730" w:type="dxa"/>
            <w:gridSpan w:val="6"/>
            <w:tcBorders>
              <w:left w:val="single" w:color="auto" w:sz="4" w:space="0"/>
              <w:bottom w:val="single" w:color="auto" w:sz="4" w:space="0"/>
            </w:tcBorders>
            <w:vAlign w:val="center"/>
          </w:tcPr>
          <w:p w14:paraId="712C3225">
            <w:pPr>
              <w:widowControl/>
              <w:autoSpaceDE w:val="0"/>
              <w:autoSpaceDN w:val="0"/>
              <w:ind w:firstLine="210" w:firstLineChars="100"/>
              <w:textAlignment w:val="bottom"/>
              <w:rPr>
                <w:rFonts w:ascii="仿宋" w:hAnsi="仿宋" w:eastAsia="仿宋" w:cs="仿宋"/>
                <w:color w:val="000000"/>
              </w:rPr>
            </w:pPr>
            <w:r>
              <w:rPr>
                <w:rFonts w:hint="eastAsia" w:ascii="仿宋" w:hAnsi="仿宋" w:eastAsia="仿宋" w:cs="仿宋"/>
                <w:color w:val="000000"/>
              </w:rPr>
              <w:t>□专科生</w:t>
            </w:r>
            <w:r>
              <w:rPr>
                <w:rFonts w:hint="eastAsia" w:ascii="仿宋" w:hAnsi="仿宋" w:eastAsia="仿宋" w:cs="仿宋"/>
                <w:color w:val="000000"/>
                <w:lang w:val="en-US" w:eastAsia="zh-CN"/>
              </w:rPr>
              <w:t xml:space="preserve">   </w:t>
            </w:r>
            <w:r>
              <w:rPr>
                <w:rFonts w:hint="eastAsia" w:ascii="仿宋" w:hAnsi="仿宋" w:eastAsia="仿宋" w:cs="仿宋"/>
                <w:color w:val="000000"/>
                <w:lang w:eastAsia="zh-CN"/>
              </w:rPr>
              <w:t>☑</w:t>
            </w:r>
            <w:r>
              <w:rPr>
                <w:rFonts w:hint="eastAsia" w:ascii="仿宋" w:hAnsi="仿宋" w:eastAsia="仿宋" w:cs="仿宋"/>
                <w:color w:val="000000"/>
              </w:rPr>
              <w:t>本科生   □硕士生</w:t>
            </w:r>
          </w:p>
        </w:tc>
        <w:tc>
          <w:tcPr>
            <w:tcW w:w="1062" w:type="dxa"/>
            <w:tcBorders>
              <w:top w:val="single" w:color="auto" w:sz="4" w:space="0"/>
              <w:left w:val="single" w:color="auto" w:sz="4" w:space="0"/>
              <w:bottom w:val="single" w:color="auto" w:sz="4" w:space="0"/>
            </w:tcBorders>
            <w:vAlign w:val="center"/>
          </w:tcPr>
          <w:p w14:paraId="3C953ABF">
            <w:pPr>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年  级</w:t>
            </w:r>
          </w:p>
        </w:tc>
        <w:tc>
          <w:tcPr>
            <w:tcW w:w="1430" w:type="dxa"/>
            <w:gridSpan w:val="2"/>
            <w:tcBorders>
              <w:left w:val="single" w:color="auto" w:sz="4" w:space="0"/>
              <w:bottom w:val="single" w:color="auto" w:sz="4" w:space="0"/>
            </w:tcBorders>
            <w:vAlign w:val="center"/>
          </w:tcPr>
          <w:p w14:paraId="40916A6D">
            <w:pPr>
              <w:widowControl/>
              <w:autoSpaceDE w:val="0"/>
              <w:autoSpaceDN w:val="0"/>
              <w:textAlignment w:val="bottom"/>
              <w:rPr>
                <w:rFonts w:hint="eastAsia" w:ascii="仿宋" w:hAnsi="仿宋" w:eastAsia="仿宋" w:cs="仿宋"/>
                <w:color w:val="000000"/>
                <w:lang w:val="en-US" w:eastAsia="zh-CN"/>
              </w:rPr>
            </w:pPr>
            <w:r>
              <w:rPr>
                <w:rFonts w:hint="eastAsia" w:ascii="仿宋" w:hAnsi="仿宋" w:eastAsia="仿宋" w:cs="仿宋"/>
                <w:color w:val="000000"/>
                <w:lang w:val="en-US" w:eastAsia="zh-CN"/>
              </w:rPr>
              <w:t>大学二年级</w:t>
            </w:r>
          </w:p>
        </w:tc>
        <w:tc>
          <w:tcPr>
            <w:tcW w:w="2010" w:type="dxa"/>
            <w:vMerge w:val="continue"/>
            <w:tcBorders>
              <w:left w:val="single" w:color="auto" w:sz="6" w:space="0"/>
              <w:right w:val="single" w:color="auto" w:sz="6" w:space="0"/>
            </w:tcBorders>
          </w:tcPr>
          <w:p w14:paraId="21CF1BBA">
            <w:pPr>
              <w:widowControl/>
              <w:autoSpaceDE w:val="0"/>
              <w:autoSpaceDN w:val="0"/>
              <w:jc w:val="center"/>
              <w:textAlignment w:val="bottom"/>
              <w:rPr>
                <w:rFonts w:ascii="仿宋" w:hAnsi="仿宋" w:eastAsia="仿宋" w:cs="仿宋"/>
                <w:color w:val="000000"/>
              </w:rPr>
            </w:pPr>
          </w:p>
        </w:tc>
      </w:tr>
      <w:tr w14:paraId="1F2E53B8">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3CCBF8A7">
            <w:pPr>
              <w:autoSpaceDE w:val="0"/>
              <w:autoSpaceDN w:val="0"/>
              <w:jc w:val="center"/>
              <w:textAlignment w:val="bottom"/>
              <w:rPr>
                <w:rFonts w:ascii="仿宋" w:hAnsi="仿宋" w:eastAsia="仿宋" w:cs="仿宋"/>
                <w:color w:val="000000"/>
              </w:rPr>
            </w:pPr>
          </w:p>
        </w:tc>
        <w:tc>
          <w:tcPr>
            <w:tcW w:w="1155" w:type="dxa"/>
            <w:tcBorders>
              <w:top w:val="single" w:color="auto" w:sz="6" w:space="0"/>
              <w:left w:val="single" w:color="auto" w:sz="4" w:space="0"/>
              <w:bottom w:val="nil"/>
              <w:right w:val="single" w:color="auto" w:sz="6" w:space="0"/>
            </w:tcBorders>
            <w:vAlign w:val="center"/>
          </w:tcPr>
          <w:p w14:paraId="67EA7831">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学校全名</w:t>
            </w:r>
          </w:p>
        </w:tc>
        <w:tc>
          <w:tcPr>
            <w:tcW w:w="3730" w:type="dxa"/>
            <w:gridSpan w:val="6"/>
            <w:tcBorders>
              <w:bottom w:val="single" w:color="auto" w:sz="4" w:space="0"/>
            </w:tcBorders>
            <w:vAlign w:val="center"/>
          </w:tcPr>
          <w:p w14:paraId="005E363C">
            <w:pPr>
              <w:widowControl/>
              <w:autoSpaceDE w:val="0"/>
              <w:autoSpaceDN w:val="0"/>
              <w:jc w:val="center"/>
              <w:textAlignment w:val="bottom"/>
              <w:rPr>
                <w:rFonts w:hint="eastAsia" w:ascii="仿宋" w:hAnsi="仿宋" w:eastAsia="仿宋" w:cs="仿宋"/>
                <w:color w:val="000000"/>
                <w:lang w:val="en-US" w:eastAsia="zh-CN"/>
              </w:rPr>
            </w:pPr>
            <w:r>
              <w:rPr>
                <w:rFonts w:hint="eastAsia" w:ascii="仿宋" w:hAnsi="仿宋" w:eastAsia="仿宋" w:cs="仿宋"/>
                <w:color w:val="000000"/>
                <w:lang w:val="en-US" w:eastAsia="zh-CN"/>
              </w:rPr>
              <w:t>西南交通大学</w:t>
            </w:r>
          </w:p>
        </w:tc>
        <w:tc>
          <w:tcPr>
            <w:tcW w:w="1062" w:type="dxa"/>
            <w:tcBorders>
              <w:top w:val="single" w:color="auto" w:sz="4" w:space="0"/>
              <w:left w:val="single" w:color="auto" w:sz="4" w:space="0"/>
              <w:bottom w:val="single" w:color="auto" w:sz="4" w:space="0"/>
            </w:tcBorders>
            <w:vAlign w:val="center"/>
          </w:tcPr>
          <w:p w14:paraId="3A3A9A1F">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学校电话</w:t>
            </w:r>
          </w:p>
        </w:tc>
        <w:tc>
          <w:tcPr>
            <w:tcW w:w="1430" w:type="dxa"/>
            <w:gridSpan w:val="2"/>
            <w:tcBorders>
              <w:top w:val="single" w:color="auto" w:sz="4" w:space="0"/>
              <w:left w:val="single" w:color="auto" w:sz="4" w:space="0"/>
              <w:bottom w:val="nil"/>
            </w:tcBorders>
            <w:vAlign w:val="center"/>
          </w:tcPr>
          <w:p w14:paraId="7D91515D">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028-66366295</w:t>
            </w:r>
          </w:p>
        </w:tc>
        <w:tc>
          <w:tcPr>
            <w:tcW w:w="2010" w:type="dxa"/>
            <w:vMerge w:val="continue"/>
            <w:tcBorders>
              <w:left w:val="single" w:color="auto" w:sz="6" w:space="0"/>
              <w:right w:val="single" w:color="auto" w:sz="6" w:space="0"/>
            </w:tcBorders>
          </w:tcPr>
          <w:p w14:paraId="122D9B91">
            <w:pPr>
              <w:widowControl/>
              <w:autoSpaceDE w:val="0"/>
              <w:autoSpaceDN w:val="0"/>
              <w:jc w:val="center"/>
              <w:textAlignment w:val="bottom"/>
              <w:rPr>
                <w:rFonts w:ascii="仿宋" w:hAnsi="仿宋" w:eastAsia="仿宋" w:cs="仿宋"/>
                <w:color w:val="000000"/>
              </w:rPr>
            </w:pPr>
          </w:p>
        </w:tc>
      </w:tr>
      <w:tr w14:paraId="0627B26E">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right w:val="single" w:color="auto" w:sz="4" w:space="0"/>
            </w:tcBorders>
            <w:vAlign w:val="center"/>
          </w:tcPr>
          <w:p w14:paraId="55BCADEC">
            <w:pPr>
              <w:autoSpaceDE w:val="0"/>
              <w:autoSpaceDN w:val="0"/>
              <w:jc w:val="center"/>
              <w:textAlignment w:val="bottom"/>
              <w:rPr>
                <w:rFonts w:ascii="仿宋" w:hAnsi="仿宋" w:eastAsia="仿宋" w:cs="仿宋"/>
                <w:color w:val="000000"/>
              </w:rPr>
            </w:pPr>
          </w:p>
        </w:tc>
        <w:tc>
          <w:tcPr>
            <w:tcW w:w="1155" w:type="dxa"/>
            <w:tcBorders>
              <w:top w:val="single" w:color="auto" w:sz="6" w:space="0"/>
              <w:left w:val="single" w:color="auto" w:sz="4" w:space="0"/>
              <w:bottom w:val="single" w:color="auto" w:sz="6" w:space="0"/>
              <w:right w:val="single" w:color="auto" w:sz="6" w:space="0"/>
            </w:tcBorders>
            <w:vAlign w:val="center"/>
          </w:tcPr>
          <w:p w14:paraId="790A2024">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所学专业</w:t>
            </w:r>
          </w:p>
        </w:tc>
        <w:tc>
          <w:tcPr>
            <w:tcW w:w="3730" w:type="dxa"/>
            <w:gridSpan w:val="6"/>
            <w:tcBorders>
              <w:top w:val="single" w:color="auto" w:sz="4" w:space="0"/>
              <w:bottom w:val="single" w:color="auto" w:sz="4" w:space="0"/>
            </w:tcBorders>
            <w:vAlign w:val="center"/>
          </w:tcPr>
          <w:p w14:paraId="2A2E1890">
            <w:pPr>
              <w:widowControl/>
              <w:autoSpaceDE w:val="0"/>
              <w:autoSpaceDN w:val="0"/>
              <w:jc w:val="center"/>
              <w:textAlignment w:val="bottom"/>
              <w:rPr>
                <w:rFonts w:hint="eastAsia" w:ascii="仿宋" w:hAnsi="仿宋" w:eastAsia="仿宋" w:cs="仿宋"/>
                <w:color w:val="000000"/>
                <w:lang w:val="en-US" w:eastAsia="zh-CN"/>
              </w:rPr>
            </w:pPr>
            <w:r>
              <w:rPr>
                <w:rFonts w:hint="eastAsia" w:ascii="仿宋" w:hAnsi="仿宋" w:eastAsia="仿宋" w:cs="仿宋"/>
                <w:color w:val="000000"/>
                <w:lang w:val="en-US" w:eastAsia="zh-CN"/>
              </w:rPr>
              <w:t>计算机科学与技术</w:t>
            </w:r>
          </w:p>
        </w:tc>
        <w:tc>
          <w:tcPr>
            <w:tcW w:w="1062" w:type="dxa"/>
            <w:tcBorders>
              <w:top w:val="single" w:color="auto" w:sz="4" w:space="0"/>
              <w:left w:val="single" w:color="auto" w:sz="4" w:space="0"/>
              <w:bottom w:val="single" w:color="auto" w:sz="4" w:space="0"/>
            </w:tcBorders>
            <w:vAlign w:val="center"/>
          </w:tcPr>
          <w:p w14:paraId="316745A7">
            <w:pPr>
              <w:widowControl/>
              <w:autoSpaceDE w:val="0"/>
              <w:autoSpaceDN w:val="0"/>
              <w:jc w:val="center"/>
              <w:textAlignment w:val="bottom"/>
              <w:rPr>
                <w:rFonts w:ascii="仿宋" w:hAnsi="仿宋" w:eastAsia="仿宋" w:cs="仿宋"/>
                <w:color w:val="000000"/>
              </w:rPr>
            </w:pPr>
            <w:r>
              <w:rPr>
                <w:rFonts w:hint="eastAsia" w:ascii="仿宋" w:hAnsi="仿宋" w:eastAsia="仿宋" w:cs="仿宋"/>
                <w:color w:val="000000"/>
              </w:rPr>
              <w:t>所在学院</w:t>
            </w:r>
          </w:p>
        </w:tc>
        <w:tc>
          <w:tcPr>
            <w:tcW w:w="1430" w:type="dxa"/>
            <w:gridSpan w:val="2"/>
            <w:tcBorders>
              <w:top w:val="single" w:color="auto" w:sz="4" w:space="0"/>
              <w:left w:val="single" w:color="auto" w:sz="4" w:space="0"/>
              <w:bottom w:val="single" w:color="auto" w:sz="4" w:space="0"/>
            </w:tcBorders>
            <w:vAlign w:val="center"/>
          </w:tcPr>
          <w:p w14:paraId="0709BA96">
            <w:pPr>
              <w:widowControl/>
              <w:autoSpaceDE w:val="0"/>
              <w:autoSpaceDN w:val="0"/>
              <w:jc w:val="center"/>
              <w:textAlignment w:val="bottom"/>
              <w:rPr>
                <w:rFonts w:hint="eastAsia" w:ascii="仿宋" w:hAnsi="仿宋" w:eastAsia="仿宋" w:cs="仿宋"/>
                <w:color w:val="000000"/>
                <w:lang w:val="en-US" w:eastAsia="zh-CN"/>
              </w:rPr>
            </w:pPr>
            <w:r>
              <w:rPr>
                <w:rFonts w:hint="eastAsia" w:ascii="仿宋" w:hAnsi="仿宋" w:eastAsia="仿宋" w:cs="仿宋"/>
                <w:color w:val="000000"/>
                <w:lang w:val="en-US" w:eastAsia="zh-CN"/>
              </w:rPr>
              <w:t>计算机与人工智能学院</w:t>
            </w:r>
          </w:p>
        </w:tc>
        <w:tc>
          <w:tcPr>
            <w:tcW w:w="2010" w:type="dxa"/>
            <w:vMerge w:val="continue"/>
            <w:tcBorders>
              <w:left w:val="single" w:color="auto" w:sz="6" w:space="0"/>
              <w:right w:val="single" w:color="auto" w:sz="6" w:space="0"/>
            </w:tcBorders>
          </w:tcPr>
          <w:p w14:paraId="1201FCA9">
            <w:pPr>
              <w:widowControl/>
              <w:autoSpaceDE w:val="0"/>
              <w:autoSpaceDN w:val="0"/>
              <w:jc w:val="center"/>
              <w:textAlignment w:val="bottom"/>
              <w:rPr>
                <w:rFonts w:ascii="仿宋" w:hAnsi="仿宋" w:eastAsia="仿宋" w:cs="仿宋"/>
                <w:color w:val="000000"/>
              </w:rPr>
            </w:pPr>
          </w:p>
        </w:tc>
      </w:tr>
      <w:tr w14:paraId="051FFC82">
        <w:tblPrEx>
          <w:tblCellMar>
            <w:top w:w="0" w:type="dxa"/>
            <w:left w:w="28" w:type="dxa"/>
            <w:bottom w:w="0" w:type="dxa"/>
            <w:right w:w="28" w:type="dxa"/>
          </w:tblCellMar>
        </w:tblPrEx>
        <w:trPr>
          <w:cantSplit/>
          <w:trHeight w:val="454" w:hRule="atLeast"/>
          <w:jc w:val="center"/>
        </w:trPr>
        <w:tc>
          <w:tcPr>
            <w:tcW w:w="420" w:type="dxa"/>
            <w:vMerge w:val="continue"/>
            <w:tcBorders>
              <w:left w:val="single" w:color="auto" w:sz="6" w:space="0"/>
              <w:bottom w:val="single" w:color="auto" w:sz="4" w:space="0"/>
              <w:right w:val="single" w:color="auto" w:sz="4" w:space="0"/>
            </w:tcBorders>
            <w:vAlign w:val="center"/>
          </w:tcPr>
          <w:p w14:paraId="14EE62E0">
            <w:pPr>
              <w:autoSpaceDE w:val="0"/>
              <w:autoSpaceDN w:val="0"/>
              <w:jc w:val="center"/>
              <w:textAlignment w:val="bottom"/>
              <w:rPr>
                <w:rFonts w:ascii="仿宋" w:hAnsi="仿宋" w:eastAsia="仿宋" w:cs="仿宋"/>
                <w:color w:val="000000"/>
              </w:rPr>
            </w:pPr>
          </w:p>
        </w:tc>
        <w:tc>
          <w:tcPr>
            <w:tcW w:w="1155" w:type="dxa"/>
            <w:tcBorders>
              <w:top w:val="single" w:color="auto" w:sz="6" w:space="0"/>
              <w:left w:val="single" w:color="auto" w:sz="4" w:space="0"/>
              <w:bottom w:val="single" w:color="auto" w:sz="4" w:space="0"/>
              <w:right w:val="single" w:color="auto" w:sz="6" w:space="0"/>
            </w:tcBorders>
            <w:vAlign w:val="center"/>
          </w:tcPr>
          <w:p w14:paraId="60C70EA3">
            <w:pPr>
              <w:widowControl/>
              <w:autoSpaceDE w:val="0"/>
              <w:autoSpaceDN w:val="0"/>
              <w:jc w:val="center"/>
              <w:textAlignment w:val="bottom"/>
              <w:rPr>
                <w:rFonts w:hint="eastAsia" w:ascii="仿宋" w:hAnsi="仿宋" w:eastAsia="仿宋" w:cs="仿宋"/>
                <w:color w:val="000000"/>
              </w:rPr>
            </w:pPr>
            <w:r>
              <w:rPr>
                <w:rFonts w:hint="eastAsia" w:ascii="仿宋" w:hAnsi="仿宋" w:eastAsia="仿宋" w:cs="仿宋"/>
                <w:color w:val="000000"/>
                <w:lang w:val="en-US" w:eastAsia="zh-CN"/>
              </w:rPr>
              <w:t>项目分工</w:t>
            </w:r>
          </w:p>
        </w:tc>
        <w:tc>
          <w:tcPr>
            <w:tcW w:w="6222" w:type="dxa"/>
            <w:gridSpan w:val="9"/>
            <w:tcBorders>
              <w:top w:val="single" w:color="auto" w:sz="4" w:space="0"/>
              <w:bottom w:val="single" w:color="auto" w:sz="4" w:space="0"/>
            </w:tcBorders>
            <w:vAlign w:val="center"/>
          </w:tcPr>
          <w:p w14:paraId="24939F9B">
            <w:pPr>
              <w:widowControl/>
              <w:autoSpaceDE w:val="0"/>
              <w:autoSpaceDN w:val="0"/>
              <w:jc w:val="left"/>
              <w:textAlignment w:val="bottom"/>
              <w:rPr>
                <w:rFonts w:ascii="仿宋" w:hAnsi="仿宋" w:eastAsia="仿宋" w:cs="仿宋"/>
                <w:color w:val="000000"/>
              </w:rPr>
            </w:pPr>
            <w:r>
              <w:rPr>
                <w:rFonts w:hint="eastAsia" w:ascii="仿宋" w:hAnsi="仿宋" w:eastAsia="仿宋" w:cs="仿宋"/>
                <w:color w:val="000000"/>
              </w:rPr>
              <w:t>负责前端界面开发（Vue.js + Element</w:t>
            </w:r>
            <w:r>
              <w:rPr>
                <w:rFonts w:hint="eastAsia" w:ascii="仿宋" w:hAnsi="仿宋" w:eastAsia="仿宋" w:cs="仿宋"/>
                <w:color w:val="000000"/>
                <w:lang w:val="en-US" w:eastAsia="zh-CN"/>
              </w:rPr>
              <w:t xml:space="preserve"> </w:t>
            </w:r>
            <w:r>
              <w:rPr>
                <w:rFonts w:hint="eastAsia" w:ascii="仿宋" w:hAnsi="仿宋" w:eastAsia="仿宋" w:cs="仿宋"/>
                <w:color w:val="000000"/>
              </w:rPr>
              <w:t>Plus）、审核工作台与辩论过程可视化、报告PDF导出功能、查新报告及项目研究报告撰写、竞赛报名材料整理与答辩材料制作。</w:t>
            </w:r>
          </w:p>
        </w:tc>
        <w:tc>
          <w:tcPr>
            <w:tcW w:w="2010" w:type="dxa"/>
            <w:vMerge w:val="continue"/>
            <w:tcBorders>
              <w:left w:val="single" w:color="auto" w:sz="6" w:space="0"/>
              <w:bottom w:val="single" w:color="auto" w:sz="4" w:space="0"/>
              <w:right w:val="single" w:color="auto" w:sz="6" w:space="0"/>
            </w:tcBorders>
          </w:tcPr>
          <w:p w14:paraId="5972A1E7">
            <w:pPr>
              <w:widowControl/>
              <w:autoSpaceDE w:val="0"/>
              <w:autoSpaceDN w:val="0"/>
              <w:jc w:val="center"/>
              <w:textAlignment w:val="bottom"/>
              <w:rPr>
                <w:rFonts w:ascii="仿宋" w:hAnsi="仿宋" w:eastAsia="仿宋" w:cs="仿宋"/>
                <w:color w:val="000000"/>
              </w:rPr>
            </w:pPr>
          </w:p>
        </w:tc>
      </w:tr>
    </w:tbl>
    <w:p w14:paraId="0E8567A3">
      <w:pPr>
        <w:spacing w:after="120" w:afterLines="50"/>
        <w:jc w:val="center"/>
        <w:rPr>
          <w:rFonts w:hint="eastAsia" w:ascii="minorBidi" w:hAnsi="minorBidi"/>
          <w:b/>
          <w:color w:val="000000"/>
          <w:sz w:val="28"/>
          <w:szCs w:val="28"/>
        </w:rPr>
      </w:pPr>
    </w:p>
    <w:p w14:paraId="5AAC9DE4">
      <w:pPr>
        <w:widowControl/>
        <w:jc w:val="left"/>
        <w:rPr>
          <w:rFonts w:hint="eastAsia" w:ascii="minorBidi" w:hAnsi="minorBidi"/>
          <w:b/>
          <w:color w:val="000000"/>
          <w:sz w:val="28"/>
          <w:szCs w:val="28"/>
        </w:rPr>
      </w:pPr>
      <w:r>
        <w:rPr>
          <w:rFonts w:hint="eastAsia" w:ascii="minorBidi" w:hAnsi="minorBidi"/>
          <w:b/>
          <w:color w:val="000000"/>
          <w:sz w:val="28"/>
          <w:szCs w:val="28"/>
        </w:rPr>
        <w:br w:type="page"/>
      </w:r>
    </w:p>
    <w:p w14:paraId="7C55571F">
      <w:pPr>
        <w:spacing w:after="120" w:afterLines="50"/>
        <w:jc w:val="center"/>
        <w:rPr>
          <w:rFonts w:hint="eastAsia" w:ascii="minorBidi" w:hAnsi="minorBidi"/>
          <w:b/>
          <w:color w:val="000000"/>
          <w:sz w:val="28"/>
          <w:szCs w:val="28"/>
        </w:rPr>
      </w:pPr>
      <w:r>
        <w:rPr>
          <w:rFonts w:ascii="minorBidi" w:hAnsi="minorBidi"/>
          <w:b/>
          <w:color w:val="000000"/>
          <w:sz w:val="28"/>
          <w:szCs w:val="28"/>
        </w:rPr>
        <w:t>B</w:t>
      </w:r>
      <w:r>
        <w:rPr>
          <w:rFonts w:hint="eastAsia" w:ascii="minorBidi" w:hAnsi="minorBidi"/>
          <w:b/>
          <w:color w:val="000000"/>
          <w:sz w:val="28"/>
          <w:szCs w:val="28"/>
        </w:rPr>
        <w:t>、项目总体情况</w:t>
      </w:r>
    </w:p>
    <w:tbl>
      <w:tblPr>
        <w:tblStyle w:val="14"/>
        <w:tblW w:w="98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641"/>
        <w:gridCol w:w="1009"/>
        <w:gridCol w:w="8190"/>
      </w:tblGrid>
      <w:tr w14:paraId="248BC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83" w:hRule="atLeast"/>
          <w:jc w:val="center"/>
        </w:trPr>
        <w:tc>
          <w:tcPr>
            <w:tcW w:w="1650" w:type="dxa"/>
            <w:gridSpan w:val="2"/>
            <w:vAlign w:val="center"/>
          </w:tcPr>
          <w:p w14:paraId="374538B4">
            <w:pPr>
              <w:jc w:val="center"/>
              <w:rPr>
                <w:rFonts w:ascii="黑体" w:hAnsi="黑体" w:eastAsia="黑体"/>
                <w:color w:val="000000"/>
              </w:rPr>
            </w:pPr>
            <w:r>
              <w:rPr>
                <w:rFonts w:hint="eastAsia" w:ascii="黑体" w:hAnsi="黑体" w:eastAsia="黑体"/>
                <w:color w:val="000000"/>
              </w:rPr>
              <w:t>项目研究时间</w:t>
            </w:r>
          </w:p>
        </w:tc>
        <w:tc>
          <w:tcPr>
            <w:tcW w:w="8190" w:type="dxa"/>
            <w:vAlign w:val="center"/>
          </w:tcPr>
          <w:p w14:paraId="08BB087E">
            <w:pPr>
              <w:ind w:firstLine="210" w:firstLineChars="100"/>
              <w:rPr>
                <w:rFonts w:ascii="仿宋" w:hAnsi="仿宋" w:eastAsia="仿宋" w:cs="仿宋"/>
                <w:color w:val="000000"/>
              </w:rPr>
            </w:pPr>
            <w:r>
              <w:rPr>
                <w:rFonts w:hint="eastAsia" w:ascii="仿宋" w:hAnsi="仿宋" w:eastAsia="仿宋" w:cs="仿宋"/>
                <w:color w:val="000000"/>
              </w:rPr>
              <w:t>开始时间</w:t>
            </w:r>
            <w:r>
              <w:rPr>
                <w:rFonts w:hint="eastAsia" w:ascii="仿宋" w:hAnsi="仿宋" w:eastAsia="仿宋" w:cs="仿宋"/>
                <w:color w:val="000000"/>
                <w:lang w:val="en-US" w:eastAsia="zh-CN"/>
              </w:rPr>
              <w:t>2025</w:t>
            </w:r>
            <w:r>
              <w:rPr>
                <w:rFonts w:hint="eastAsia" w:ascii="仿宋" w:hAnsi="仿宋" w:eastAsia="仿宋" w:cs="仿宋"/>
                <w:color w:val="000000"/>
              </w:rPr>
              <w:t>年</w:t>
            </w:r>
            <w:r>
              <w:rPr>
                <w:rFonts w:hint="eastAsia" w:ascii="仿宋" w:hAnsi="仿宋" w:eastAsia="仿宋" w:cs="仿宋"/>
                <w:color w:val="000000"/>
                <w:lang w:val="en-US" w:eastAsia="zh-CN"/>
              </w:rPr>
              <w:t>9</w:t>
            </w:r>
            <w:r>
              <w:rPr>
                <w:rFonts w:hint="eastAsia" w:ascii="仿宋" w:hAnsi="仿宋" w:eastAsia="仿宋" w:cs="仿宋"/>
                <w:color w:val="000000"/>
              </w:rPr>
              <w:t>月</w:t>
            </w:r>
            <w:r>
              <w:rPr>
                <w:rFonts w:hint="eastAsia" w:ascii="仿宋" w:hAnsi="仿宋" w:eastAsia="仿宋" w:cs="仿宋"/>
                <w:color w:val="000000"/>
                <w:lang w:val="en-US" w:eastAsia="zh-CN"/>
              </w:rPr>
              <w:t>10</w:t>
            </w:r>
            <w:r>
              <w:rPr>
                <w:rFonts w:hint="eastAsia" w:ascii="仿宋" w:hAnsi="仿宋" w:eastAsia="仿宋" w:cs="仿宋"/>
                <w:color w:val="000000"/>
              </w:rPr>
              <w:t>日            完成时间</w:t>
            </w:r>
            <w:r>
              <w:rPr>
                <w:rFonts w:hint="eastAsia" w:ascii="仿宋" w:hAnsi="仿宋" w:eastAsia="仿宋" w:cs="仿宋"/>
                <w:color w:val="000000"/>
                <w:lang w:val="en-US" w:eastAsia="zh-CN"/>
              </w:rPr>
              <w:t>2026</w:t>
            </w:r>
            <w:r>
              <w:rPr>
                <w:rFonts w:hint="eastAsia" w:ascii="仿宋" w:hAnsi="仿宋" w:eastAsia="仿宋" w:cs="仿宋"/>
                <w:color w:val="000000"/>
              </w:rPr>
              <w:t>年</w:t>
            </w:r>
            <w:r>
              <w:rPr>
                <w:rFonts w:hint="eastAsia" w:ascii="仿宋" w:hAnsi="仿宋" w:eastAsia="仿宋" w:cs="仿宋"/>
                <w:color w:val="000000"/>
                <w:lang w:val="en-US" w:eastAsia="zh-CN"/>
              </w:rPr>
              <w:t>5</w:t>
            </w:r>
            <w:r>
              <w:rPr>
                <w:rFonts w:hint="eastAsia" w:ascii="仿宋" w:hAnsi="仿宋" w:eastAsia="仿宋" w:cs="仿宋"/>
                <w:color w:val="000000"/>
              </w:rPr>
              <w:t>月</w:t>
            </w:r>
            <w:r>
              <w:rPr>
                <w:rFonts w:hint="eastAsia" w:ascii="仿宋" w:hAnsi="仿宋" w:eastAsia="仿宋" w:cs="仿宋"/>
                <w:color w:val="000000"/>
                <w:lang w:val="en-US" w:eastAsia="zh-CN"/>
              </w:rPr>
              <w:t>10</w:t>
            </w:r>
            <w:r>
              <w:rPr>
                <w:rFonts w:hint="eastAsia" w:ascii="仿宋" w:hAnsi="仿宋" w:eastAsia="仿宋" w:cs="仿宋"/>
                <w:color w:val="000000"/>
              </w:rPr>
              <w:t>日</w:t>
            </w:r>
          </w:p>
        </w:tc>
      </w:tr>
      <w:tr w14:paraId="2231A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30" w:hRule="atLeast"/>
          <w:jc w:val="center"/>
        </w:trPr>
        <w:tc>
          <w:tcPr>
            <w:tcW w:w="1650" w:type="dxa"/>
            <w:gridSpan w:val="2"/>
            <w:vAlign w:val="center"/>
          </w:tcPr>
          <w:p w14:paraId="7D0A9475">
            <w:pPr>
              <w:ind w:firstLine="210" w:firstLineChars="100"/>
              <w:rPr>
                <w:rFonts w:ascii="黑体" w:hAnsi="黑体" w:eastAsia="黑体"/>
                <w:color w:val="000000"/>
              </w:rPr>
            </w:pPr>
            <w:r>
              <w:rPr>
                <w:rFonts w:hint="eastAsia" w:ascii="黑体" w:hAnsi="黑体" w:eastAsia="黑体"/>
                <w:color w:val="000000"/>
              </w:rPr>
              <w:t>专利申请号</w:t>
            </w:r>
          </w:p>
          <w:p w14:paraId="0265B4CF">
            <w:pPr>
              <w:ind w:firstLine="210" w:firstLineChars="100"/>
              <w:rPr>
                <w:rFonts w:ascii="黑体" w:hAnsi="黑体" w:eastAsia="黑体"/>
                <w:color w:val="000000"/>
              </w:rPr>
            </w:pPr>
            <w:r>
              <w:rPr>
                <w:rFonts w:hint="eastAsia" w:ascii="黑体" w:hAnsi="黑体" w:eastAsia="黑体"/>
                <w:color w:val="000000"/>
              </w:rPr>
              <w:t>及批准号</w:t>
            </w:r>
          </w:p>
        </w:tc>
        <w:tc>
          <w:tcPr>
            <w:tcW w:w="8190" w:type="dxa"/>
            <w:vAlign w:val="center"/>
          </w:tcPr>
          <w:p w14:paraId="5DFB84C7">
            <w:pPr>
              <w:rPr>
                <w:rFonts w:hint="eastAsia" w:ascii="仿宋" w:hAnsi="仿宋" w:eastAsia="仿宋" w:cs="仿宋"/>
                <w:color w:val="000000"/>
                <w:lang w:val="en-US" w:eastAsia="zh-CN"/>
              </w:rPr>
            </w:pPr>
            <w:r>
              <w:rPr>
                <w:rFonts w:hint="eastAsia" w:ascii="仿宋" w:hAnsi="仿宋" w:eastAsia="仿宋" w:cs="仿宋"/>
                <w:color w:val="000000"/>
                <w:lang w:val="en-US" w:eastAsia="zh-CN"/>
              </w:rPr>
              <w:t>无</w:t>
            </w:r>
          </w:p>
        </w:tc>
      </w:tr>
      <w:tr w14:paraId="09F88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30" w:hRule="atLeast"/>
          <w:jc w:val="center"/>
        </w:trPr>
        <w:tc>
          <w:tcPr>
            <w:tcW w:w="1650" w:type="dxa"/>
            <w:gridSpan w:val="2"/>
            <w:vAlign w:val="center"/>
          </w:tcPr>
          <w:p w14:paraId="7CD1CB1A">
            <w:pPr>
              <w:ind w:firstLine="210" w:firstLineChars="100"/>
              <w:rPr>
                <w:rFonts w:ascii="黑体" w:hAnsi="黑体" w:eastAsia="黑体"/>
                <w:color w:val="000000"/>
              </w:rPr>
            </w:pPr>
            <w:r>
              <w:rPr>
                <w:rFonts w:hint="eastAsia" w:ascii="黑体" w:hAnsi="黑体" w:eastAsia="黑体"/>
                <w:color w:val="000000"/>
              </w:rPr>
              <w:t>论文登载报刊</w:t>
            </w:r>
          </w:p>
          <w:p w14:paraId="0014F43C">
            <w:pPr>
              <w:ind w:firstLine="210" w:firstLineChars="100"/>
              <w:rPr>
                <w:rFonts w:ascii="黑体" w:hAnsi="黑体" w:eastAsia="黑体"/>
                <w:color w:val="000000"/>
              </w:rPr>
            </w:pPr>
            <w:r>
              <w:rPr>
                <w:rFonts w:hint="eastAsia" w:ascii="黑体" w:hAnsi="黑体" w:eastAsia="黑体"/>
                <w:color w:val="000000"/>
              </w:rPr>
              <w:t xml:space="preserve">和发表日期  </w:t>
            </w:r>
          </w:p>
        </w:tc>
        <w:tc>
          <w:tcPr>
            <w:tcW w:w="8190" w:type="dxa"/>
            <w:vAlign w:val="center"/>
          </w:tcPr>
          <w:p w14:paraId="135ED89B">
            <w:pPr>
              <w:rPr>
                <w:rFonts w:ascii="仿宋" w:hAnsi="仿宋" w:eastAsia="仿宋" w:cs="仿宋"/>
                <w:color w:val="000000"/>
              </w:rPr>
            </w:pPr>
          </w:p>
          <w:p w14:paraId="28868ECA">
            <w:pPr>
              <w:rPr>
                <w:rFonts w:hint="eastAsia" w:ascii="仿宋" w:hAnsi="仿宋" w:eastAsia="仿宋" w:cs="仿宋"/>
                <w:color w:val="000000"/>
                <w:lang w:val="en-US" w:eastAsia="zh-CN"/>
              </w:rPr>
            </w:pPr>
            <w:r>
              <w:rPr>
                <w:rFonts w:hint="eastAsia" w:ascii="仿宋" w:hAnsi="仿宋" w:eastAsia="仿宋" w:cs="仿宋"/>
                <w:color w:val="000000"/>
                <w:lang w:val="en-US" w:eastAsia="zh-CN"/>
              </w:rPr>
              <w:t>无</w:t>
            </w:r>
          </w:p>
        </w:tc>
      </w:tr>
      <w:tr w14:paraId="03B1D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171" w:hRule="atLeast"/>
          <w:jc w:val="center"/>
        </w:trPr>
        <w:tc>
          <w:tcPr>
            <w:tcW w:w="641" w:type="dxa"/>
            <w:textDirection w:val="tbRlV"/>
            <w:vAlign w:val="center"/>
          </w:tcPr>
          <w:p w14:paraId="7F13ACFD">
            <w:pPr>
              <w:spacing w:line="240" w:lineRule="exact"/>
              <w:ind w:left="105" w:leftChars="50" w:right="105" w:rightChars="50"/>
              <w:jc w:val="center"/>
              <w:rPr>
                <w:rFonts w:ascii="黑体" w:hAnsi="黑体" w:eastAsia="黑体"/>
                <w:color w:val="000000"/>
                <w:szCs w:val="21"/>
              </w:rPr>
            </w:pPr>
            <w:r>
              <w:rPr>
                <w:rFonts w:hint="eastAsia" w:ascii="黑体" w:hAnsi="黑体" w:eastAsia="黑体"/>
                <w:color w:val="000000"/>
                <w:szCs w:val="21"/>
              </w:rPr>
              <w:t>项  目  简  介</w:t>
            </w:r>
          </w:p>
        </w:tc>
        <w:tc>
          <w:tcPr>
            <w:tcW w:w="9199" w:type="dxa"/>
            <w:gridSpan w:val="2"/>
          </w:tcPr>
          <w:p w14:paraId="6479DB2D">
            <w:pPr>
              <w:ind w:left="105" w:leftChars="50" w:right="105" w:rightChars="50"/>
              <w:rPr>
                <w:rFonts w:hint="eastAsia" w:ascii="仿宋_GB2312" w:hAnsi="宋体" w:eastAsia="仿宋_GB2312"/>
                <w:color w:val="000000"/>
              </w:rPr>
            </w:pPr>
            <w:r>
              <w:rPr>
                <w:rFonts w:hint="eastAsia" w:ascii="仿宋_GB2312" w:hAnsi="宋体" w:eastAsia="仿宋_GB2312"/>
                <w:color w:val="000000"/>
              </w:rPr>
              <w:t>智策惠民——基于大模型与证据链取证的政务资格审核系统</w:t>
            </w:r>
          </w:p>
          <w:p w14:paraId="78B495FC">
            <w:pPr>
              <w:ind w:left="105" w:leftChars="50" w:right="105" w:rightChars="50"/>
              <w:rPr>
                <w:rFonts w:hint="eastAsia" w:ascii="仿宋_GB2312" w:hAnsi="宋体" w:eastAsia="仿宋_GB2312"/>
                <w:color w:val="000000"/>
              </w:rPr>
            </w:pPr>
          </w:p>
          <w:p w14:paraId="3981C303">
            <w:pPr>
              <w:ind w:right="105" w:rightChars="50" w:firstLine="420" w:firstLineChars="200"/>
              <w:rPr>
                <w:rFonts w:hint="eastAsia" w:ascii="仿宋_GB2312" w:hAnsi="宋体" w:eastAsia="仿宋_GB2312"/>
                <w:color w:val="000000"/>
              </w:rPr>
            </w:pPr>
            <w:r>
              <w:rPr>
                <w:rFonts w:hint="eastAsia" w:ascii="仿宋_GB2312" w:hAnsi="宋体" w:eastAsia="仿宋_GB2312"/>
                <w:color w:val="000000"/>
              </w:rPr>
              <w:t>基层政务资格审核（如就业补贴认定）面临政策规则复杂、业务数据分散、人工核验效率低、审核过程难追溯等问题。本项目遵循</w:t>
            </w:r>
            <w:r>
              <w:rPr>
                <w:rFonts w:hint="eastAsia" w:ascii="仿宋_GB2312" w:hAnsi="宋体" w:eastAsia="仿宋_GB2312"/>
                <w:color w:val="000000"/>
                <w:lang w:eastAsia="zh-CN"/>
              </w:rPr>
              <w:t>“</w:t>
            </w:r>
            <w:r>
              <w:rPr>
                <w:rFonts w:hint="eastAsia" w:ascii="仿宋_GB2312" w:hAnsi="宋体" w:eastAsia="仿宋_GB2312"/>
                <w:color w:val="000000"/>
              </w:rPr>
              <w:t>先取证、再判断</w:t>
            </w:r>
            <w:r>
              <w:rPr>
                <w:rFonts w:hint="eastAsia" w:ascii="仿宋_GB2312" w:hAnsi="宋体" w:eastAsia="仿宋_GB2312"/>
                <w:color w:val="000000"/>
                <w:lang w:eastAsia="zh-CN"/>
              </w:rPr>
              <w:t>”</w:t>
            </w:r>
            <w:r>
              <w:rPr>
                <w:rFonts w:hint="eastAsia" w:ascii="仿宋_GB2312" w:hAnsi="宋体" w:eastAsia="仿宋_GB2312"/>
                <w:color w:val="000000"/>
              </w:rPr>
              <w:t>的基本思路，将政策条款拆解为结构化规则，通过T</w:t>
            </w:r>
            <w:r>
              <w:rPr>
                <w:rFonts w:hint="eastAsia" w:ascii="仿宋_GB2312" w:hAnsi="宋体" w:eastAsia="仿宋_GB2312"/>
                <w:color w:val="000000"/>
                <w:lang w:val="en-US" w:eastAsia="zh-CN"/>
              </w:rPr>
              <w:t>2</w:t>
            </w:r>
            <w:r>
              <w:rPr>
                <w:rFonts w:hint="eastAsia" w:ascii="仿宋_GB2312" w:hAnsi="宋体" w:eastAsia="仿宋_GB2312"/>
                <w:color w:val="000000"/>
              </w:rPr>
              <w:t>SQL自动生成SQL进行证据采集，再由多角色Agent围绕证据链辩论形成审核结论，必要时触发人工复核，构建从用户诉求输入到审核结论归档的智能辅助审核闭环。</w:t>
            </w:r>
          </w:p>
          <w:p w14:paraId="5A95F0B6">
            <w:pPr>
              <w:ind w:left="105" w:leftChars="50" w:right="105" w:rightChars="50" w:firstLine="420" w:firstLineChars="200"/>
              <w:rPr>
                <w:rFonts w:hint="eastAsia" w:ascii="仿宋_GB2312" w:hAnsi="宋体" w:eastAsia="仿宋_GB2312"/>
                <w:color w:val="000000"/>
              </w:rPr>
            </w:pPr>
            <w:r>
              <w:rPr>
                <w:rFonts w:hint="eastAsia" w:ascii="仿宋_GB2312" w:hAnsi="宋体" w:eastAsia="仿宋_GB2312"/>
                <w:color w:val="000000"/>
              </w:rPr>
              <w:t>本项目融合大语言模型的自然语言理解与生成能力、Text-to-SQL语义解析技术、基于论证语义的多Agent辩论框架、证据质量四维评分模型以及SQL执行反馈驱动的自诊断修复原理。</w:t>
            </w:r>
          </w:p>
          <w:p w14:paraId="39062451">
            <w:pPr>
              <w:ind w:left="105" w:leftChars="50" w:right="105" w:rightChars="50" w:firstLine="420" w:firstLineChars="200"/>
              <w:rPr>
                <w:rFonts w:hint="eastAsia" w:ascii="仿宋_GB2312" w:hAnsi="宋体" w:eastAsia="仿宋_GB2312"/>
                <w:color w:val="000000"/>
                <w:lang w:val="en-US" w:eastAsia="zh-CN"/>
              </w:rPr>
            </w:pPr>
            <w:r>
              <w:rPr>
                <w:rFonts w:hint="eastAsia" w:ascii="仿宋_GB2312" w:hAnsi="宋体" w:eastAsia="仿宋_GB2312"/>
                <w:color w:val="000000"/>
              </w:rPr>
              <w:t>创新点</w:t>
            </w:r>
            <w:r>
              <w:rPr>
                <w:rFonts w:hint="eastAsia" w:ascii="仿宋_GB2312" w:hAnsi="宋体" w:eastAsia="仿宋_GB2312"/>
                <w:color w:val="000000"/>
                <w:lang w:val="en-US" w:eastAsia="zh-CN"/>
              </w:rPr>
              <w:t>如下：</w:t>
            </w:r>
          </w:p>
          <w:p w14:paraId="0A2E3F51">
            <w:pPr>
              <w:ind w:left="105" w:leftChars="50" w:right="105" w:rightChars="50"/>
              <w:rPr>
                <w:rFonts w:hint="eastAsia" w:ascii="仿宋_GB2312" w:hAnsi="宋体" w:eastAsia="仿宋_GB2312"/>
                <w:color w:val="000000"/>
              </w:rPr>
            </w:pPr>
            <w:r>
              <w:rPr>
                <w:rFonts w:hint="eastAsia" w:ascii="仿宋_GB2312" w:hAnsi="宋体" w:eastAsia="仿宋_GB2312"/>
                <w:color w:val="000000"/>
              </w:rPr>
              <w:t>（1）规则驱动的T2SQL证据链取证机制，将SQL结果封装为可追溯证据卡片</w:t>
            </w:r>
          </w:p>
          <w:p w14:paraId="62A47DFD">
            <w:pPr>
              <w:ind w:left="105" w:leftChars="50" w:right="105" w:rightChars="50"/>
              <w:rPr>
                <w:rFonts w:hint="eastAsia" w:ascii="仿宋_GB2312" w:hAnsi="宋体" w:eastAsia="仿宋_GB2312"/>
                <w:color w:val="000000"/>
              </w:rPr>
            </w:pPr>
            <w:r>
              <w:rPr>
                <w:rFonts w:hint="eastAsia" w:ascii="仿宋_GB2312" w:hAnsi="宋体" w:eastAsia="仿宋_GB2312"/>
                <w:color w:val="000000"/>
              </w:rPr>
              <w:t>（2）面向执行反馈的SQL自诊断修复机制；</w:t>
            </w:r>
          </w:p>
          <w:p w14:paraId="4A386532">
            <w:pPr>
              <w:ind w:left="105" w:leftChars="50" w:right="105" w:rightChars="50"/>
              <w:rPr>
                <w:rFonts w:hint="eastAsia" w:ascii="仿宋_GB2312" w:hAnsi="宋体" w:eastAsia="仿宋_GB2312"/>
                <w:color w:val="000000"/>
              </w:rPr>
            </w:pPr>
            <w:r>
              <w:rPr>
                <w:rFonts w:hint="eastAsia" w:ascii="仿宋_GB2312" w:hAnsi="宋体" w:eastAsia="仿宋_GB2312"/>
                <w:color w:val="000000"/>
              </w:rPr>
              <w:t>（3）面向规则类型的证据语义判定机制</w:t>
            </w:r>
          </w:p>
          <w:p w14:paraId="6CCED584">
            <w:pPr>
              <w:ind w:left="105" w:leftChars="50" w:right="105" w:rightChars="50"/>
              <w:rPr>
                <w:rFonts w:hint="eastAsia" w:ascii="仿宋_GB2312" w:hAnsi="宋体" w:eastAsia="仿宋_GB2312"/>
                <w:color w:val="000000"/>
              </w:rPr>
            </w:pPr>
            <w:r>
              <w:rPr>
                <w:rFonts w:hint="eastAsia" w:ascii="仿宋_GB2312" w:hAnsi="宋体" w:eastAsia="仿宋_GB2312"/>
                <w:color w:val="000000"/>
              </w:rPr>
              <w:t>（4）证据约束下的多Agent辩论仲裁机制</w:t>
            </w:r>
          </w:p>
          <w:p w14:paraId="6B1A79F0">
            <w:pPr>
              <w:ind w:left="105" w:leftChars="50" w:right="105" w:rightChars="50"/>
              <w:rPr>
                <w:rFonts w:hint="eastAsia" w:ascii="仿宋_GB2312" w:hAnsi="宋体" w:eastAsia="仿宋_GB2312"/>
                <w:color w:val="000000"/>
              </w:rPr>
            </w:pPr>
            <w:r>
              <w:rPr>
                <w:rFonts w:hint="eastAsia" w:ascii="仿宋_GB2312" w:hAnsi="宋体" w:eastAsia="仿宋_GB2312"/>
                <w:color w:val="000000"/>
              </w:rPr>
              <w:t>（5）人工复核参与的全链路留痕机制。</w:t>
            </w:r>
          </w:p>
          <w:p w14:paraId="3ED09F5B">
            <w:pPr>
              <w:ind w:left="105" w:leftChars="50" w:right="105" w:rightChars="50" w:firstLine="420" w:firstLineChars="200"/>
              <w:rPr>
                <w:rFonts w:hint="eastAsia" w:ascii="仿宋_GB2312" w:hAnsi="宋体" w:eastAsia="仿宋_GB2312"/>
                <w:color w:val="000000"/>
              </w:rPr>
            </w:pPr>
            <w:r>
              <w:rPr>
                <w:rFonts w:hint="eastAsia" w:ascii="仿宋_GB2312" w:hAnsi="宋体" w:eastAsia="仿宋_GB2312"/>
                <w:color w:val="000000"/>
              </w:rPr>
              <w:t>系统已在灵活就业社保补贴审核场景中完成验证，完整链路SQL匹配率达91.24%，结论准确率达92.18%。后续拟扩展至创业扶持、人才补贴等更多政务审核场景，并优化多轮对话交互体验。</w:t>
            </w:r>
          </w:p>
          <w:p w14:paraId="19A0B7B0">
            <w:pPr>
              <w:ind w:right="105" w:rightChars="50"/>
              <w:rPr>
                <w:rFonts w:hint="eastAsia" w:ascii="仿宋_GB2312" w:hAnsi="宋体" w:eastAsia="仿宋_GB2312"/>
                <w:color w:val="000000"/>
              </w:rPr>
            </w:pPr>
          </w:p>
          <w:p w14:paraId="643B8784">
            <w:pPr>
              <w:ind w:left="105" w:leftChars="50" w:right="105" w:rightChars="50" w:firstLine="420" w:firstLineChars="200"/>
              <w:rPr>
                <w:rFonts w:hint="default" w:ascii="仿宋_GB2312" w:hAnsi="宋体" w:eastAsia="仿宋_GB2312"/>
                <w:color w:val="000000"/>
                <w:lang w:val="en-US" w:eastAsia="zh-CN"/>
              </w:rPr>
            </w:pPr>
            <w:r>
              <w:rPr>
                <w:rFonts w:hint="eastAsia" w:ascii="仿宋_GB2312" w:hAnsi="宋体" w:eastAsia="仿宋_GB2312"/>
                <w:color w:val="000000"/>
                <w:lang w:val="en-US" w:eastAsia="zh-CN"/>
              </w:rPr>
              <w:t>目前项目处于成品阶段，但未推广，在云服务器中运行，该资金主要来自队员众筹</w:t>
            </w:r>
          </w:p>
        </w:tc>
      </w:tr>
    </w:tbl>
    <w:p w14:paraId="5B18B579">
      <w:pPr>
        <w:spacing w:after="120" w:afterLines="50"/>
        <w:jc w:val="center"/>
        <w:rPr>
          <w:rFonts w:hint="eastAsia" w:ascii="minorBidi" w:hAnsi="minorBidi"/>
          <w:b/>
          <w:color w:val="000000"/>
          <w:sz w:val="28"/>
          <w:szCs w:val="28"/>
        </w:rPr>
      </w:pPr>
    </w:p>
    <w:p w14:paraId="3336AE82">
      <w:pPr>
        <w:widowControl/>
        <w:jc w:val="left"/>
        <w:rPr>
          <w:rFonts w:hint="eastAsia" w:ascii="minorBidi" w:hAnsi="minorBidi"/>
          <w:b/>
          <w:color w:val="000000"/>
          <w:sz w:val="28"/>
          <w:szCs w:val="28"/>
        </w:rPr>
      </w:pPr>
    </w:p>
    <w:p w14:paraId="088F9E10">
      <w:pPr>
        <w:spacing w:after="120" w:afterLines="50"/>
        <w:jc w:val="center"/>
        <w:rPr>
          <w:rFonts w:hint="eastAsia" w:ascii="minorBidi" w:hAnsi="minorBidi"/>
          <w:b/>
          <w:bCs/>
          <w:color w:val="000000"/>
          <w:sz w:val="28"/>
          <w:szCs w:val="28"/>
        </w:rPr>
      </w:pPr>
      <w:r>
        <w:rPr>
          <w:rFonts w:ascii="minorBidi" w:hAnsi="minorBidi"/>
          <w:b/>
          <w:color w:val="000000"/>
          <w:sz w:val="28"/>
          <w:szCs w:val="28"/>
        </w:rPr>
        <w:t>C</w:t>
      </w:r>
      <w:r>
        <w:rPr>
          <w:rFonts w:hint="eastAsia" w:ascii="minorBidi" w:hAnsi="minorBidi"/>
          <w:b/>
          <w:color w:val="000000"/>
          <w:sz w:val="28"/>
          <w:szCs w:val="28"/>
        </w:rPr>
        <w:t>、</w:t>
      </w:r>
      <w:r>
        <w:rPr>
          <w:rFonts w:hint="eastAsia" w:ascii="minorBidi" w:hAnsi="minorBidi"/>
          <w:b/>
          <w:bCs/>
          <w:color w:val="000000"/>
          <w:sz w:val="28"/>
          <w:szCs w:val="28"/>
        </w:rPr>
        <w:t>项目申报材料统计</w:t>
      </w:r>
    </w:p>
    <w:tbl>
      <w:tblPr>
        <w:tblStyle w:val="14"/>
        <w:tblW w:w="97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76"/>
      </w:tblGrid>
      <w:tr w14:paraId="7C0E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05" w:hRule="atLeast"/>
          <w:jc w:val="center"/>
        </w:trPr>
        <w:tc>
          <w:tcPr>
            <w:tcW w:w="9776" w:type="dxa"/>
            <w:shd w:val="clear" w:color="auto" w:fill="auto"/>
            <w:vAlign w:val="center"/>
          </w:tcPr>
          <w:p w14:paraId="172E868D">
            <w:pPr>
              <w:spacing w:line="320" w:lineRule="exact"/>
              <w:ind w:firstLine="210" w:firstLineChars="100"/>
              <w:rPr>
                <w:rFonts w:ascii="仿宋" w:hAnsi="仿宋" w:eastAsia="仿宋" w:cs="仿宋"/>
                <w:bCs/>
                <w:color w:val="000000"/>
                <w:szCs w:val="21"/>
              </w:rPr>
            </w:pPr>
            <w:r>
              <w:rPr>
                <w:rFonts w:hint="eastAsia" w:ascii="仿宋" w:hAnsi="仿宋" w:eastAsia="仿宋" w:cs="仿宋"/>
                <w:bCs/>
                <w:color w:val="000000"/>
                <w:szCs w:val="21"/>
              </w:rPr>
              <w:t>1．</w:t>
            </w:r>
            <w:r>
              <w:rPr>
                <w:rFonts w:hint="eastAsia" w:ascii="仿宋" w:hAnsi="仿宋" w:eastAsia="仿宋" w:cs="仿宋"/>
                <w:bCs/>
                <w:color w:val="000000"/>
                <w:szCs w:val="21"/>
                <w:lang w:val="en-US" w:eastAsia="zh-CN"/>
              </w:rPr>
              <w:t>人工智能</w:t>
            </w:r>
            <w:r>
              <w:rPr>
                <w:rFonts w:hint="eastAsia" w:ascii="仿宋" w:hAnsi="仿宋" w:eastAsia="仿宋" w:cs="仿宋"/>
                <w:bCs/>
                <w:color w:val="000000"/>
                <w:szCs w:val="21"/>
              </w:rPr>
              <w:t>创新比赛项目报名表1份</w:t>
            </w:r>
          </w:p>
          <w:p w14:paraId="3405A927">
            <w:pPr>
              <w:spacing w:line="320" w:lineRule="exact"/>
              <w:ind w:firstLine="210" w:firstLineChars="100"/>
              <w:rPr>
                <w:rFonts w:ascii="仿宋" w:hAnsi="仿宋" w:eastAsia="仿宋" w:cs="仿宋"/>
                <w:bCs/>
                <w:color w:val="000000"/>
                <w:szCs w:val="21"/>
              </w:rPr>
            </w:pPr>
            <w:r>
              <w:rPr>
                <w:rFonts w:hint="eastAsia" w:ascii="仿宋" w:hAnsi="仿宋" w:eastAsia="仿宋" w:cs="仿宋"/>
                <w:bCs/>
                <w:color w:val="000000"/>
                <w:szCs w:val="21"/>
              </w:rPr>
              <w:t>2．项目研究报告     页</w:t>
            </w:r>
            <w:r>
              <w:rPr>
                <w:rFonts w:hint="eastAsia" w:ascii="仿宋" w:hAnsi="仿宋" w:eastAsia="仿宋" w:cs="仿宋"/>
                <w:color w:val="000000"/>
                <w:szCs w:val="21"/>
              </w:rPr>
              <w:t>，</w:t>
            </w:r>
            <w:r>
              <w:rPr>
                <w:rFonts w:hint="eastAsia" w:ascii="仿宋" w:hAnsi="仿宋" w:eastAsia="仿宋" w:cs="仿宋"/>
                <w:bCs/>
                <w:color w:val="000000"/>
                <w:szCs w:val="21"/>
              </w:rPr>
              <w:t xml:space="preserve">    项目查新报告</w:t>
            </w:r>
            <w:r>
              <w:rPr>
                <w:rFonts w:hint="eastAsia" w:ascii="仿宋" w:hAnsi="仿宋" w:eastAsia="仿宋" w:cs="仿宋"/>
                <w:bCs/>
                <w:color w:val="000000"/>
                <w:szCs w:val="21"/>
                <w:lang w:val="en-US" w:eastAsia="zh-CN"/>
              </w:rPr>
              <w:t>17</w:t>
            </w:r>
            <w:r>
              <w:rPr>
                <w:rFonts w:hint="eastAsia" w:ascii="仿宋" w:hAnsi="仿宋" w:eastAsia="仿宋" w:cs="仿宋"/>
                <w:bCs/>
                <w:color w:val="000000"/>
                <w:szCs w:val="21"/>
              </w:rPr>
              <w:t>页</w:t>
            </w:r>
          </w:p>
          <w:p w14:paraId="746FED90">
            <w:pPr>
              <w:spacing w:line="320" w:lineRule="exact"/>
              <w:ind w:firstLine="210" w:firstLineChars="100"/>
              <w:rPr>
                <w:rFonts w:ascii="宋体" w:hAnsi="宋体"/>
                <w:bCs/>
                <w:color w:val="000000"/>
                <w:szCs w:val="21"/>
              </w:rPr>
            </w:pPr>
            <w:r>
              <w:rPr>
                <w:rFonts w:hint="eastAsia" w:ascii="宋体" w:hAnsi="宋体"/>
                <w:bCs/>
                <w:color w:val="000000"/>
                <w:szCs w:val="21"/>
              </w:rPr>
              <w:t>3．</w:t>
            </w:r>
            <w:r>
              <w:rPr>
                <w:rFonts w:hint="eastAsia" w:ascii="仿宋" w:hAnsi="仿宋" w:eastAsia="仿宋" w:cs="仿宋"/>
                <w:bCs/>
                <w:color w:val="000000"/>
                <w:szCs w:val="21"/>
              </w:rPr>
              <w:t>附件材料</w:t>
            </w:r>
            <w:r>
              <w:rPr>
                <w:rFonts w:hint="eastAsia" w:ascii="宋体" w:hAnsi="宋体"/>
                <w:bCs/>
                <w:color w:val="000000"/>
                <w:szCs w:val="21"/>
              </w:rPr>
              <w:t>（</w:t>
            </w:r>
            <w:r>
              <w:rPr>
                <w:rFonts w:hint="eastAsia" w:ascii="仿宋" w:hAnsi="仿宋" w:eastAsia="仿宋"/>
                <w:color w:val="000000"/>
                <w:szCs w:val="21"/>
              </w:rPr>
              <w:t>说明：附件材料均可为复印件，没有的项目可以填“无”。</w:t>
            </w:r>
            <w:r>
              <w:rPr>
                <w:rFonts w:hint="eastAsia" w:ascii="宋体" w:hAnsi="宋体"/>
                <w:bCs/>
                <w:color w:val="000000"/>
                <w:szCs w:val="21"/>
              </w:rPr>
              <w:t>）：</w:t>
            </w:r>
          </w:p>
          <w:p w14:paraId="3AA5CA26">
            <w:pPr>
              <w:spacing w:line="320" w:lineRule="exact"/>
              <w:rPr>
                <w:rFonts w:ascii="仿宋" w:hAnsi="仿宋" w:eastAsia="仿宋" w:cs="仿宋"/>
                <w:bCs/>
                <w:color w:val="000000"/>
                <w:szCs w:val="21"/>
              </w:rPr>
            </w:pPr>
            <w:r>
              <w:rPr>
                <w:rFonts w:hint="eastAsia" w:ascii="仿宋" w:hAnsi="仿宋" w:eastAsia="仿宋" w:cs="仿宋"/>
                <w:bCs/>
                <w:color w:val="000000"/>
                <w:szCs w:val="21"/>
              </w:rPr>
              <w:t xml:space="preserve">     （1）项目研究原始资料（图纸、图表、调查问卷等）          页；  </w:t>
            </w:r>
          </w:p>
          <w:p w14:paraId="24C4D3C1">
            <w:pPr>
              <w:spacing w:line="320" w:lineRule="exact"/>
              <w:ind w:firstLine="525" w:firstLineChars="250"/>
              <w:rPr>
                <w:rFonts w:ascii="仿宋" w:hAnsi="仿宋" w:eastAsia="仿宋" w:cs="仿宋"/>
                <w:bCs/>
                <w:color w:val="000000"/>
                <w:szCs w:val="21"/>
              </w:rPr>
            </w:pPr>
            <w:r>
              <w:rPr>
                <w:rFonts w:hint="eastAsia" w:ascii="仿宋" w:hAnsi="仿宋" w:eastAsia="仿宋" w:cs="仿宋"/>
                <w:bCs/>
                <w:color w:val="000000"/>
                <w:szCs w:val="21"/>
              </w:rPr>
              <w:t>（2）项目研究活动照片</w:t>
            </w:r>
            <w:r>
              <w:rPr>
                <w:rFonts w:hint="eastAsia" w:ascii="仿宋" w:hAnsi="仿宋" w:eastAsia="仿宋" w:cs="仿宋"/>
                <w:bCs/>
                <w:color w:val="000000"/>
                <w:szCs w:val="21"/>
                <w:lang w:val="en-US" w:eastAsia="zh-CN"/>
              </w:rPr>
              <w:t>1</w:t>
            </w:r>
            <w:bookmarkStart w:id="2" w:name="_GoBack"/>
            <w:bookmarkEnd w:id="2"/>
            <w:r>
              <w:rPr>
                <w:rFonts w:hint="eastAsia" w:ascii="仿宋" w:hAnsi="仿宋" w:eastAsia="仿宋" w:cs="仿宋"/>
                <w:bCs/>
                <w:color w:val="000000"/>
                <w:szCs w:val="21"/>
              </w:rPr>
              <w:t>页；</w:t>
            </w:r>
          </w:p>
          <w:p w14:paraId="448FE0A1">
            <w:pPr>
              <w:spacing w:line="320" w:lineRule="exact"/>
              <w:ind w:firstLine="525" w:firstLineChars="250"/>
              <w:rPr>
                <w:rFonts w:ascii="仿宋" w:hAnsi="仿宋" w:eastAsia="仿宋" w:cs="仿宋"/>
                <w:bCs/>
                <w:color w:val="000000"/>
                <w:szCs w:val="21"/>
              </w:rPr>
            </w:pPr>
            <w:r>
              <w:rPr>
                <w:rFonts w:hint="eastAsia" w:ascii="仿宋" w:hAnsi="仿宋" w:eastAsia="仿宋" w:cs="仿宋"/>
                <w:bCs/>
                <w:color w:val="000000"/>
                <w:szCs w:val="21"/>
              </w:rPr>
              <w:t>（3）项目研究活动日志</w:t>
            </w:r>
            <w:r>
              <w:rPr>
                <w:rFonts w:hint="eastAsia" w:ascii="仿宋" w:hAnsi="仿宋" w:eastAsia="仿宋" w:cs="仿宋"/>
                <w:bCs/>
                <w:color w:val="000000"/>
                <w:szCs w:val="21"/>
                <w:lang w:val="en-US" w:eastAsia="zh-CN"/>
              </w:rPr>
              <w:t>0</w:t>
            </w:r>
            <w:r>
              <w:rPr>
                <w:rFonts w:hint="eastAsia" w:ascii="仿宋" w:hAnsi="仿宋" w:eastAsia="仿宋" w:cs="仿宋"/>
                <w:bCs/>
                <w:color w:val="000000"/>
                <w:szCs w:val="21"/>
              </w:rPr>
              <w:t>页；</w:t>
            </w:r>
          </w:p>
          <w:p w14:paraId="4097EAC1">
            <w:pPr>
              <w:spacing w:line="320" w:lineRule="exact"/>
              <w:ind w:firstLine="525" w:firstLineChars="250"/>
              <w:rPr>
                <w:rFonts w:ascii="仿宋" w:hAnsi="仿宋" w:eastAsia="仿宋" w:cs="仿宋"/>
              </w:rPr>
            </w:pPr>
            <w:r>
              <w:rPr>
                <w:rFonts w:hint="eastAsia" w:ascii="仿宋" w:hAnsi="仿宋" w:eastAsia="仿宋" w:cs="仿宋"/>
                <w:bCs/>
                <w:color w:val="000000"/>
                <w:szCs w:val="21"/>
              </w:rPr>
              <w:t>（4）其他（请注明）</w:t>
            </w:r>
            <w:r>
              <w:rPr>
                <w:rFonts w:hint="eastAsia" w:ascii="仿宋" w:hAnsi="仿宋" w:eastAsia="仿宋" w:cs="仿宋"/>
                <w:bCs/>
                <w:color w:val="000000"/>
                <w:szCs w:val="21"/>
                <w:lang w:val="en-US" w:eastAsia="zh-CN"/>
              </w:rPr>
              <w:t>0</w:t>
            </w:r>
            <w:r>
              <w:rPr>
                <w:rFonts w:hint="eastAsia" w:ascii="仿宋" w:hAnsi="仿宋" w:eastAsia="仿宋" w:cs="仿宋"/>
                <w:bCs/>
                <w:color w:val="000000"/>
                <w:szCs w:val="21"/>
              </w:rPr>
              <w:t>页。</w:t>
            </w:r>
          </w:p>
          <w:p w14:paraId="3AC4A9A1">
            <w:pPr>
              <w:spacing w:line="320" w:lineRule="exact"/>
              <w:ind w:firstLine="210" w:firstLineChars="100"/>
            </w:pPr>
          </w:p>
          <w:p w14:paraId="475ACFDD">
            <w:pPr>
              <w:spacing w:line="320" w:lineRule="exact"/>
            </w:pPr>
          </w:p>
          <w:p w14:paraId="6EC99E13">
            <w:pPr>
              <w:spacing w:line="320" w:lineRule="exact"/>
            </w:pPr>
          </w:p>
          <w:p w14:paraId="058D9341">
            <w:pPr>
              <w:ind w:firstLine="211" w:firstLineChars="100"/>
            </w:pPr>
            <w:r>
              <w:rPr>
                <w:rFonts w:hint="eastAsia" w:ascii="仿宋" w:hAnsi="仿宋" w:eastAsia="仿宋" w:cs="仿宋"/>
                <w:b/>
                <w:bCs/>
                <w:color w:val="0000FF"/>
              </w:rPr>
              <w:t>（注：项目研究报告为独立文档，不包含在本文档中，项目研究报告没有具体格式要求。）</w:t>
            </w:r>
          </w:p>
        </w:tc>
      </w:tr>
    </w:tbl>
    <w:p w14:paraId="7ADF47AF">
      <w:pPr>
        <w:spacing w:after="120" w:afterLines="50"/>
        <w:jc w:val="center"/>
        <w:rPr>
          <w:rFonts w:hint="eastAsia" w:ascii="minorBidi" w:hAnsi="minorBidi"/>
          <w:b/>
          <w:color w:val="000000"/>
          <w:sz w:val="28"/>
          <w:szCs w:val="28"/>
        </w:rPr>
      </w:pPr>
    </w:p>
    <w:p w14:paraId="1DFDD8E9">
      <w:pPr>
        <w:spacing w:after="120" w:afterLines="50"/>
        <w:jc w:val="center"/>
        <w:rPr>
          <w:rFonts w:hint="eastAsia" w:ascii="minorBidi" w:hAnsi="minorBidi"/>
          <w:b/>
          <w:bCs/>
          <w:color w:val="000000"/>
          <w:sz w:val="28"/>
          <w:szCs w:val="28"/>
        </w:rPr>
      </w:pPr>
      <w:r>
        <w:rPr>
          <w:rFonts w:ascii="minorBidi" w:hAnsi="minorBidi"/>
          <w:b/>
          <w:color w:val="000000"/>
          <w:sz w:val="28"/>
          <w:szCs w:val="28"/>
        </w:rPr>
        <w:t>D</w:t>
      </w:r>
      <w:r>
        <w:rPr>
          <w:rFonts w:hint="eastAsia" w:ascii="minorBidi" w:hAnsi="minorBidi"/>
          <w:b/>
          <w:color w:val="000000"/>
          <w:sz w:val="28"/>
          <w:szCs w:val="28"/>
        </w:rPr>
        <w:t>、申报者确认事宜</w:t>
      </w:r>
    </w:p>
    <w:tbl>
      <w:tblPr>
        <w:tblStyle w:val="14"/>
        <w:tblW w:w="9781" w:type="dxa"/>
        <w:jc w:val="center"/>
        <w:tblLayout w:type="fixed"/>
        <w:tblCellMar>
          <w:top w:w="0" w:type="dxa"/>
          <w:left w:w="28" w:type="dxa"/>
          <w:bottom w:w="0" w:type="dxa"/>
          <w:right w:w="28" w:type="dxa"/>
        </w:tblCellMar>
      </w:tblPr>
      <w:tblGrid>
        <w:gridCol w:w="9781"/>
      </w:tblGrid>
      <w:tr w14:paraId="73092569">
        <w:tblPrEx>
          <w:tblCellMar>
            <w:top w:w="0" w:type="dxa"/>
            <w:left w:w="28" w:type="dxa"/>
            <w:bottom w:w="0" w:type="dxa"/>
            <w:right w:w="28" w:type="dxa"/>
          </w:tblCellMar>
        </w:tblPrEx>
        <w:trPr>
          <w:cantSplit/>
          <w:trHeight w:val="6173" w:hRule="atLeast"/>
          <w:jc w:val="center"/>
        </w:trPr>
        <w:tc>
          <w:tcPr>
            <w:tcW w:w="9781" w:type="dxa"/>
            <w:tcBorders>
              <w:top w:val="single" w:color="auto" w:sz="4" w:space="0"/>
              <w:left w:val="single" w:color="auto" w:sz="4" w:space="0"/>
              <w:bottom w:val="single" w:color="auto" w:sz="4" w:space="0"/>
              <w:right w:val="single" w:color="auto" w:sz="6" w:space="0"/>
            </w:tcBorders>
            <w:vAlign w:val="center"/>
          </w:tcPr>
          <w:p w14:paraId="008BB997">
            <w:pPr>
              <w:spacing w:line="360" w:lineRule="auto"/>
              <w:ind w:left="105" w:leftChars="50" w:right="105" w:rightChars="50" w:firstLine="420" w:firstLineChars="200"/>
              <w:rPr>
                <w:rFonts w:ascii="仿宋" w:hAnsi="仿宋" w:eastAsia="仿宋" w:cs="仿宋"/>
                <w:color w:val="000000"/>
              </w:rPr>
            </w:pPr>
            <w:r>
              <w:rPr>
                <w:rFonts w:hint="eastAsia" w:ascii="仿宋" w:hAnsi="仿宋" w:eastAsia="仿宋" w:cs="仿宋"/>
                <w:color w:val="000000"/>
              </w:rPr>
              <w:t>我（们）确认已认真阅读竞赛规则，并且同意遵守规则。</w:t>
            </w:r>
          </w:p>
          <w:p w14:paraId="7807094D">
            <w:pPr>
              <w:spacing w:line="360" w:lineRule="auto"/>
              <w:ind w:left="105" w:leftChars="50" w:right="105" w:rightChars="50" w:firstLine="420" w:firstLineChars="200"/>
              <w:rPr>
                <w:rFonts w:ascii="仿宋" w:hAnsi="仿宋" w:eastAsia="仿宋" w:cs="仿宋"/>
                <w:color w:val="000000"/>
              </w:rPr>
            </w:pPr>
            <w:r>
              <w:rPr>
                <w:rFonts w:hint="eastAsia" w:ascii="仿宋" w:hAnsi="仿宋" w:eastAsia="仿宋" w:cs="仿宋"/>
                <w:color w:val="000000"/>
              </w:rPr>
              <w:t>我（们）确认所有申报资料属实。</w:t>
            </w:r>
          </w:p>
          <w:p w14:paraId="16BEC5FC">
            <w:pPr>
              <w:spacing w:line="360" w:lineRule="auto"/>
              <w:ind w:left="105" w:leftChars="50" w:right="105" w:rightChars="50" w:firstLine="420" w:firstLineChars="200"/>
              <w:rPr>
                <w:rFonts w:ascii="仿宋" w:hAnsi="仿宋" w:eastAsia="仿宋" w:cs="仿宋"/>
                <w:color w:val="000000"/>
              </w:rPr>
            </w:pPr>
            <w:r>
              <w:rPr>
                <w:rFonts w:hint="eastAsia" w:ascii="仿宋" w:hAnsi="仿宋" w:eastAsia="仿宋" w:cs="仿宋"/>
                <w:color w:val="000000"/>
              </w:rPr>
              <w:t>我（们）授权主办单位竞赛结束之后无偿合理使用相关申报材料（包括公开出版等）。同时本人亦享有公开发表该项目资料的权利。</w:t>
            </w:r>
          </w:p>
          <w:p w14:paraId="3BA5A68B">
            <w:pPr>
              <w:spacing w:line="360" w:lineRule="auto"/>
              <w:ind w:left="105" w:leftChars="50" w:right="105" w:rightChars="50" w:firstLine="420" w:firstLineChars="200"/>
              <w:rPr>
                <w:rFonts w:hint="default" w:ascii="仿宋" w:hAnsi="仿宋" w:eastAsia="仿宋" w:cs="仿宋"/>
                <w:color w:val="000000"/>
                <w:lang w:val="en-US" w:eastAsia="zh-CN"/>
              </w:rPr>
            </w:pPr>
            <w:r>
              <w:rPr>
                <w:rFonts w:hint="eastAsia" w:ascii="仿宋" w:hAnsi="仿宋" w:eastAsia="仿宋" w:cs="仿宋"/>
                <w:color w:val="000000"/>
                <w:lang w:val="en-US" w:eastAsia="zh-CN"/>
              </w:rPr>
              <w:t>我（们）承诺参赛作品不侵犯他人的知识产权。</w:t>
            </w:r>
          </w:p>
          <w:p w14:paraId="0C5998D2">
            <w:pPr>
              <w:spacing w:line="360" w:lineRule="auto"/>
              <w:ind w:left="105" w:leftChars="50" w:right="105" w:rightChars="50" w:firstLine="420" w:firstLineChars="200"/>
              <w:rPr>
                <w:rFonts w:ascii="仿宋" w:hAnsi="仿宋" w:eastAsia="仿宋" w:cs="仿宋"/>
                <w:color w:val="000000"/>
              </w:rPr>
            </w:pPr>
            <w:r>
              <w:rPr>
                <w:rFonts w:hint="eastAsia" w:ascii="仿宋" w:hAnsi="仿宋" w:eastAsia="仿宋" w:cs="仿宋"/>
                <w:color w:val="000000"/>
              </w:rPr>
              <w:t>我（们）完全服从大赛评审委员会的各项决议。</w:t>
            </w:r>
          </w:p>
          <w:p w14:paraId="523296DD">
            <w:pPr>
              <w:widowControl/>
              <w:autoSpaceDE w:val="0"/>
              <w:autoSpaceDN w:val="0"/>
              <w:spacing w:line="360" w:lineRule="auto"/>
              <w:ind w:left="105" w:leftChars="50" w:right="105" w:rightChars="50" w:firstLine="420" w:firstLineChars="200"/>
              <w:textAlignment w:val="bottom"/>
              <w:rPr>
                <w:rFonts w:ascii="仿宋" w:hAnsi="仿宋" w:eastAsia="仿宋" w:cs="仿宋"/>
                <w:color w:val="000000"/>
              </w:rPr>
            </w:pPr>
          </w:p>
          <w:p w14:paraId="420BA73E">
            <w:pPr>
              <w:widowControl/>
              <w:autoSpaceDE w:val="0"/>
              <w:autoSpaceDN w:val="0"/>
              <w:spacing w:line="360" w:lineRule="auto"/>
              <w:ind w:left="105" w:leftChars="50" w:right="105" w:rightChars="50" w:firstLine="420" w:firstLineChars="200"/>
              <w:textAlignment w:val="bottom"/>
              <w:rPr>
                <w:rFonts w:ascii="仿宋" w:hAnsi="仿宋" w:eastAsia="仿宋" w:cs="仿宋"/>
                <w:color w:val="000000"/>
                <w:sz w:val="24"/>
              </w:rPr>
            </w:pPr>
            <w:r>
              <w:rPr>
                <w:rFonts w:hint="eastAsia" w:ascii="仿宋" w:hAnsi="仿宋" w:eastAsia="仿宋" w:cs="仿宋"/>
                <w:color w:val="000000"/>
              </w:rPr>
              <w:t>申报者签名：</w:t>
            </w:r>
            <w:r>
              <w:drawing>
                <wp:inline distT="0" distB="0" distL="114300" distR="114300">
                  <wp:extent cx="1229360" cy="618490"/>
                  <wp:effectExtent l="0" t="0" r="2540" b="3810"/>
                  <wp:docPr id="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pic:cNvPicPr>
                            <a:picLocks noChangeAspect="1"/>
                          </pic:cNvPicPr>
                        </pic:nvPicPr>
                        <pic:blipFill>
                          <a:blip r:embed="rId17"/>
                          <a:stretch>
                            <a:fillRect/>
                          </a:stretch>
                        </pic:blipFill>
                        <pic:spPr>
                          <a:xfrm>
                            <a:off x="0" y="0"/>
                            <a:ext cx="1229360" cy="618490"/>
                          </a:xfrm>
                          <a:prstGeom prst="rect">
                            <a:avLst/>
                          </a:prstGeom>
                          <a:noFill/>
                          <a:ln>
                            <a:noFill/>
                          </a:ln>
                        </pic:spPr>
                      </pic:pic>
                    </a:graphicData>
                  </a:graphic>
                </wp:inline>
              </w:drawing>
            </w:r>
            <w:r>
              <w:rPr>
                <w:rFonts w:hint="eastAsia" w:ascii="仿宋" w:hAnsi="仿宋" w:eastAsia="仿宋" w:cs="仿宋"/>
                <w:color w:val="000000"/>
              </w:rPr>
              <w:t>指导教师签名：</w:t>
            </w:r>
            <w:r>
              <w:rPr>
                <w:rFonts w:ascii="宋体" w:hAnsi="宋体" w:eastAsia="宋体" w:cs="宋体"/>
                <w:sz w:val="24"/>
                <w:szCs w:val="24"/>
              </w:rPr>
              <w:drawing>
                <wp:inline distT="0" distB="0" distL="114300" distR="114300">
                  <wp:extent cx="1381125" cy="514350"/>
                  <wp:effectExtent l="0" t="0" r="3175" b="6350"/>
                  <wp:docPr id="9"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 descr="IMG_256"/>
                          <pic:cNvPicPr>
                            <a:picLocks noChangeAspect="1"/>
                          </pic:cNvPicPr>
                        </pic:nvPicPr>
                        <pic:blipFill>
                          <a:blip r:embed="rId18"/>
                          <a:stretch>
                            <a:fillRect/>
                          </a:stretch>
                        </pic:blipFill>
                        <pic:spPr>
                          <a:xfrm>
                            <a:off x="0" y="0"/>
                            <a:ext cx="1381125" cy="514350"/>
                          </a:xfrm>
                          <a:prstGeom prst="rect">
                            <a:avLst/>
                          </a:prstGeom>
                          <a:noFill/>
                          <a:ln w="9525">
                            <a:noFill/>
                          </a:ln>
                        </pic:spPr>
                      </pic:pic>
                    </a:graphicData>
                  </a:graphic>
                </wp:inline>
              </w:drawing>
            </w:r>
          </w:p>
          <w:p w14:paraId="5D6D60E8">
            <w:pPr>
              <w:widowControl/>
              <w:autoSpaceDE w:val="0"/>
              <w:autoSpaceDN w:val="0"/>
              <w:spacing w:line="360" w:lineRule="auto"/>
              <w:ind w:left="105" w:leftChars="50" w:right="105" w:rightChars="50"/>
              <w:textAlignment w:val="bottom"/>
              <w:rPr>
                <w:rFonts w:ascii="宋体" w:hAnsi="宋体" w:eastAsia="宋体" w:cs="宋体"/>
                <w:sz w:val="24"/>
                <w:szCs w:val="24"/>
              </w:rPr>
            </w:pPr>
            <w:r>
              <w:rPr>
                <w:rFonts w:hint="eastAsia" w:ascii="minorBidi" w:hAnsi="minorBidi"/>
                <w:color w:val="000000"/>
                <w:sz w:val="24"/>
                <w:lang w:val="en-US" w:eastAsia="zh-CN"/>
              </w:rPr>
              <w:t xml:space="preserve">              </w:t>
            </w:r>
            <w:r>
              <w:rPr>
                <w:rFonts w:ascii="宋体" w:hAnsi="宋体" w:eastAsia="宋体" w:cs="宋体"/>
                <w:sz w:val="24"/>
                <w:szCs w:val="24"/>
              </w:rPr>
              <w:drawing>
                <wp:inline distT="0" distB="0" distL="114300" distR="114300">
                  <wp:extent cx="1133475" cy="685800"/>
                  <wp:effectExtent l="0" t="0" r="9525" b="0"/>
                  <wp:docPr id="6"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descr="IMG_256"/>
                          <pic:cNvPicPr>
                            <a:picLocks noChangeAspect="1"/>
                          </pic:cNvPicPr>
                        </pic:nvPicPr>
                        <pic:blipFill>
                          <a:blip r:embed="rId19"/>
                          <a:srcRect l="11050" t="14847" r="19132" b="23282"/>
                          <a:stretch>
                            <a:fillRect/>
                          </a:stretch>
                        </pic:blipFill>
                        <pic:spPr>
                          <a:xfrm>
                            <a:off x="0" y="0"/>
                            <a:ext cx="1133475" cy="685800"/>
                          </a:xfrm>
                          <a:prstGeom prst="rect">
                            <a:avLst/>
                          </a:prstGeom>
                          <a:noFill/>
                          <a:ln w="9525">
                            <a:noFill/>
                          </a:ln>
                        </pic:spPr>
                      </pic:pic>
                    </a:graphicData>
                  </a:graphic>
                </wp:inline>
              </w:drawing>
            </w:r>
          </w:p>
          <w:p w14:paraId="089636D1">
            <w:pPr>
              <w:widowControl/>
              <w:autoSpaceDE w:val="0"/>
              <w:autoSpaceDN w:val="0"/>
              <w:spacing w:line="360" w:lineRule="auto"/>
              <w:ind w:left="105" w:leftChars="50" w:right="105" w:rightChars="50"/>
              <w:textAlignment w:val="bottom"/>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ascii="宋体" w:hAnsi="宋体" w:eastAsia="宋体" w:cs="宋体"/>
                <w:sz w:val="24"/>
                <w:szCs w:val="24"/>
              </w:rPr>
              <w:drawing>
                <wp:inline distT="0" distB="0" distL="114300" distR="114300">
                  <wp:extent cx="2028825" cy="683895"/>
                  <wp:effectExtent l="0" t="0" r="0" b="0"/>
                  <wp:docPr id="7"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2" descr="IMG_256"/>
                          <pic:cNvPicPr>
                            <a:picLocks noChangeAspect="1"/>
                          </pic:cNvPicPr>
                        </pic:nvPicPr>
                        <pic:blipFill>
                          <a:blip r:embed="rId20"/>
                          <a:stretch>
                            <a:fillRect/>
                          </a:stretch>
                        </pic:blipFill>
                        <pic:spPr>
                          <a:xfrm>
                            <a:off x="0" y="0"/>
                            <a:ext cx="2028825" cy="683895"/>
                          </a:xfrm>
                          <a:prstGeom prst="rect">
                            <a:avLst/>
                          </a:prstGeom>
                          <a:noFill/>
                          <a:ln w="9525">
                            <a:noFill/>
                          </a:ln>
                        </pic:spPr>
                      </pic:pic>
                    </a:graphicData>
                  </a:graphic>
                </wp:inline>
              </w:drawing>
            </w:r>
          </w:p>
          <w:p w14:paraId="09A867D3">
            <w:pPr>
              <w:spacing w:line="360" w:lineRule="auto"/>
              <w:ind w:left="105" w:leftChars="50" w:right="105" w:rightChars="50" w:firstLine="480" w:firstLineChars="200"/>
              <w:rPr>
                <w:rFonts w:hint="eastAsia" w:ascii="minorBidi" w:hAnsi="minorBidi"/>
                <w:color w:val="000000"/>
                <w:sz w:val="24"/>
              </w:rPr>
            </w:pPr>
          </w:p>
          <w:p w14:paraId="0636537A">
            <w:pPr>
              <w:spacing w:line="360" w:lineRule="auto"/>
              <w:ind w:left="105" w:leftChars="50" w:right="105" w:rightChars="50" w:firstLine="480" w:firstLineChars="200"/>
              <w:rPr>
                <w:rFonts w:hint="eastAsia" w:ascii="minorBidi" w:hAnsi="minorBidi"/>
                <w:color w:val="000000"/>
                <w:sz w:val="24"/>
              </w:rPr>
            </w:pPr>
          </w:p>
          <w:p w14:paraId="03785BF9">
            <w:pPr>
              <w:spacing w:line="360" w:lineRule="auto"/>
              <w:ind w:left="105" w:leftChars="50" w:right="105" w:rightChars="50" w:firstLine="480" w:firstLineChars="200"/>
              <w:rPr>
                <w:rFonts w:hint="eastAsia" w:ascii="minorBidi" w:hAnsi="minorBidi"/>
                <w:color w:val="000000"/>
                <w:sz w:val="24"/>
              </w:rPr>
            </w:pPr>
          </w:p>
          <w:p w14:paraId="657FB286">
            <w:pPr>
              <w:spacing w:line="360" w:lineRule="auto"/>
              <w:ind w:left="105" w:leftChars="50" w:right="105" w:rightChars="50" w:firstLine="2280" w:firstLineChars="950"/>
              <w:rPr>
                <w:rFonts w:ascii="仿宋" w:hAnsi="仿宋" w:eastAsia="仿宋" w:cs="仿宋"/>
                <w:color w:val="000000"/>
              </w:rPr>
            </w:pPr>
            <w:r>
              <w:rPr>
                <w:rFonts w:hint="eastAsia" w:ascii="仿宋" w:hAnsi="仿宋" w:eastAsia="仿宋" w:cs="仿宋"/>
                <w:color w:val="000000"/>
                <w:sz w:val="24"/>
                <w:lang w:val="en-US" w:eastAsia="zh-CN"/>
              </w:rPr>
              <w:t>2026</w:t>
            </w:r>
            <w:r>
              <w:rPr>
                <w:rFonts w:hint="eastAsia" w:ascii="仿宋" w:hAnsi="仿宋" w:eastAsia="仿宋" w:cs="仿宋"/>
                <w:color w:val="000000"/>
                <w:sz w:val="24"/>
              </w:rPr>
              <w:t>年</w:t>
            </w:r>
            <w:r>
              <w:rPr>
                <w:rFonts w:hint="eastAsia" w:ascii="仿宋" w:hAnsi="仿宋" w:eastAsia="仿宋" w:cs="仿宋"/>
                <w:color w:val="000000"/>
                <w:sz w:val="24"/>
                <w:lang w:val="en-US" w:eastAsia="zh-CN"/>
              </w:rPr>
              <w:t>5</w:t>
            </w:r>
            <w:r>
              <w:rPr>
                <w:rFonts w:hint="eastAsia" w:ascii="仿宋" w:hAnsi="仿宋" w:eastAsia="仿宋" w:cs="仿宋"/>
                <w:color w:val="000000"/>
                <w:sz w:val="24"/>
              </w:rPr>
              <w:t>月</w:t>
            </w:r>
            <w:r>
              <w:rPr>
                <w:rFonts w:hint="eastAsia" w:ascii="仿宋" w:hAnsi="仿宋" w:eastAsia="仿宋" w:cs="仿宋"/>
                <w:color w:val="000000"/>
                <w:sz w:val="24"/>
                <w:lang w:val="en-US" w:eastAsia="zh-CN"/>
              </w:rPr>
              <w:t>9</w:t>
            </w:r>
            <w:r>
              <w:rPr>
                <w:rFonts w:hint="eastAsia" w:ascii="仿宋" w:hAnsi="仿宋" w:eastAsia="仿宋" w:cs="仿宋"/>
                <w:color w:val="000000"/>
                <w:sz w:val="24"/>
              </w:rPr>
              <w:t xml:space="preserve">日                      </w:t>
            </w:r>
            <w:r>
              <w:rPr>
                <w:rFonts w:hint="eastAsia" w:ascii="仿宋" w:hAnsi="仿宋" w:eastAsia="仿宋" w:cs="仿宋"/>
                <w:color w:val="000000"/>
                <w:sz w:val="24"/>
                <w:lang w:val="en-US" w:eastAsia="zh-CN"/>
              </w:rPr>
              <w:t>2026</w:t>
            </w:r>
            <w:r>
              <w:rPr>
                <w:rFonts w:hint="eastAsia" w:ascii="仿宋" w:hAnsi="仿宋" w:eastAsia="仿宋" w:cs="仿宋"/>
                <w:color w:val="000000"/>
                <w:sz w:val="24"/>
              </w:rPr>
              <w:t>年</w:t>
            </w:r>
            <w:r>
              <w:rPr>
                <w:rFonts w:hint="eastAsia" w:ascii="仿宋" w:hAnsi="仿宋" w:eastAsia="仿宋" w:cs="仿宋"/>
                <w:color w:val="000000"/>
                <w:sz w:val="24"/>
                <w:lang w:val="en-US" w:eastAsia="zh-CN"/>
              </w:rPr>
              <w:t>5</w:t>
            </w:r>
            <w:r>
              <w:rPr>
                <w:rFonts w:hint="eastAsia" w:ascii="仿宋" w:hAnsi="仿宋" w:eastAsia="仿宋" w:cs="仿宋"/>
                <w:color w:val="000000"/>
                <w:sz w:val="24"/>
              </w:rPr>
              <w:t>月</w:t>
            </w:r>
            <w:r>
              <w:rPr>
                <w:rFonts w:hint="eastAsia" w:ascii="仿宋" w:hAnsi="仿宋" w:eastAsia="仿宋" w:cs="仿宋"/>
                <w:color w:val="000000"/>
                <w:sz w:val="24"/>
                <w:lang w:val="en-US" w:eastAsia="zh-CN"/>
              </w:rPr>
              <w:t>9</w:t>
            </w:r>
            <w:r>
              <w:rPr>
                <w:rFonts w:hint="eastAsia" w:ascii="仿宋" w:hAnsi="仿宋" w:eastAsia="仿宋" w:cs="仿宋"/>
                <w:color w:val="000000"/>
                <w:sz w:val="24"/>
              </w:rPr>
              <w:t>日</w:t>
            </w:r>
          </w:p>
          <w:p w14:paraId="7B275522">
            <w:pPr>
              <w:spacing w:line="360" w:lineRule="auto"/>
              <w:ind w:left="105" w:leftChars="50" w:right="105" w:rightChars="50" w:firstLine="420" w:firstLineChars="200"/>
              <w:rPr>
                <w:rFonts w:hint="eastAsia" w:ascii="minorBidi" w:hAnsi="minorBidi"/>
                <w:color w:val="000000"/>
              </w:rPr>
            </w:pPr>
          </w:p>
          <w:p w14:paraId="1AEC5CAE">
            <w:pPr>
              <w:ind w:left="105" w:leftChars="50" w:right="105" w:rightChars="50"/>
              <w:jc w:val="center"/>
              <w:rPr>
                <w:rFonts w:eastAsia="Calibri Light"/>
                <w:color w:val="000000"/>
                <w:sz w:val="28"/>
              </w:rPr>
            </w:pPr>
            <w:r>
              <w:rPr>
                <w:rFonts w:hint="eastAsia" w:ascii="仿宋" w:hAnsi="仿宋" w:eastAsia="仿宋"/>
                <w:color w:val="000000"/>
              </w:rPr>
              <w:t>说明：申报者须同意并且遵守以上要求，所有申报者及指导教师须签名确认才能参赛。</w:t>
            </w:r>
          </w:p>
        </w:tc>
      </w:tr>
      <w:tr w14:paraId="5E515B7B">
        <w:tblPrEx>
          <w:tblCellMar>
            <w:top w:w="0" w:type="dxa"/>
            <w:left w:w="28" w:type="dxa"/>
            <w:bottom w:w="0" w:type="dxa"/>
            <w:right w:w="28" w:type="dxa"/>
          </w:tblCellMar>
        </w:tblPrEx>
        <w:trPr>
          <w:cantSplit/>
          <w:trHeight w:val="6173" w:hRule="atLeast"/>
          <w:jc w:val="center"/>
        </w:trPr>
        <w:tc>
          <w:tcPr>
            <w:tcW w:w="9781" w:type="dxa"/>
            <w:tcBorders>
              <w:top w:val="single" w:color="auto" w:sz="4" w:space="0"/>
              <w:left w:val="single" w:color="auto" w:sz="4" w:space="0"/>
              <w:bottom w:val="single" w:color="auto" w:sz="6" w:space="0"/>
              <w:right w:val="single" w:color="auto" w:sz="6" w:space="0"/>
            </w:tcBorders>
            <w:vAlign w:val="center"/>
          </w:tcPr>
          <w:p w14:paraId="51D24F6D">
            <w:pPr>
              <w:ind w:left="105" w:leftChars="50" w:right="105" w:rightChars="50"/>
              <w:jc w:val="center"/>
              <w:rPr>
                <w:rFonts w:hint="eastAsia" w:ascii="仿宋" w:hAnsi="仿宋" w:eastAsia="仿宋"/>
                <w:color w:val="000000"/>
              </w:rPr>
            </w:pPr>
          </w:p>
        </w:tc>
      </w:tr>
    </w:tbl>
    <w:p w14:paraId="00AF7ADC">
      <w:pPr>
        <w:spacing w:after="120" w:afterLines="50"/>
        <w:jc w:val="center"/>
        <w:rPr>
          <w:rFonts w:hint="eastAsia" w:ascii="minorBidi" w:hAnsi="minorBidi"/>
          <w:b/>
          <w:bCs/>
          <w:color w:val="000000"/>
          <w:sz w:val="28"/>
          <w:szCs w:val="28"/>
        </w:rPr>
      </w:pPr>
    </w:p>
    <w:p w14:paraId="0BCF500B">
      <w:pPr>
        <w:widowControl/>
        <w:jc w:val="left"/>
        <w:rPr>
          <w:rFonts w:hint="eastAsia" w:ascii="minorBidi" w:hAnsi="minorBidi"/>
          <w:b/>
          <w:bCs/>
          <w:color w:val="000000"/>
          <w:sz w:val="28"/>
          <w:szCs w:val="28"/>
        </w:rPr>
      </w:pPr>
    </w:p>
    <w:p w14:paraId="5309E096">
      <w:pPr>
        <w:spacing w:after="120" w:afterLines="50"/>
        <w:jc w:val="center"/>
        <w:rPr>
          <w:rFonts w:hint="eastAsia" w:ascii="minorBidi" w:hAnsi="minorBidi"/>
          <w:b/>
          <w:bCs/>
          <w:color w:val="000000"/>
          <w:sz w:val="28"/>
          <w:szCs w:val="28"/>
        </w:rPr>
      </w:pPr>
      <w:r>
        <w:rPr>
          <w:rFonts w:ascii="minorBidi" w:hAnsi="minorBidi"/>
          <w:b/>
          <w:bCs/>
          <w:color w:val="000000"/>
          <w:sz w:val="28"/>
          <w:szCs w:val="28"/>
        </w:rPr>
        <w:t>E</w:t>
      </w:r>
      <w:r>
        <w:rPr>
          <w:rFonts w:hint="eastAsia" w:ascii="minorBidi" w:hAnsi="minorBidi"/>
          <w:b/>
          <w:color w:val="000000"/>
          <w:sz w:val="28"/>
          <w:szCs w:val="28"/>
        </w:rPr>
        <w:t>、</w:t>
      </w:r>
      <w:r>
        <w:rPr>
          <w:rFonts w:hint="eastAsia" w:ascii="minorBidi" w:hAnsi="minorBidi"/>
          <w:b/>
          <w:bCs/>
          <w:color w:val="000000"/>
          <w:sz w:val="28"/>
          <w:szCs w:val="28"/>
        </w:rPr>
        <w:t>资格确认</w:t>
      </w:r>
    </w:p>
    <w:tbl>
      <w:tblPr>
        <w:tblStyle w:val="14"/>
        <w:tblW w:w="97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76"/>
      </w:tblGrid>
      <w:tr w14:paraId="27140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35" w:hRule="atLeast"/>
          <w:jc w:val="center"/>
        </w:trPr>
        <w:tc>
          <w:tcPr>
            <w:tcW w:w="9776" w:type="dxa"/>
            <w:shd w:val="clear" w:color="auto" w:fill="auto"/>
            <w:vAlign w:val="center"/>
          </w:tcPr>
          <w:p w14:paraId="0BBF4463">
            <w:pPr>
              <w:widowControl/>
              <w:autoSpaceDE w:val="0"/>
              <w:autoSpaceDN w:val="0"/>
              <w:ind w:firstLine="210" w:firstLineChars="100"/>
              <w:textAlignment w:val="bottom"/>
              <w:rPr>
                <w:rFonts w:ascii="仿宋" w:hAnsi="仿宋" w:eastAsia="仿宋" w:cs="仿宋"/>
                <w:color w:val="000000"/>
              </w:rPr>
            </w:pPr>
            <w:r>
              <w:rPr>
                <w:rFonts w:hint="eastAsia" w:ascii="仿宋" w:hAnsi="仿宋" w:eastAsia="仿宋" w:cs="仿宋"/>
                <w:color w:val="000000"/>
              </w:rPr>
              <w:t>1．上述申报者均为在校大学生（专科生或本科生、硕士研究生）。</w:t>
            </w:r>
          </w:p>
          <w:p w14:paraId="0F646F2E">
            <w:pPr>
              <w:widowControl/>
              <w:autoSpaceDE w:val="0"/>
              <w:autoSpaceDN w:val="0"/>
              <w:ind w:firstLine="210" w:firstLineChars="100"/>
              <w:textAlignment w:val="bottom"/>
              <w:rPr>
                <w:rFonts w:ascii="仿宋" w:hAnsi="仿宋" w:eastAsia="仿宋" w:cs="仿宋"/>
                <w:color w:val="000000"/>
              </w:rPr>
            </w:pPr>
            <w:r>
              <w:rPr>
                <w:rFonts w:hint="eastAsia" w:ascii="仿宋" w:hAnsi="仿宋" w:eastAsia="仿宋" w:cs="仿宋"/>
                <w:color w:val="000000"/>
              </w:rPr>
              <w:t>2．本项目由申报者于本年度7月1日往前推不超过两年时间内独立（含在指导教师指导下）完成。</w:t>
            </w:r>
          </w:p>
          <w:p w14:paraId="7C30FFF2">
            <w:pPr>
              <w:widowControl/>
              <w:autoSpaceDE w:val="0"/>
              <w:autoSpaceDN w:val="0"/>
              <w:textAlignment w:val="bottom"/>
              <w:rPr>
                <w:rFonts w:ascii="仿宋" w:hAnsi="仿宋" w:eastAsia="仿宋" w:cs="仿宋"/>
                <w:color w:val="000000"/>
              </w:rPr>
            </w:pPr>
          </w:p>
          <w:p w14:paraId="29AA12BD">
            <w:pPr>
              <w:widowControl/>
              <w:autoSpaceDE w:val="0"/>
              <w:autoSpaceDN w:val="0"/>
              <w:textAlignment w:val="bottom"/>
              <w:rPr>
                <w:rFonts w:ascii="仿宋" w:hAnsi="仿宋" w:eastAsia="仿宋" w:cs="仿宋"/>
                <w:color w:val="000000"/>
              </w:rPr>
            </w:pPr>
          </w:p>
          <w:p w14:paraId="71B94A8F">
            <w:pPr>
              <w:widowControl/>
              <w:autoSpaceDE w:val="0"/>
              <w:autoSpaceDN w:val="0"/>
              <w:textAlignment w:val="bottom"/>
              <w:rPr>
                <w:rFonts w:ascii="仿宋" w:hAnsi="仿宋" w:eastAsia="仿宋" w:cs="仿宋"/>
                <w:color w:val="000000"/>
              </w:rPr>
            </w:pPr>
          </w:p>
          <w:p w14:paraId="71BA5913">
            <w:pPr>
              <w:widowControl/>
              <w:autoSpaceDE w:val="0"/>
              <w:autoSpaceDN w:val="0"/>
              <w:textAlignment w:val="bottom"/>
              <w:rPr>
                <w:rFonts w:ascii="仿宋" w:hAnsi="仿宋" w:eastAsia="仿宋" w:cs="仿宋"/>
                <w:color w:val="000000"/>
              </w:rPr>
            </w:pPr>
          </w:p>
          <w:p w14:paraId="02E306DB">
            <w:pPr>
              <w:widowControl/>
              <w:autoSpaceDE w:val="0"/>
              <w:autoSpaceDN w:val="0"/>
              <w:textAlignment w:val="bottom"/>
              <w:rPr>
                <w:rFonts w:ascii="仿宋" w:hAnsi="仿宋" w:eastAsia="仿宋" w:cs="仿宋"/>
                <w:color w:val="000000"/>
              </w:rPr>
            </w:pPr>
          </w:p>
          <w:p w14:paraId="52ABD5AF">
            <w:pPr>
              <w:widowControl/>
              <w:autoSpaceDE w:val="0"/>
              <w:autoSpaceDN w:val="0"/>
              <w:textAlignment w:val="bottom"/>
              <w:rPr>
                <w:rFonts w:ascii="仿宋" w:hAnsi="仿宋" w:eastAsia="仿宋" w:cs="仿宋"/>
                <w:color w:val="000000"/>
              </w:rPr>
            </w:pPr>
          </w:p>
          <w:p w14:paraId="55ED0231">
            <w:pPr>
              <w:widowControl/>
              <w:autoSpaceDE w:val="0"/>
              <w:autoSpaceDN w:val="0"/>
              <w:ind w:firstLine="420" w:firstLineChars="200"/>
              <w:textAlignment w:val="bottom"/>
              <w:rPr>
                <w:rFonts w:ascii="仿宋" w:hAnsi="仿宋" w:eastAsia="仿宋" w:cs="仿宋"/>
                <w:color w:val="000000"/>
              </w:rPr>
            </w:pPr>
            <w:r>
              <w:rPr>
                <w:rFonts w:hint="eastAsia" w:ascii="仿宋" w:hAnsi="仿宋" w:eastAsia="仿宋" w:cs="仿宋"/>
                <w:color w:val="000000"/>
              </w:rPr>
              <w:t>指导教师签名：</w:t>
            </w:r>
            <w:r>
              <w:rPr>
                <w:rFonts w:ascii="宋体" w:hAnsi="宋体" w:eastAsia="宋体" w:cs="宋体"/>
                <w:sz w:val="24"/>
                <w:szCs w:val="24"/>
              </w:rPr>
              <w:drawing>
                <wp:inline distT="0" distB="0" distL="114300" distR="114300">
                  <wp:extent cx="1381125" cy="514350"/>
                  <wp:effectExtent l="0" t="0" r="3175" b="6350"/>
                  <wp:docPr id="10"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4" descr="IMG_256"/>
                          <pic:cNvPicPr>
                            <a:picLocks noChangeAspect="1"/>
                          </pic:cNvPicPr>
                        </pic:nvPicPr>
                        <pic:blipFill>
                          <a:blip r:embed="rId18"/>
                          <a:stretch>
                            <a:fillRect/>
                          </a:stretch>
                        </pic:blipFill>
                        <pic:spPr>
                          <a:xfrm>
                            <a:off x="0" y="0"/>
                            <a:ext cx="1381125" cy="514350"/>
                          </a:xfrm>
                          <a:prstGeom prst="rect">
                            <a:avLst/>
                          </a:prstGeom>
                          <a:noFill/>
                          <a:ln w="9525">
                            <a:noFill/>
                          </a:ln>
                        </pic:spPr>
                      </pic:pic>
                    </a:graphicData>
                  </a:graphic>
                </wp:inline>
              </w:drawing>
            </w:r>
            <w:r>
              <w:rPr>
                <w:rFonts w:hint="eastAsia" w:ascii="仿宋" w:hAnsi="仿宋" w:eastAsia="仿宋" w:cs="仿宋"/>
                <w:color w:val="000000"/>
              </w:rPr>
              <w:t xml:space="preserve">                              （学院盖章）</w:t>
            </w:r>
          </w:p>
          <w:p w14:paraId="4C65D482">
            <w:pPr>
              <w:widowControl/>
              <w:autoSpaceDE w:val="0"/>
              <w:autoSpaceDN w:val="0"/>
              <w:textAlignment w:val="bottom"/>
              <w:rPr>
                <w:rFonts w:ascii="仿宋" w:hAnsi="仿宋" w:eastAsia="仿宋" w:cs="仿宋"/>
                <w:color w:val="000000"/>
              </w:rPr>
            </w:pPr>
          </w:p>
          <w:p w14:paraId="014259AC">
            <w:pPr>
              <w:widowControl/>
              <w:autoSpaceDE w:val="0"/>
              <w:autoSpaceDN w:val="0"/>
              <w:ind w:firstLine="420" w:firstLineChars="200"/>
              <w:textAlignment w:val="bottom"/>
              <w:rPr>
                <w:rFonts w:ascii="仿宋" w:hAnsi="仿宋" w:eastAsia="仿宋" w:cs="仿宋"/>
                <w:color w:val="000000"/>
              </w:rPr>
            </w:pPr>
          </w:p>
          <w:p w14:paraId="7F035817">
            <w:pPr>
              <w:spacing w:line="320" w:lineRule="exact"/>
              <w:ind w:firstLine="3360" w:firstLineChars="1600"/>
              <w:rPr>
                <w:rFonts w:ascii="仿宋" w:hAnsi="仿宋" w:eastAsia="仿宋" w:cs="仿宋"/>
                <w:color w:val="000000"/>
              </w:rPr>
            </w:pPr>
            <w:r>
              <w:rPr>
                <w:rFonts w:hint="eastAsia" w:ascii="仿宋" w:hAnsi="仿宋" w:eastAsia="仿宋" w:cs="仿宋"/>
                <w:color w:val="000000"/>
              </w:rPr>
              <w:t xml:space="preserve">                           </w:t>
            </w:r>
            <w:r>
              <w:rPr>
                <w:rFonts w:hint="eastAsia" w:ascii="仿宋" w:hAnsi="仿宋" w:eastAsia="仿宋" w:cs="仿宋"/>
                <w:color w:val="000000"/>
                <w:lang w:val="en-US" w:eastAsia="zh-CN"/>
              </w:rPr>
              <w:t>2026</w:t>
            </w:r>
            <w:r>
              <w:rPr>
                <w:rFonts w:hint="eastAsia" w:ascii="仿宋" w:hAnsi="仿宋" w:eastAsia="仿宋" w:cs="仿宋"/>
                <w:color w:val="000000"/>
              </w:rPr>
              <w:t xml:space="preserve">年  </w:t>
            </w:r>
            <w:r>
              <w:rPr>
                <w:rFonts w:hint="eastAsia" w:ascii="仿宋" w:hAnsi="仿宋" w:eastAsia="仿宋" w:cs="仿宋"/>
                <w:color w:val="000000"/>
                <w:lang w:val="en-US" w:eastAsia="zh-CN"/>
              </w:rPr>
              <w:t>5</w:t>
            </w:r>
            <w:r>
              <w:rPr>
                <w:rFonts w:hint="eastAsia" w:ascii="仿宋" w:hAnsi="仿宋" w:eastAsia="仿宋" w:cs="仿宋"/>
                <w:color w:val="000000"/>
              </w:rPr>
              <w:t xml:space="preserve">月 </w:t>
            </w:r>
            <w:r>
              <w:rPr>
                <w:rFonts w:hint="eastAsia" w:ascii="仿宋" w:hAnsi="仿宋" w:eastAsia="仿宋" w:cs="仿宋"/>
                <w:color w:val="000000"/>
                <w:lang w:val="en-US" w:eastAsia="zh-CN"/>
              </w:rPr>
              <w:t>11</w:t>
            </w:r>
            <w:r>
              <w:rPr>
                <w:rFonts w:hint="eastAsia" w:ascii="仿宋" w:hAnsi="仿宋" w:eastAsia="仿宋" w:cs="仿宋"/>
                <w:color w:val="000000"/>
              </w:rPr>
              <w:t>日</w:t>
            </w:r>
          </w:p>
          <w:p w14:paraId="189E1B87">
            <w:pPr>
              <w:spacing w:line="320" w:lineRule="exact"/>
              <w:ind w:firstLine="420" w:firstLineChars="200"/>
              <w:rPr>
                <w:rFonts w:ascii="仿宋" w:hAnsi="仿宋" w:eastAsia="仿宋" w:cs="仿宋"/>
                <w:color w:val="000000"/>
              </w:rPr>
            </w:pPr>
          </w:p>
          <w:p w14:paraId="1AA96C99">
            <w:pPr>
              <w:spacing w:line="320" w:lineRule="exact"/>
              <w:ind w:firstLine="420" w:firstLineChars="200"/>
              <w:rPr>
                <w:rFonts w:eastAsia="Calibri Light"/>
                <w:bCs/>
                <w:color w:val="000000"/>
                <w:szCs w:val="21"/>
              </w:rPr>
            </w:pPr>
          </w:p>
        </w:tc>
      </w:tr>
    </w:tbl>
    <w:p w14:paraId="56F68214">
      <w:pPr>
        <w:spacing w:line="560" w:lineRule="exact"/>
        <w:ind w:firstLine="640" w:firstLineChars="200"/>
        <w:rPr>
          <w:rFonts w:ascii="仿宋_GB2312" w:eastAsia="仿宋_GB2312"/>
          <w:sz w:val="32"/>
          <w:szCs w:val="32"/>
        </w:rPr>
        <w:sectPr>
          <w:headerReference r:id="rId9" w:type="first"/>
          <w:headerReference r:id="rId7" w:type="default"/>
          <w:headerReference r:id="rId8" w:type="even"/>
          <w:pgSz w:w="11906" w:h="16838"/>
          <w:pgMar w:top="1361" w:right="1134" w:bottom="1361" w:left="1134" w:header="851" w:footer="851" w:gutter="0"/>
          <w:cols w:space="425" w:num="1"/>
        </w:sectPr>
      </w:pPr>
    </w:p>
    <w:p w14:paraId="3501CB75">
      <w:pPr>
        <w:rPr>
          <w:rFonts w:ascii="宋体" w:hAnsi="宋体"/>
          <w:b/>
          <w:color w:val="000000"/>
          <w:sz w:val="44"/>
          <w:szCs w:val="44"/>
        </w:rPr>
      </w:pPr>
    </w:p>
    <w:p w14:paraId="11DBDE03">
      <w:pPr>
        <w:jc w:val="center"/>
        <w:rPr>
          <w:rFonts w:ascii="宋体" w:hAnsi="宋体"/>
          <w:b/>
          <w:color w:val="000000"/>
          <w:sz w:val="44"/>
          <w:szCs w:val="44"/>
        </w:rPr>
      </w:pPr>
    </w:p>
    <w:p w14:paraId="3950CD23">
      <w:pPr>
        <w:jc w:val="center"/>
        <w:rPr>
          <w:rFonts w:ascii="宋体" w:hAnsi="宋体"/>
          <w:b/>
          <w:color w:val="000000"/>
          <w:sz w:val="44"/>
          <w:szCs w:val="44"/>
        </w:rPr>
      </w:pPr>
      <w:r>
        <w:rPr>
          <w:rFonts w:hint="eastAsia" w:ascii="宋体" w:hAnsi="宋体"/>
          <w:b/>
          <w:color w:val="000000"/>
          <w:sz w:val="44"/>
          <w:szCs w:val="44"/>
        </w:rPr>
        <w:t>中国机器人及人工智能创新大赛</w:t>
      </w:r>
    </w:p>
    <w:p w14:paraId="4084AB72">
      <w:pPr>
        <w:jc w:val="center"/>
        <w:rPr>
          <w:rFonts w:ascii="宋体" w:hAnsi="宋体"/>
          <w:b/>
          <w:color w:val="000000"/>
          <w:sz w:val="44"/>
          <w:szCs w:val="44"/>
        </w:rPr>
      </w:pPr>
      <w:r>
        <w:rPr>
          <w:rFonts w:hint="eastAsia" w:ascii="宋体" w:hAnsi="宋体"/>
          <w:b/>
          <w:color w:val="000000"/>
          <w:sz w:val="44"/>
          <w:szCs w:val="44"/>
        </w:rPr>
        <w:t>查新报告</w:t>
      </w:r>
    </w:p>
    <w:p w14:paraId="7961485F">
      <w:pPr>
        <w:jc w:val="center"/>
        <w:rPr>
          <w:rFonts w:ascii="宋体" w:hAnsi="宋体"/>
          <w:b/>
          <w:color w:val="000000"/>
          <w:sz w:val="36"/>
          <w:szCs w:val="36"/>
        </w:rPr>
      </w:pPr>
    </w:p>
    <w:p w14:paraId="26C6E026">
      <w:pPr>
        <w:ind w:firstLine="1485"/>
        <w:rPr>
          <w:rFonts w:ascii="宋体" w:hAnsi="宋体"/>
          <w:color w:val="000000"/>
          <w:sz w:val="28"/>
        </w:rPr>
      </w:pPr>
    </w:p>
    <w:p w14:paraId="53E49A63">
      <w:pPr>
        <w:ind w:firstLine="1485"/>
        <w:rPr>
          <w:rFonts w:ascii="宋体" w:hAnsi="宋体"/>
          <w:color w:val="000000"/>
          <w:sz w:val="28"/>
        </w:rPr>
      </w:pPr>
    </w:p>
    <w:p w14:paraId="15D14918">
      <w:pPr>
        <w:ind w:left="2883" w:leftChars="706" w:hanging="1400" w:hangingChars="500"/>
        <w:rPr>
          <w:rFonts w:ascii="宋体" w:hAnsi="宋体"/>
          <w:color w:val="000000"/>
          <w:sz w:val="28"/>
        </w:rPr>
      </w:pPr>
      <w:r>
        <w:rPr>
          <w:rFonts w:hint="eastAsia" w:ascii="宋体" w:hAnsi="宋体"/>
          <w:color w:val="000000"/>
          <w:sz w:val="28"/>
        </w:rPr>
        <w:t>项目名称：智策惠民——基于大模型与证据链取证的政务资格审核系统</w:t>
      </w:r>
    </w:p>
    <w:p w14:paraId="20C2BD69">
      <w:pPr>
        <w:ind w:firstLine="1485"/>
        <w:rPr>
          <w:rFonts w:ascii="宋体" w:hAnsi="宋体"/>
          <w:color w:val="000000"/>
          <w:sz w:val="28"/>
        </w:rPr>
      </w:pPr>
    </w:p>
    <w:p w14:paraId="71C1EF52">
      <w:pPr>
        <w:ind w:firstLine="1485"/>
        <w:rPr>
          <w:rFonts w:ascii="宋体" w:hAnsi="宋体"/>
          <w:color w:val="000000"/>
          <w:sz w:val="28"/>
        </w:rPr>
      </w:pPr>
      <w:r>
        <w:rPr>
          <w:rFonts w:hint="eastAsia" w:ascii="宋体" w:hAnsi="宋体"/>
          <w:color w:val="000000"/>
          <w:sz w:val="28"/>
        </w:rPr>
        <w:t>项目作者：韩显 魏家昕 谢蕊</w:t>
      </w:r>
    </w:p>
    <w:p w14:paraId="3648206A">
      <w:pPr>
        <w:ind w:firstLine="1485"/>
        <w:rPr>
          <w:rFonts w:ascii="宋体" w:hAnsi="宋体"/>
          <w:color w:val="000000"/>
          <w:sz w:val="28"/>
        </w:rPr>
      </w:pPr>
    </w:p>
    <w:p w14:paraId="7B3770DF">
      <w:pPr>
        <w:ind w:firstLine="1485"/>
        <w:rPr>
          <w:rFonts w:hint="default" w:ascii="宋体" w:hAnsi="宋体" w:eastAsia="黑体"/>
          <w:color w:val="000000"/>
          <w:sz w:val="28"/>
          <w:lang w:val="en-US" w:eastAsia="zh-CN"/>
        </w:rPr>
      </w:pPr>
      <w:r>
        <w:rPr>
          <w:rFonts w:hint="eastAsia" w:ascii="宋体" w:hAnsi="宋体"/>
          <w:color w:val="000000"/>
          <w:sz w:val="28"/>
        </w:rPr>
        <w:t>查新完成日期：</w:t>
      </w:r>
      <w:r>
        <w:rPr>
          <w:rFonts w:hint="eastAsia" w:ascii="宋体" w:hAnsi="宋体"/>
          <w:color w:val="000000"/>
          <w:sz w:val="28"/>
          <w:lang w:val="en-US" w:eastAsia="zh-CN"/>
        </w:rPr>
        <w:t>2026.05.10</w:t>
      </w:r>
    </w:p>
    <w:p w14:paraId="6BF6C11B">
      <w:pPr>
        <w:ind w:firstLine="1485"/>
        <w:rPr>
          <w:rFonts w:ascii="宋体" w:hAnsi="宋体"/>
          <w:color w:val="000000"/>
          <w:sz w:val="28"/>
        </w:rPr>
      </w:pPr>
    </w:p>
    <w:p w14:paraId="7FBCEEF6">
      <w:pPr>
        <w:ind w:firstLine="1485"/>
        <w:rPr>
          <w:rFonts w:ascii="宋体" w:hAnsi="宋体"/>
          <w:color w:val="000000"/>
          <w:sz w:val="28"/>
        </w:rPr>
      </w:pPr>
    </w:p>
    <w:p w14:paraId="494D496A">
      <w:pPr>
        <w:spacing w:line="360" w:lineRule="exact"/>
        <w:jc w:val="center"/>
        <w:rPr>
          <w:rFonts w:ascii="仿宋" w:hAnsi="仿宋" w:eastAsia="仿宋" w:cs="仿宋"/>
          <w:color w:val="000000"/>
          <w:sz w:val="30"/>
        </w:rPr>
      </w:pPr>
      <w:r>
        <w:rPr>
          <w:rFonts w:ascii="黑体" w:hAnsi="宋体" w:eastAsia="黑体"/>
          <w:color w:val="000000"/>
          <w:sz w:val="28"/>
        </w:rPr>
        <w:br w:type="page"/>
      </w:r>
      <w:r>
        <w:rPr>
          <w:rFonts w:hint="eastAsia" w:ascii="仿宋" w:hAnsi="仿宋" w:eastAsia="仿宋" w:cs="仿宋"/>
          <w:color w:val="000000"/>
          <w:sz w:val="30"/>
        </w:rPr>
        <w:t>填写说明</w:t>
      </w:r>
    </w:p>
    <w:p w14:paraId="58832D08">
      <w:pPr>
        <w:spacing w:line="360" w:lineRule="exact"/>
        <w:ind w:firstLine="425"/>
        <w:rPr>
          <w:rFonts w:ascii="仿宋" w:hAnsi="仿宋" w:eastAsia="仿宋" w:cs="仿宋"/>
          <w:b/>
          <w:bCs/>
          <w:color w:val="000000"/>
        </w:rPr>
      </w:pPr>
      <w:r>
        <w:rPr>
          <w:rFonts w:hint="eastAsia" w:ascii="仿宋" w:hAnsi="仿宋" w:eastAsia="仿宋" w:cs="仿宋"/>
          <w:b/>
          <w:bCs/>
          <w:color w:val="000000"/>
        </w:rPr>
        <w:t>一、查新报告</w:t>
      </w:r>
    </w:p>
    <w:p w14:paraId="48E10F46">
      <w:pPr>
        <w:spacing w:line="360" w:lineRule="exact"/>
        <w:ind w:firstLine="425"/>
        <w:rPr>
          <w:rFonts w:ascii="仿宋" w:hAnsi="仿宋" w:eastAsia="仿宋" w:cs="仿宋"/>
          <w:color w:val="000000"/>
        </w:rPr>
      </w:pPr>
      <w:r>
        <w:rPr>
          <w:rFonts w:hint="eastAsia" w:ascii="仿宋" w:hAnsi="仿宋" w:eastAsia="仿宋" w:cs="仿宋"/>
          <w:color w:val="000000"/>
        </w:rPr>
        <w:t>查新报告是查新者用书面形式就查新情况及其结论所做的正式陈述。</w:t>
      </w:r>
    </w:p>
    <w:p w14:paraId="36E1697E">
      <w:pPr>
        <w:spacing w:before="60" w:line="360" w:lineRule="exact"/>
        <w:ind w:firstLine="425"/>
        <w:rPr>
          <w:rFonts w:ascii="仿宋" w:hAnsi="仿宋" w:eastAsia="仿宋" w:cs="仿宋"/>
          <w:b/>
          <w:bCs/>
          <w:color w:val="000000"/>
        </w:rPr>
      </w:pPr>
      <w:r>
        <w:rPr>
          <w:rFonts w:hint="eastAsia" w:ascii="仿宋" w:hAnsi="仿宋" w:eastAsia="仿宋" w:cs="仿宋"/>
          <w:b/>
          <w:bCs/>
          <w:color w:val="000000"/>
        </w:rPr>
        <w:t>二、查新报告格式说明</w:t>
      </w:r>
    </w:p>
    <w:p w14:paraId="68FFAC48">
      <w:pPr>
        <w:spacing w:line="360" w:lineRule="exact"/>
        <w:ind w:firstLine="425"/>
        <w:rPr>
          <w:rFonts w:ascii="仿宋" w:hAnsi="仿宋" w:eastAsia="仿宋" w:cs="仿宋"/>
          <w:color w:val="000000"/>
        </w:rPr>
      </w:pPr>
      <w:r>
        <w:rPr>
          <w:rFonts w:hint="eastAsia" w:ascii="仿宋" w:hAnsi="仿宋" w:eastAsia="仿宋" w:cs="仿宋"/>
          <w:color w:val="000000"/>
        </w:rPr>
        <w:t>本报告采用A4纸，每栏的大小可随内容调整。</w:t>
      </w:r>
    </w:p>
    <w:p w14:paraId="4F8DD259">
      <w:pPr>
        <w:spacing w:before="60" w:line="360" w:lineRule="exact"/>
        <w:ind w:firstLine="425"/>
        <w:rPr>
          <w:rFonts w:ascii="仿宋" w:hAnsi="仿宋" w:eastAsia="仿宋" w:cs="仿宋"/>
          <w:b/>
          <w:bCs/>
          <w:color w:val="000000"/>
        </w:rPr>
      </w:pPr>
      <w:r>
        <w:rPr>
          <w:rFonts w:hint="eastAsia" w:ascii="仿宋" w:hAnsi="仿宋" w:eastAsia="仿宋" w:cs="仿宋"/>
          <w:b/>
          <w:bCs/>
          <w:color w:val="000000"/>
        </w:rPr>
        <w:t>三、报告内容应当打印，签字使用钢笔或者碳素笔。</w:t>
      </w:r>
    </w:p>
    <w:p w14:paraId="5213175C">
      <w:pPr>
        <w:spacing w:before="60" w:line="360" w:lineRule="exact"/>
        <w:ind w:firstLine="425"/>
        <w:rPr>
          <w:rFonts w:ascii="仿宋" w:hAnsi="仿宋" w:eastAsia="仿宋" w:cs="仿宋"/>
          <w:b/>
          <w:bCs/>
          <w:color w:val="000000"/>
        </w:rPr>
      </w:pPr>
      <w:r>
        <w:rPr>
          <w:rFonts w:hint="eastAsia" w:ascii="仿宋" w:hAnsi="仿宋" w:eastAsia="仿宋" w:cs="仿宋"/>
          <w:b/>
          <w:bCs/>
          <w:color w:val="000000"/>
        </w:rPr>
        <w:t>四、查新点与查新要求</w:t>
      </w:r>
    </w:p>
    <w:p w14:paraId="2B56FDFE">
      <w:pPr>
        <w:spacing w:before="60" w:line="360" w:lineRule="exact"/>
        <w:ind w:firstLine="422" w:firstLineChars="200"/>
        <w:rPr>
          <w:rFonts w:ascii="仿宋" w:hAnsi="仿宋" w:eastAsia="仿宋" w:cs="仿宋"/>
          <w:color w:val="000000"/>
        </w:rPr>
      </w:pPr>
      <w:r>
        <w:rPr>
          <w:rFonts w:hint="eastAsia" w:ascii="仿宋" w:hAnsi="仿宋" w:eastAsia="仿宋" w:cs="仿宋"/>
          <w:b/>
          <w:bCs/>
          <w:color w:val="000000"/>
        </w:rPr>
        <w:t>查新点：</w:t>
      </w:r>
      <w:r>
        <w:rPr>
          <w:rFonts w:hint="eastAsia" w:ascii="仿宋" w:hAnsi="仿宋" w:eastAsia="仿宋" w:cs="仿宋"/>
          <w:color w:val="000000"/>
        </w:rPr>
        <w:t>是指需要查证的内容要点。</w:t>
      </w:r>
    </w:p>
    <w:p w14:paraId="113670CE">
      <w:pPr>
        <w:spacing w:before="60" w:line="360" w:lineRule="exact"/>
        <w:ind w:firstLine="422" w:firstLineChars="200"/>
        <w:rPr>
          <w:rFonts w:ascii="仿宋" w:hAnsi="仿宋" w:eastAsia="仿宋" w:cs="仿宋"/>
          <w:color w:val="000000"/>
        </w:rPr>
      </w:pPr>
      <w:r>
        <w:rPr>
          <w:rFonts w:hint="eastAsia" w:ascii="仿宋" w:hAnsi="仿宋" w:eastAsia="仿宋" w:cs="仿宋"/>
          <w:b/>
          <w:bCs/>
          <w:color w:val="000000"/>
        </w:rPr>
        <w:t>查新要求：</w:t>
      </w:r>
      <w:r>
        <w:rPr>
          <w:rFonts w:hint="eastAsia" w:ascii="仿宋" w:hAnsi="仿宋" w:eastAsia="仿宋" w:cs="仿宋"/>
          <w:color w:val="000000"/>
        </w:rPr>
        <w:t>（1）通过查新，证明在所查范围内有无相同或类似研究；（2）对查新项目分别或综合进行对比分析；（3）对查新项目的新颖性做出判断。</w:t>
      </w:r>
    </w:p>
    <w:p w14:paraId="09262F23">
      <w:pPr>
        <w:spacing w:before="60" w:line="360" w:lineRule="exact"/>
        <w:ind w:firstLine="425"/>
        <w:rPr>
          <w:rFonts w:ascii="仿宋" w:hAnsi="仿宋" w:eastAsia="仿宋" w:cs="仿宋"/>
          <w:b/>
          <w:bCs/>
          <w:color w:val="000000"/>
        </w:rPr>
      </w:pPr>
      <w:r>
        <w:rPr>
          <w:rFonts w:hint="eastAsia" w:ascii="仿宋" w:hAnsi="仿宋" w:eastAsia="仿宋" w:cs="仿宋"/>
          <w:b/>
          <w:bCs/>
          <w:color w:val="000000"/>
        </w:rPr>
        <w:t>五、文献检索范围及检索策略</w:t>
      </w:r>
    </w:p>
    <w:p w14:paraId="1EC6695A">
      <w:pPr>
        <w:pStyle w:val="4"/>
        <w:spacing w:line="360" w:lineRule="exact"/>
        <w:ind w:firstLine="425"/>
        <w:rPr>
          <w:rFonts w:ascii="仿宋" w:hAnsi="仿宋" w:eastAsia="仿宋" w:cs="仿宋"/>
          <w:color w:val="000000"/>
        </w:rPr>
      </w:pPr>
      <w:r>
        <w:rPr>
          <w:rFonts w:hint="eastAsia" w:ascii="仿宋" w:hAnsi="仿宋" w:eastAsia="仿宋" w:cs="仿宋"/>
          <w:color w:val="000000"/>
        </w:rPr>
        <w:t>应当列出对查新项目进行分析后所确定的手工检索的工具书、年限、主题词、分类号和计算机检索系统、数据库、文档、年限、检索词等。</w:t>
      </w:r>
    </w:p>
    <w:p w14:paraId="5B6FEA7F">
      <w:pPr>
        <w:spacing w:before="60" w:line="360" w:lineRule="exact"/>
        <w:ind w:firstLine="425"/>
        <w:rPr>
          <w:rFonts w:ascii="仿宋" w:hAnsi="仿宋" w:eastAsia="仿宋" w:cs="仿宋"/>
          <w:b/>
          <w:bCs/>
          <w:color w:val="000000"/>
          <w:szCs w:val="20"/>
        </w:rPr>
      </w:pPr>
      <w:r>
        <w:rPr>
          <w:rFonts w:hint="eastAsia" w:ascii="仿宋" w:hAnsi="仿宋" w:eastAsia="仿宋" w:cs="仿宋"/>
          <w:b/>
          <w:bCs/>
          <w:color w:val="000000"/>
          <w:szCs w:val="20"/>
        </w:rPr>
        <w:t>六、检索结果</w:t>
      </w:r>
    </w:p>
    <w:p w14:paraId="26CAA789">
      <w:pPr>
        <w:pStyle w:val="4"/>
        <w:spacing w:line="360" w:lineRule="exact"/>
        <w:ind w:firstLine="425"/>
        <w:rPr>
          <w:rFonts w:ascii="仿宋" w:hAnsi="仿宋" w:eastAsia="仿宋" w:cs="仿宋"/>
          <w:color w:val="000000"/>
        </w:rPr>
      </w:pPr>
      <w:r>
        <w:rPr>
          <w:rFonts w:hint="eastAsia" w:ascii="仿宋" w:hAnsi="仿宋" w:eastAsia="仿宋" w:cs="仿宋"/>
          <w:color w:val="000000"/>
        </w:rPr>
        <w:t>检索结果应当反映出通过对所检数据库和工具书命中的相关文献情况及对相关文献的主要论点进行对比分析的客观情况。</w:t>
      </w:r>
    </w:p>
    <w:p w14:paraId="42EE2A79">
      <w:pPr>
        <w:pStyle w:val="4"/>
        <w:spacing w:line="360" w:lineRule="exact"/>
        <w:ind w:firstLine="425"/>
        <w:rPr>
          <w:rFonts w:ascii="仿宋" w:hAnsi="仿宋" w:eastAsia="仿宋" w:cs="仿宋"/>
          <w:b/>
          <w:color w:val="000000"/>
        </w:rPr>
      </w:pPr>
      <w:r>
        <w:rPr>
          <w:rFonts w:hint="eastAsia" w:ascii="仿宋" w:hAnsi="仿宋" w:eastAsia="仿宋" w:cs="仿宋"/>
          <w:b/>
          <w:color w:val="000000"/>
        </w:rPr>
        <w:t>检索结果应当包括下列内容：</w:t>
      </w:r>
    </w:p>
    <w:p w14:paraId="54B2540A">
      <w:pPr>
        <w:pStyle w:val="4"/>
        <w:spacing w:line="360" w:lineRule="exact"/>
        <w:ind w:firstLine="425"/>
        <w:rPr>
          <w:rFonts w:ascii="仿宋" w:hAnsi="仿宋" w:eastAsia="仿宋" w:cs="仿宋"/>
          <w:color w:val="000000"/>
        </w:rPr>
      </w:pPr>
      <w:r>
        <w:rPr>
          <w:rFonts w:hint="eastAsia" w:ascii="仿宋" w:hAnsi="仿宋" w:eastAsia="仿宋" w:cs="仿宋"/>
          <w:color w:val="000000"/>
        </w:rPr>
        <w:t>①对所检数据库和工具书命中的相关文献情况进行简单描述；</w:t>
      </w:r>
    </w:p>
    <w:p w14:paraId="0C45216E">
      <w:pPr>
        <w:pStyle w:val="4"/>
        <w:spacing w:line="360" w:lineRule="exact"/>
        <w:ind w:firstLine="425"/>
        <w:rPr>
          <w:rFonts w:ascii="仿宋" w:hAnsi="仿宋" w:eastAsia="仿宋" w:cs="仿宋"/>
          <w:color w:val="000000"/>
        </w:rPr>
      </w:pPr>
      <w:r>
        <w:rPr>
          <w:rFonts w:hint="eastAsia" w:ascii="仿宋" w:hAnsi="仿宋" w:eastAsia="仿宋" w:cs="仿宋"/>
          <w:color w:val="000000"/>
        </w:rPr>
        <w:t>②依据检出文献的相关程度</w:t>
      </w:r>
    </w:p>
    <w:p w14:paraId="1FE57A16">
      <w:pPr>
        <w:pStyle w:val="4"/>
        <w:spacing w:line="360" w:lineRule="exact"/>
        <w:ind w:firstLine="425"/>
        <w:rPr>
          <w:rFonts w:ascii="仿宋" w:hAnsi="仿宋" w:eastAsia="仿宋" w:cs="仿宋"/>
          <w:color w:val="000000"/>
        </w:rPr>
      </w:pPr>
      <w:r>
        <w:rPr>
          <w:rFonts w:hint="eastAsia" w:ascii="仿宋" w:hAnsi="仿宋" w:eastAsia="仿宋" w:cs="仿宋"/>
          <w:color w:val="000000"/>
        </w:rPr>
        <w:t>③对所列主要相关文献进行简要描述（一般可用原文中的摘要或者利用原文中的摘要进行抽提），对于密切相关文献，可节录部分原文并提供原文的复印件作为附录</w:t>
      </w:r>
    </w:p>
    <w:p w14:paraId="1ACDCF28">
      <w:pPr>
        <w:spacing w:before="60" w:line="360" w:lineRule="exact"/>
        <w:ind w:firstLine="425"/>
        <w:rPr>
          <w:rFonts w:ascii="仿宋" w:hAnsi="仿宋" w:eastAsia="仿宋" w:cs="仿宋"/>
          <w:b/>
          <w:bCs/>
          <w:color w:val="000000"/>
        </w:rPr>
      </w:pPr>
      <w:r>
        <w:rPr>
          <w:rFonts w:hint="eastAsia" w:ascii="仿宋" w:hAnsi="仿宋" w:eastAsia="仿宋" w:cs="仿宋"/>
          <w:b/>
          <w:bCs/>
          <w:color w:val="000000"/>
        </w:rPr>
        <w:t>七、查新结论</w:t>
      </w:r>
    </w:p>
    <w:p w14:paraId="7CD28304">
      <w:pPr>
        <w:pStyle w:val="4"/>
        <w:spacing w:line="360" w:lineRule="exact"/>
        <w:ind w:firstLine="425"/>
        <w:rPr>
          <w:rFonts w:ascii="仿宋" w:hAnsi="仿宋" w:eastAsia="仿宋" w:cs="仿宋"/>
          <w:color w:val="000000"/>
        </w:rPr>
      </w:pPr>
      <w:r>
        <w:rPr>
          <w:rFonts w:hint="eastAsia" w:ascii="仿宋" w:hAnsi="仿宋" w:eastAsia="仿宋" w:cs="仿宋"/>
          <w:color w:val="000000"/>
        </w:rPr>
        <w:t>查新结论应当客观、公正、准确、清晰地反映查新项目的真实情况，不得误导。查新结论应当包括下列内容：</w:t>
      </w:r>
    </w:p>
    <w:p w14:paraId="0A8CC793">
      <w:pPr>
        <w:pStyle w:val="4"/>
        <w:spacing w:line="360" w:lineRule="exact"/>
        <w:ind w:firstLine="425"/>
        <w:rPr>
          <w:rFonts w:ascii="仿宋" w:hAnsi="仿宋" w:eastAsia="仿宋" w:cs="仿宋"/>
          <w:color w:val="000000"/>
        </w:rPr>
      </w:pPr>
      <w:r>
        <w:rPr>
          <w:rFonts w:hint="eastAsia" w:ascii="仿宋" w:hAnsi="仿宋" w:eastAsia="仿宋" w:cs="仿宋"/>
          <w:color w:val="000000"/>
        </w:rPr>
        <w:t>①相关文献检出情况；</w:t>
      </w:r>
    </w:p>
    <w:p w14:paraId="0193858D">
      <w:pPr>
        <w:pStyle w:val="4"/>
        <w:spacing w:line="360" w:lineRule="exact"/>
        <w:ind w:firstLine="425"/>
        <w:rPr>
          <w:rFonts w:ascii="仿宋" w:hAnsi="仿宋" w:eastAsia="仿宋" w:cs="仿宋"/>
          <w:color w:val="000000"/>
        </w:rPr>
      </w:pPr>
      <w:r>
        <w:rPr>
          <w:rFonts w:hint="eastAsia" w:ascii="仿宋" w:hAnsi="仿宋" w:eastAsia="仿宋" w:cs="仿宋"/>
          <w:color w:val="000000"/>
        </w:rPr>
        <w:t>②检索结果与查新项目的要点的比较分析；</w:t>
      </w:r>
    </w:p>
    <w:p w14:paraId="0997B042">
      <w:pPr>
        <w:pStyle w:val="4"/>
        <w:spacing w:line="360" w:lineRule="exact"/>
        <w:ind w:firstLine="425"/>
        <w:rPr>
          <w:rFonts w:ascii="仿宋" w:hAnsi="仿宋" w:eastAsia="仿宋" w:cs="仿宋"/>
          <w:color w:val="000000"/>
        </w:rPr>
      </w:pPr>
      <w:r>
        <w:rPr>
          <w:rFonts w:hint="eastAsia" w:ascii="仿宋" w:hAnsi="仿宋" w:eastAsia="仿宋" w:cs="仿宋"/>
          <w:color w:val="000000"/>
        </w:rPr>
        <w:t>③对查新项目新颖性的判断结论。</w:t>
      </w:r>
    </w:p>
    <w:p w14:paraId="6776EB8C">
      <w:pPr>
        <w:pStyle w:val="4"/>
        <w:spacing w:line="360" w:lineRule="exact"/>
        <w:ind w:firstLine="425"/>
        <w:rPr>
          <w:rFonts w:ascii="仿宋" w:hAnsi="仿宋" w:eastAsia="仿宋" w:cs="仿宋"/>
          <w:b/>
          <w:bCs/>
          <w:color w:val="000000"/>
        </w:rPr>
      </w:pPr>
      <w:r>
        <w:rPr>
          <w:rFonts w:hint="eastAsia" w:ascii="仿宋" w:hAnsi="仿宋" w:eastAsia="仿宋" w:cs="仿宋"/>
          <w:b/>
          <w:bCs/>
          <w:color w:val="000000"/>
        </w:rPr>
        <w:t>八、申报者本人、所在学院的查新声明</w:t>
      </w:r>
    </w:p>
    <w:p w14:paraId="2C778EDC">
      <w:pPr>
        <w:pStyle w:val="4"/>
        <w:spacing w:line="360" w:lineRule="exact"/>
        <w:ind w:firstLine="425"/>
        <w:rPr>
          <w:rFonts w:ascii="仿宋" w:hAnsi="仿宋" w:eastAsia="仿宋" w:cs="仿宋"/>
          <w:color w:val="000000"/>
        </w:rPr>
      </w:pPr>
      <w:r>
        <w:rPr>
          <w:rFonts w:hint="eastAsia" w:ascii="仿宋" w:hAnsi="仿宋" w:eastAsia="仿宋" w:cs="仿宋"/>
          <w:color w:val="000000"/>
        </w:rPr>
        <w:t>查新报告应当包括经申报者本人、所在学院的查新声明。声明的内容可以参考下面的内容进行撰写。</w:t>
      </w:r>
    </w:p>
    <w:p w14:paraId="1399C15D">
      <w:pPr>
        <w:pStyle w:val="4"/>
        <w:spacing w:line="360" w:lineRule="exact"/>
        <w:ind w:firstLine="425"/>
        <w:rPr>
          <w:rFonts w:ascii="仿宋" w:hAnsi="仿宋" w:eastAsia="仿宋" w:cs="仿宋"/>
          <w:color w:val="000000"/>
        </w:rPr>
      </w:pPr>
      <w:r>
        <w:rPr>
          <w:rFonts w:hint="eastAsia" w:ascii="仿宋" w:hAnsi="仿宋" w:eastAsia="仿宋" w:cs="仿宋"/>
          <w:color w:val="000000"/>
        </w:rPr>
        <w:t>（１）报告中陈述的事实是真实和准确的。</w:t>
      </w:r>
    </w:p>
    <w:p w14:paraId="29CFC4BC">
      <w:pPr>
        <w:pStyle w:val="4"/>
        <w:spacing w:line="360" w:lineRule="exact"/>
        <w:ind w:firstLine="425"/>
        <w:rPr>
          <w:rFonts w:ascii="仿宋" w:hAnsi="仿宋" w:eastAsia="仿宋" w:cs="仿宋"/>
          <w:color w:val="000000"/>
        </w:rPr>
      </w:pPr>
      <w:r>
        <w:rPr>
          <w:rFonts w:hint="eastAsia" w:ascii="仿宋" w:hAnsi="仿宋" w:eastAsia="仿宋" w:cs="仿宋"/>
          <w:color w:val="000000"/>
        </w:rPr>
        <w:t>（２）我们按照项目查新规范进行查新、文献分析和审核，并做出上述查新结论。</w:t>
      </w:r>
    </w:p>
    <w:p w14:paraId="52CC06EE">
      <w:pPr>
        <w:pStyle w:val="4"/>
        <w:spacing w:line="360" w:lineRule="exact"/>
        <w:ind w:firstLine="425"/>
        <w:rPr>
          <w:rFonts w:ascii="仿宋" w:hAnsi="仿宋" w:eastAsia="仿宋" w:cs="仿宋"/>
          <w:b/>
          <w:bCs/>
          <w:color w:val="000000"/>
        </w:rPr>
      </w:pPr>
      <w:r>
        <w:rPr>
          <w:rFonts w:hint="eastAsia" w:ascii="仿宋" w:hAnsi="仿宋" w:eastAsia="仿宋" w:cs="仿宋"/>
          <w:b/>
          <w:bCs/>
          <w:color w:val="000000"/>
        </w:rPr>
        <w:t>九、附件</w:t>
      </w:r>
    </w:p>
    <w:p w14:paraId="6604D28A">
      <w:pPr>
        <w:pStyle w:val="4"/>
        <w:spacing w:line="360" w:lineRule="exact"/>
        <w:rPr>
          <w:rFonts w:ascii="仿宋" w:hAnsi="仿宋" w:eastAsia="仿宋" w:cs="仿宋"/>
          <w:color w:val="000000"/>
        </w:rPr>
      </w:pPr>
      <w:r>
        <w:rPr>
          <w:rFonts w:hint="eastAsia" w:ascii="仿宋" w:hAnsi="仿宋" w:eastAsia="仿宋" w:cs="仿宋"/>
          <w:color w:val="000000"/>
        </w:rPr>
        <w:t>附件主要包括密切相关文献的题目、出处以及原文复制件；一般相关文献的题目、出处以及文摘。</w:t>
      </w:r>
    </w:p>
    <w:p w14:paraId="6DF440CA">
      <w:pPr>
        <w:pStyle w:val="12"/>
        <w:spacing w:line="360" w:lineRule="auto"/>
        <w:rPr>
          <w:rFonts w:ascii="仿宋" w:hAnsi="仿宋" w:eastAsia="仿宋" w:cs="仿宋"/>
          <w:color w:val="000000"/>
        </w:rPr>
      </w:pPr>
      <w:r>
        <w:rPr>
          <w:rFonts w:hint="eastAsia" w:ascii="仿宋" w:hAnsi="仿宋" w:eastAsia="仿宋" w:cs="仿宋"/>
          <w:color w:val="000000"/>
        </w:rPr>
        <w:br w:type="page"/>
      </w:r>
    </w:p>
    <w:tbl>
      <w:tblPr>
        <w:tblStyle w:val="1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6944"/>
      </w:tblGrid>
      <w:tr w14:paraId="53A79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1087" w:hRule="atLeast"/>
        </w:trPr>
        <w:tc>
          <w:tcPr>
            <w:tcW w:w="1578" w:type="dxa"/>
            <w:vAlign w:val="center"/>
          </w:tcPr>
          <w:p w14:paraId="49ED3C16">
            <w:pPr>
              <w:pStyle w:val="12"/>
              <w:spacing w:line="360" w:lineRule="auto"/>
              <w:ind w:left="0" w:leftChars="0" w:firstLine="0" w:firstLineChars="0"/>
              <w:jc w:val="both"/>
              <w:rPr>
                <w:b/>
                <w:bCs/>
                <w:color w:val="000000"/>
                <w:sz w:val="21"/>
              </w:rPr>
            </w:pPr>
            <w:r>
              <w:rPr>
                <w:rFonts w:hint="eastAsia"/>
                <w:b/>
                <w:bCs/>
                <w:color w:val="000000"/>
                <w:sz w:val="21"/>
              </w:rPr>
              <w:t>查新项目名称</w:t>
            </w:r>
          </w:p>
        </w:tc>
        <w:tc>
          <w:tcPr>
            <w:tcW w:w="6944" w:type="dxa"/>
            <w:vAlign w:val="center"/>
          </w:tcPr>
          <w:p w14:paraId="07CFF49E">
            <w:pPr>
              <w:pStyle w:val="12"/>
              <w:spacing w:line="360" w:lineRule="auto"/>
              <w:jc w:val="center"/>
              <w:rPr>
                <w:color w:val="000000"/>
              </w:rPr>
            </w:pPr>
            <w:r>
              <w:rPr>
                <w:rFonts w:hint="eastAsia"/>
                <w:color w:val="000000"/>
              </w:rPr>
              <w:t>智策惠民——基于大模型与证据链取证的政务资格审核系统</w:t>
            </w:r>
          </w:p>
        </w:tc>
      </w:tr>
      <w:tr w14:paraId="617CE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9890F0B">
            <w:pPr>
              <w:pStyle w:val="12"/>
              <w:spacing w:line="360" w:lineRule="auto"/>
              <w:rPr>
                <w:rFonts w:hint="eastAsia"/>
                <w:b/>
                <w:bCs/>
                <w:color w:val="000000"/>
                <w:sz w:val="21"/>
              </w:rPr>
            </w:pPr>
            <w:r>
              <w:rPr>
                <w:rFonts w:hint="eastAsia"/>
                <w:b/>
                <w:bCs/>
                <w:color w:val="000000"/>
                <w:sz w:val="21"/>
                <w:lang w:val="en-US" w:eastAsia="zh-CN"/>
              </w:rPr>
              <w:t xml:space="preserve">一. </w:t>
            </w:r>
            <w:r>
              <w:rPr>
                <w:rFonts w:hint="eastAsia"/>
                <w:b/>
                <w:bCs/>
                <w:color w:val="000000"/>
                <w:sz w:val="21"/>
              </w:rPr>
              <w:t>查新目的</w:t>
            </w:r>
          </w:p>
          <w:p w14:paraId="57D2CAD2">
            <w:pPr>
              <w:pStyle w:val="12"/>
              <w:spacing w:line="360" w:lineRule="auto"/>
              <w:ind w:left="360"/>
              <w:rPr>
                <w:color w:val="000000"/>
              </w:rPr>
            </w:pPr>
            <w:r>
              <w:rPr>
                <w:rFonts w:hint="eastAsia"/>
                <w:color w:val="000000"/>
              </w:rPr>
              <w:t>报名参加第</w:t>
            </w:r>
            <w:r>
              <w:rPr>
                <w:rFonts w:hint="eastAsia"/>
                <w:color w:val="000000"/>
                <w:lang w:val="en-US" w:eastAsia="zh-CN"/>
              </w:rPr>
              <w:t>28</w:t>
            </w:r>
            <w:r>
              <w:rPr>
                <w:rFonts w:hint="eastAsia"/>
                <w:color w:val="000000"/>
              </w:rPr>
              <w:t>届中国机器人及人工智能大赛</w:t>
            </w:r>
          </w:p>
        </w:tc>
      </w:tr>
      <w:tr w14:paraId="44E32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7D768C92">
            <w:pPr>
              <w:pStyle w:val="12"/>
              <w:spacing w:line="360" w:lineRule="auto"/>
              <w:rPr>
                <w:color w:val="000000"/>
              </w:rPr>
            </w:pPr>
            <w:r>
              <w:rPr>
                <w:rFonts w:hint="eastAsia"/>
                <w:b/>
                <w:bCs/>
                <w:color w:val="000000"/>
                <w:sz w:val="21"/>
              </w:rPr>
              <w:t>二．查新项目的创新要点</w:t>
            </w:r>
          </w:p>
          <w:p w14:paraId="6BB845C9">
            <w:pPr>
              <w:bidi w:val="0"/>
              <w:ind w:firstLine="420" w:firstLineChars="200"/>
            </w:pPr>
            <w:r>
              <w:rPr>
                <w:rFonts w:hint="eastAsia"/>
                <w:lang w:val="en-US" w:eastAsia="zh-CN"/>
              </w:rPr>
              <w:t>本项目面向基层政务资格审核场景，设计并实现了“智策惠民——基于大模型与证据链取证的政务资格审核系统”。系统针对就业补贴、社会保险补贴、困难人员认定等事项中政策规则复杂、业务数据分散、人工核验成本高、审核过程需留痕等问题，融合大语言模型、Text-to-SQL、证据链取证、多Agent辩论仲裁和人工复核机制，构建从用户诉求输入到审核结论归档的智能辅助审核闭环。</w:t>
            </w:r>
          </w:p>
          <w:p w14:paraId="4E5EA92B">
            <w:pPr>
              <w:numPr>
                <w:ilvl w:val="0"/>
                <w:numId w:val="1"/>
              </w:numPr>
              <w:bidi w:val="0"/>
              <w:ind w:left="425" w:leftChars="0" w:hanging="425" w:firstLineChars="0"/>
              <w:rPr>
                <w:rFonts w:hint="eastAsia"/>
                <w:b/>
                <w:bCs/>
                <w:lang w:val="en-US" w:eastAsia="zh-CN"/>
              </w:rPr>
            </w:pPr>
            <w:r>
              <w:rPr>
                <w:rFonts w:hint="eastAsia"/>
                <w:b/>
                <w:bCs/>
                <w:lang w:val="en-US" w:eastAsia="zh-CN"/>
              </w:rPr>
              <w:t>创新点一：证据约束下的多Agent辩论仲裁机制</w:t>
            </w:r>
          </w:p>
          <w:p w14:paraId="4E69064B">
            <w:pPr>
              <w:bidi w:val="0"/>
              <w:ind w:firstLine="420" w:firstLineChars="200"/>
              <w:rPr>
                <w:rFonts w:hint="eastAsia" w:ascii="Times New Roman" w:hAnsi="Times New Roman" w:eastAsia="黑体" w:cs="Times New Roman"/>
                <w:b w:val="0"/>
                <w:bCs w:val="0"/>
                <w:kern w:val="2"/>
                <w:sz w:val="21"/>
                <w:szCs w:val="24"/>
                <w:lang w:val="en-US" w:eastAsia="zh-CN" w:bidi="ar-SA"/>
              </w:rPr>
            </w:pPr>
            <w:r>
              <w:rPr>
                <w:rFonts w:hint="eastAsia" w:ascii="Times New Roman" w:hAnsi="Times New Roman" w:eastAsia="黑体" w:cs="Times New Roman"/>
                <w:b w:val="0"/>
                <w:bCs w:val="0"/>
                <w:kern w:val="2"/>
                <w:sz w:val="21"/>
                <w:szCs w:val="24"/>
                <w:lang w:val="en-US" w:eastAsia="zh-CN" w:bidi="ar-SA"/>
              </w:rPr>
              <w:t>传统大模型直接判断容易出现事实依据不透明、结论难复核等问题，普通多Agent讨论若缺少证据约束，也可能只是观点堆叠。本系统先通过T2SQL生成证据卡片，再组织严格合规、宽松业务、探索分析、经验归纳和审计挑战等Agent围绕同一证据链开展辩论。仲裁模块综合证据充分性、风险命中情况和Agent分歧程度形成审慎结论，必要时触发人工复核，避免单一模型过度判断。</w:t>
            </w:r>
          </w:p>
          <w:p w14:paraId="5896250B">
            <w:pPr>
              <w:numPr>
                <w:ilvl w:val="0"/>
                <w:numId w:val="1"/>
              </w:numPr>
              <w:bidi w:val="0"/>
              <w:ind w:left="425" w:leftChars="0" w:hanging="425" w:firstLineChars="0"/>
              <w:rPr>
                <w:rFonts w:hint="eastAsia"/>
                <w:b/>
                <w:bCs/>
                <w:lang w:val="en-US" w:eastAsia="zh-CN"/>
              </w:rPr>
            </w:pPr>
            <w:r>
              <w:rPr>
                <w:rFonts w:hint="eastAsia"/>
                <w:b/>
                <w:bCs/>
                <w:lang w:val="en-US" w:eastAsia="zh-CN"/>
              </w:rPr>
              <w:t>创新点二：规则驱动的T2SQL证据链取证机制</w:t>
            </w:r>
          </w:p>
          <w:p w14:paraId="37C252E4">
            <w:pPr>
              <w:bidi w:val="0"/>
              <w:ind w:firstLine="420" w:firstLineChars="200"/>
              <w:rPr>
                <w:rFonts w:hint="eastAsia" w:ascii="Times New Roman" w:hAnsi="Times New Roman" w:eastAsia="黑体" w:cs="Times New Roman"/>
                <w:b w:val="0"/>
                <w:bCs w:val="0"/>
                <w:kern w:val="2"/>
                <w:sz w:val="21"/>
                <w:szCs w:val="24"/>
                <w:lang w:val="en-US" w:eastAsia="zh-CN" w:bidi="ar-SA"/>
              </w:rPr>
            </w:pPr>
            <w:r>
              <w:rPr>
                <w:rFonts w:hint="eastAsia" w:ascii="Times New Roman" w:hAnsi="Times New Roman" w:eastAsia="黑体" w:cs="Times New Roman"/>
                <w:b w:val="0"/>
                <w:bCs w:val="0"/>
                <w:kern w:val="2"/>
                <w:sz w:val="21"/>
                <w:szCs w:val="24"/>
                <w:lang w:val="en-US" w:eastAsia="zh-CN" w:bidi="ar-SA"/>
              </w:rPr>
              <w:t>系统不直接让大模型生成审核结论，而是先将政策条款拆解为结构化规则，并为每条规则生成明确的数据库核查任务。例如，针对社保缴费、工商登记、补贴历史等条件，系统自动生成对应SQL进行取证。SQL查询结果被封装为证据卡片，使每条审核判断都能对应具体政策依据、数据库记录和证据摘要，从而实现“先取证、再判断”的审核流程。</w:t>
            </w:r>
          </w:p>
          <w:p w14:paraId="7BC3BF96">
            <w:pPr>
              <w:numPr>
                <w:ilvl w:val="0"/>
                <w:numId w:val="1"/>
              </w:numPr>
              <w:bidi w:val="0"/>
              <w:ind w:left="425" w:leftChars="0" w:hanging="425" w:firstLineChars="0"/>
              <w:rPr>
                <w:rFonts w:hint="eastAsia"/>
                <w:b/>
                <w:bCs/>
                <w:lang w:val="en-US" w:eastAsia="zh-CN"/>
              </w:rPr>
            </w:pPr>
            <w:r>
              <w:rPr>
                <w:rFonts w:hint="eastAsia"/>
                <w:b/>
                <w:bCs/>
                <w:lang w:val="en-US" w:eastAsia="zh-CN"/>
              </w:rPr>
              <w:t>创新点三：面向执行反馈的SQL自诊断修复机制</w:t>
            </w:r>
          </w:p>
          <w:p w14:paraId="40A2FBB9">
            <w:pPr>
              <w:bidi w:val="0"/>
              <w:ind w:firstLine="420" w:firstLineChars="200"/>
              <w:rPr>
                <w:rFonts w:hint="eastAsia" w:ascii="Times New Roman" w:hAnsi="Times New Roman" w:eastAsia="黑体" w:cs="Times New Roman"/>
                <w:b w:val="0"/>
                <w:bCs w:val="0"/>
                <w:kern w:val="2"/>
                <w:sz w:val="21"/>
                <w:szCs w:val="24"/>
                <w:lang w:val="en-US" w:eastAsia="zh-CN" w:bidi="ar-SA"/>
              </w:rPr>
            </w:pPr>
            <w:r>
              <w:rPr>
                <w:rFonts w:hint="eastAsia" w:ascii="Times New Roman" w:hAnsi="Times New Roman" w:eastAsia="黑体" w:cs="Times New Roman"/>
                <w:b w:val="0"/>
                <w:bCs w:val="0"/>
                <w:kern w:val="2"/>
                <w:sz w:val="21"/>
                <w:szCs w:val="24"/>
                <w:lang w:val="en-US" w:eastAsia="zh-CN" w:bidi="ar-SA"/>
              </w:rPr>
              <w:t>Text-to-SQL在复杂业务数据库中容易出现字段名错误、表名不匹配、语法异常和空结果误判等问题。为提高取证稳定性，系统在SQL生成后引入真实数据库执行反馈，记录执行状态、错误类型、诊断信息和修复过程，并在有限轮次内进行自诊断修复。即使修复失败，系统也会保留失败原因，避免将SQL错误隐藏在最终结论中，提高取证链路的透明度和可复核性。</w:t>
            </w:r>
          </w:p>
          <w:p w14:paraId="201C1E5E">
            <w:pPr>
              <w:numPr>
                <w:ilvl w:val="0"/>
                <w:numId w:val="1"/>
              </w:numPr>
              <w:bidi w:val="0"/>
              <w:ind w:left="425" w:leftChars="0" w:hanging="425" w:firstLineChars="0"/>
              <w:rPr>
                <w:rFonts w:hint="eastAsia"/>
                <w:b/>
                <w:bCs/>
                <w:lang w:val="en-US" w:eastAsia="zh-CN"/>
              </w:rPr>
            </w:pPr>
            <w:r>
              <w:rPr>
                <w:rFonts w:hint="eastAsia"/>
                <w:b/>
                <w:bCs/>
                <w:lang w:val="en-US" w:eastAsia="zh-CN"/>
              </w:rPr>
              <w:t>创新点四：面向规则类型的证据语义判定机制</w:t>
            </w:r>
          </w:p>
          <w:p w14:paraId="600CE256">
            <w:pPr>
              <w:bidi w:val="0"/>
              <w:ind w:firstLine="420" w:firstLineChars="200"/>
              <w:rPr>
                <w:rFonts w:hint="eastAsia" w:ascii="Times New Roman" w:hAnsi="Times New Roman" w:eastAsia="黑体" w:cs="Times New Roman"/>
                <w:b w:val="0"/>
                <w:bCs w:val="0"/>
                <w:kern w:val="2"/>
                <w:sz w:val="21"/>
                <w:szCs w:val="24"/>
                <w:lang w:val="en-US" w:eastAsia="zh-CN" w:bidi="ar-SA"/>
              </w:rPr>
            </w:pPr>
            <w:r>
              <w:rPr>
                <w:rFonts w:hint="eastAsia" w:ascii="Times New Roman" w:hAnsi="Times New Roman" w:eastAsia="黑体" w:cs="Times New Roman"/>
                <w:b w:val="0"/>
                <w:bCs w:val="0"/>
                <w:kern w:val="2"/>
                <w:sz w:val="21"/>
                <w:szCs w:val="24"/>
                <w:lang w:val="en-US" w:eastAsia="zh-CN" w:bidi="ar-SA"/>
              </w:rPr>
              <w:t>政务资格审核中，“查到数据”和“查不到数据”的含义并不固定。系统将政策规则划分为“必须满足”“必须排除”“灵活评判”等类型，并根据规则类型解释查询结果。例如，必要条件查无记录可能表示条件不足，而排除条件查无记录则可能表示未发现风险。该机制避免简单按照“有数据/无数据”判断资格，使证据卡片不仅记录查询结果，还能说明其在具体政策规则下的审核含义。</w:t>
            </w:r>
          </w:p>
          <w:p w14:paraId="341AE048">
            <w:pPr>
              <w:numPr>
                <w:ilvl w:val="0"/>
                <w:numId w:val="1"/>
              </w:numPr>
              <w:bidi w:val="0"/>
              <w:ind w:left="425" w:leftChars="0" w:hanging="425" w:firstLineChars="0"/>
              <w:rPr>
                <w:rFonts w:hint="eastAsia"/>
                <w:b/>
                <w:bCs/>
                <w:lang w:val="en-US" w:eastAsia="zh-CN"/>
              </w:rPr>
            </w:pPr>
            <w:r>
              <w:rPr>
                <w:rFonts w:hint="eastAsia"/>
                <w:b/>
                <w:bCs/>
                <w:lang w:val="en-US" w:eastAsia="zh-CN"/>
              </w:rPr>
              <w:t>创新点五：人工复核参与的全链路留痕机制</w:t>
            </w:r>
          </w:p>
          <w:p w14:paraId="01ECC912">
            <w:pPr>
              <w:bidi w:val="0"/>
              <w:ind w:firstLine="420" w:firstLineChars="200"/>
              <w:rPr>
                <w:rFonts w:hint="eastAsia" w:ascii="Times New Roman" w:hAnsi="Times New Roman" w:eastAsia="黑体" w:cs="Times New Roman"/>
                <w:b w:val="0"/>
                <w:bCs w:val="0"/>
                <w:kern w:val="2"/>
                <w:sz w:val="21"/>
                <w:szCs w:val="24"/>
                <w:lang w:val="en-US" w:eastAsia="zh-CN" w:bidi="ar-SA"/>
              </w:rPr>
            </w:pPr>
            <w:r>
              <w:rPr>
                <w:rFonts w:hint="eastAsia" w:ascii="Times New Roman" w:hAnsi="Times New Roman" w:eastAsia="黑体" w:cs="Times New Roman"/>
                <w:b w:val="0"/>
                <w:bCs w:val="0"/>
                <w:kern w:val="2"/>
                <w:sz w:val="21"/>
                <w:szCs w:val="24"/>
                <w:lang w:val="en-US" w:eastAsia="zh-CN" w:bidi="ar-SA"/>
              </w:rPr>
              <w:t>政务资格审核不能完全依赖模型自动结论，因此系统保留经办人员最终确认权。对于证据不足、数据冲突或Agent意见分歧明显的案例，系统支持人工补证、复核确认和结论修正。系统以会话为单位保存政策命中、取证SQL、证据卡片、Agent辩论过程、仲裁结果、人工复核意见和PDF报告路径，使审核过程能够被回放、复查和归档，满足政务场景对可追责的要求。</w:t>
            </w:r>
          </w:p>
          <w:p w14:paraId="4661F72A">
            <w:pPr>
              <w:bidi w:val="0"/>
              <w:ind w:firstLine="420" w:firstLineChars="200"/>
              <w:rPr>
                <w:rFonts w:hint="eastAsia" w:ascii="Times New Roman" w:hAnsi="Times New Roman" w:eastAsia="黑体" w:cs="Times New Roman"/>
                <w:b w:val="0"/>
                <w:bCs w:val="0"/>
                <w:kern w:val="2"/>
                <w:sz w:val="21"/>
                <w:szCs w:val="24"/>
                <w:lang w:val="en-US" w:eastAsia="zh-CN" w:bidi="ar-SA"/>
              </w:rPr>
            </w:pPr>
          </w:p>
          <w:p w14:paraId="419480FD">
            <w:pPr>
              <w:bidi w:val="0"/>
              <w:ind w:firstLine="420" w:firstLineChars="200"/>
            </w:pPr>
            <w:r>
              <w:t xml:space="preserve">测试结果表明，完整T2SQL取证链路的SQL结果匹配率达到 </w:t>
            </w:r>
            <w:r>
              <w:rPr>
                <w:rStyle w:val="16"/>
              </w:rPr>
              <w:t>91.24%</w:t>
            </w:r>
            <w:r>
              <w:t xml:space="preserve">；完整多Agent链路的综合质量分达到 </w:t>
            </w:r>
            <w:r>
              <w:rPr>
                <w:rStyle w:val="16"/>
              </w:rPr>
              <w:t>93.27%</w:t>
            </w:r>
            <w:r>
              <w:t xml:space="preserve">，结论准确率达到 </w:t>
            </w:r>
            <w:r>
              <w:rPr>
                <w:rStyle w:val="16"/>
              </w:rPr>
              <w:t>92.18%</w:t>
            </w:r>
            <w:r>
              <w:t xml:space="preserve">，证据引用率达到 </w:t>
            </w:r>
            <w:r>
              <w:rPr>
                <w:rStyle w:val="16"/>
              </w:rPr>
              <w:t>87.43%</w:t>
            </w:r>
            <w:r>
              <w:t>。结果说明，证据链取证与多Agent辩论仲裁机制能够有效提升系统审核结论的可解释性和稳定性。</w:t>
            </w:r>
          </w:p>
          <w:p w14:paraId="6B83ABF4">
            <w:pPr>
              <w:bidi w:val="0"/>
              <w:ind w:firstLine="420" w:firstLineChars="200"/>
            </w:pPr>
            <w:r>
              <w:t>本项目适用于就业补贴、社会保险补贴、困难人员认定、创业扶持、人才补贴等基层政务资格审核场景，也可扩展至其他规则明确、数据可查询、过程需留痕的政策审核和风险复核业务。</w:t>
            </w:r>
          </w:p>
          <w:p w14:paraId="40A0750B">
            <w:pPr>
              <w:bidi w:val="0"/>
              <w:ind w:firstLine="420" w:firstLineChars="200"/>
              <w:rPr>
                <w:color w:val="000000"/>
              </w:rPr>
            </w:pPr>
            <w:r>
              <w:t>本项目将大语言模型、Text-to-SQL、证据链取证、多Agent辩论仲裁和人工复核机制组合应用于政务资格审核场景，形成“规则驱动取证、证据卡片约束、多Agent辩论仲裁、人工复核归档”的智能审核闭环。经检索，暂未发现与本项目在应用场景、技术组合和审核流程设计上完全相同的公开报道。</w:t>
            </w:r>
          </w:p>
        </w:tc>
      </w:tr>
      <w:tr w14:paraId="4F3E9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10B13EE">
            <w:pPr>
              <w:pStyle w:val="12"/>
              <w:spacing w:line="360" w:lineRule="auto"/>
              <w:rPr>
                <w:color w:val="000000"/>
              </w:rPr>
            </w:pPr>
            <w:r>
              <w:rPr>
                <w:rFonts w:hint="eastAsia"/>
                <w:b/>
                <w:bCs/>
                <w:color w:val="000000"/>
                <w:sz w:val="21"/>
              </w:rPr>
              <w:t>三．查新点</w:t>
            </w:r>
          </w:p>
          <w:p w14:paraId="75A910FC">
            <w:pPr>
              <w:numPr>
                <w:ilvl w:val="0"/>
                <w:numId w:val="2"/>
              </w:numPr>
              <w:bidi w:val="0"/>
              <w:ind w:left="425" w:leftChars="0" w:hanging="425" w:firstLineChars="0"/>
              <w:rPr>
                <w:color w:val="000000"/>
              </w:rPr>
            </w:pPr>
            <w:r>
              <w:t>查新点1：证据约束下的多Agent辩论仲裁机制</w:t>
            </w:r>
          </w:p>
          <w:p w14:paraId="3BFAD631">
            <w:pPr>
              <w:numPr>
                <w:numId w:val="0"/>
              </w:numPr>
              <w:bidi w:val="0"/>
              <w:ind w:leftChars="0" w:firstLine="420" w:firstLineChars="200"/>
              <w:rPr>
                <w:color w:val="000000"/>
              </w:rPr>
            </w:pPr>
            <w:r>
              <w:t>将政策规则、证据卡片和对象画像作为多Agent辩论的统一输入，设置严格合规、宽松业务、探索分析、经验归纳和审计挑战等角色化Agent，在证据约束下开展辩论并由仲裁Agent综合证据充分性、风险命中和分歧程度形成保守结论，而非简单多数投票。</w:t>
            </w:r>
          </w:p>
          <w:p w14:paraId="6F0EBB26">
            <w:pPr>
              <w:numPr>
                <w:ilvl w:val="0"/>
                <w:numId w:val="2"/>
              </w:numPr>
              <w:bidi w:val="0"/>
              <w:ind w:left="425" w:leftChars="0" w:hanging="425" w:firstLineChars="0"/>
              <w:rPr>
                <w:color w:val="000000"/>
              </w:rPr>
            </w:pPr>
            <w:r>
              <w:t>查新点2：规则驱动的T2SQL证据链取证机制</w:t>
            </w:r>
          </w:p>
          <w:p w14:paraId="7897670E">
            <w:pPr>
              <w:numPr>
                <w:numId w:val="0"/>
              </w:numPr>
              <w:bidi w:val="0"/>
              <w:ind w:leftChars="0" w:firstLine="420" w:firstLineChars="200"/>
              <w:rPr>
                <w:color w:val="000000"/>
              </w:rPr>
            </w:pPr>
            <w:r>
              <w:t>以结构化政策规则为入口，将基础条件、排除条件和灵活评判条件分别转化为取证任务，通过Text-to-SQL生成SQL查询语句，从多张业务表中提取关键事实并封装为可追溯的证据卡片，使每次数据库查询都对应具体政策依据。</w:t>
            </w:r>
          </w:p>
          <w:p w14:paraId="3945269A">
            <w:pPr>
              <w:numPr>
                <w:ilvl w:val="0"/>
                <w:numId w:val="2"/>
              </w:numPr>
              <w:bidi w:val="0"/>
              <w:ind w:left="425" w:leftChars="0" w:hanging="425" w:firstLineChars="0"/>
              <w:rPr>
                <w:color w:val="000000"/>
              </w:rPr>
            </w:pPr>
            <w:r>
              <w:t>查新点3：面向执行反馈的SQL自诊断修复机制</w:t>
            </w:r>
          </w:p>
          <w:p w14:paraId="40AD037F">
            <w:pPr>
              <w:numPr>
                <w:numId w:val="0"/>
              </w:numPr>
              <w:bidi w:val="0"/>
              <w:ind w:leftChars="0" w:firstLine="420" w:firstLineChars="200"/>
              <w:rPr>
                <w:color w:val="000000"/>
              </w:rPr>
            </w:pPr>
            <w:r>
              <w:t>在T2SQL生成SQL后引入真实数据库执行和错误反馈，针对字段不存在、表名不匹配、语法异常、空结果或结构漂移等情况，记录错误类型和诊断信息，并在有限轮次内进行修复，修复过程不覆盖原始执行记录而是作为证据链的一部分保留。</w:t>
            </w:r>
          </w:p>
          <w:p w14:paraId="64AFDF2B">
            <w:pPr>
              <w:numPr>
                <w:ilvl w:val="0"/>
                <w:numId w:val="2"/>
              </w:numPr>
              <w:bidi w:val="0"/>
              <w:ind w:left="425" w:leftChars="0" w:hanging="425" w:firstLineChars="0"/>
              <w:rPr>
                <w:color w:val="000000"/>
              </w:rPr>
            </w:pPr>
            <w:r>
              <w:t>查新点4：面向规则类型的证据语义判定机制</w:t>
            </w:r>
          </w:p>
          <w:p w14:paraId="1ACCBFEA">
            <w:pPr>
              <w:numPr>
                <w:numId w:val="0"/>
              </w:numPr>
              <w:bidi w:val="0"/>
              <w:ind w:leftChars="0" w:firstLine="420" w:firstLineChars="200"/>
              <w:rPr>
                <w:color w:val="000000"/>
              </w:rPr>
            </w:pPr>
            <w:r>
              <w:t>将政策规则划分为"必须满足""必须排除""灵活评判"等类型，根据规则类型对查询结果进行差异化解释，避免简单按照"有数据/无数据"判断资格，提高系统对空结果、缺失数据和边界样本的解释能力。</w:t>
            </w:r>
          </w:p>
          <w:p w14:paraId="7F000E5B">
            <w:pPr>
              <w:numPr>
                <w:ilvl w:val="0"/>
                <w:numId w:val="2"/>
              </w:numPr>
              <w:bidi w:val="0"/>
              <w:ind w:left="425" w:leftChars="0" w:hanging="425" w:firstLineChars="0"/>
              <w:rPr>
                <w:color w:val="000000"/>
              </w:rPr>
            </w:pPr>
            <w:r>
              <w:t>查新点5：人工复核参与的全链路留痕机制</w:t>
            </w:r>
          </w:p>
          <w:p w14:paraId="2B142B8C">
            <w:pPr>
              <w:numPr>
                <w:numId w:val="0"/>
              </w:numPr>
              <w:bidi w:val="0"/>
              <w:ind w:leftChars="0" w:firstLine="420" w:firstLineChars="200"/>
              <w:rPr>
                <w:color w:val="000000"/>
              </w:rPr>
            </w:pPr>
            <w:r>
              <w:t>保留经办人员最终确认权，将政策命中、取证SQL、证据卡片、Agent辩论过程、仲裁结果、人工复核意见和报告路径统一保存，使一次审核能够被回放、复查和归档。</w:t>
            </w:r>
          </w:p>
        </w:tc>
      </w:tr>
      <w:tr w14:paraId="71766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2F741C61">
            <w:pPr>
              <w:pStyle w:val="12"/>
              <w:spacing w:line="360" w:lineRule="auto"/>
              <w:rPr>
                <w:color w:val="000000"/>
              </w:rPr>
            </w:pPr>
            <w:r>
              <w:rPr>
                <w:rFonts w:hint="eastAsia"/>
                <w:b/>
                <w:bCs/>
                <w:color w:val="000000"/>
                <w:sz w:val="21"/>
              </w:rPr>
              <w:t>四．文献检索范围及检索策略</w:t>
            </w:r>
          </w:p>
          <w:p w14:paraId="65C2192D">
            <w:pPr>
              <w:pStyle w:val="12"/>
              <w:spacing w:line="360" w:lineRule="auto"/>
              <w:rPr>
                <w:color w:val="000000"/>
              </w:rPr>
            </w:pPr>
            <w:r>
              <w:rPr>
                <w:rFonts w:hint="eastAsia"/>
                <w:b/>
                <w:bCs/>
                <w:color w:val="000000"/>
                <w:sz w:val="21"/>
              </w:rPr>
              <w:t>文献检索范围：</w:t>
            </w:r>
          </w:p>
          <w:p w14:paraId="067C30EE">
            <w:pPr>
              <w:spacing w:line="360" w:lineRule="auto"/>
              <w:rPr>
                <w:color w:val="000000"/>
                <w:sz w:val="24"/>
              </w:rPr>
            </w:pPr>
            <w:r>
              <w:rPr>
                <w:b/>
                <w:bCs/>
              </w:rPr>
              <w:t>查新使用的数据库：</w:t>
            </w:r>
            <w:r>
              <w:br w:type="textWrapping"/>
            </w:r>
            <w:r>
              <w:t>1. 中国知网（CNKI）——2022-2026</w:t>
            </w:r>
            <w:r>
              <w:br w:type="textWrapping"/>
            </w:r>
            <w:r>
              <w:t>2. 万方数据知识服务平台——2022-2026</w:t>
            </w:r>
            <w:r>
              <w:br w:type="textWrapping"/>
            </w:r>
            <w:r>
              <w:t>3. 维普中文科技期刊数据库——2022-2026</w:t>
            </w:r>
            <w:r>
              <w:br w:type="textWrapping"/>
            </w:r>
            <w:r>
              <w:t>4. Web of Science——2022-2026</w:t>
            </w:r>
            <w:r>
              <w:br w:type="textWrapping"/>
            </w:r>
            <w:r>
              <w:t>5. IEEE Xplore——2022-2026</w:t>
            </w:r>
            <w:r>
              <w:br w:type="textWrapping"/>
            </w:r>
            <w:r>
              <w:t>6. ACM Digital Library——2022-2026</w:t>
            </w:r>
            <w:r>
              <w:br w:type="textWrapping"/>
            </w:r>
            <w:r>
              <w:t>7. arXiv预印本平台——2022-2026</w:t>
            </w:r>
            <w:r>
              <w:br w:type="textWrapping"/>
            </w:r>
            <w:r>
              <w:t>8. OpenAlex开放学术数据库——2022-2026</w:t>
            </w:r>
          </w:p>
          <w:p w14:paraId="3DAEE7DD">
            <w:pPr>
              <w:pStyle w:val="12"/>
              <w:spacing w:line="360" w:lineRule="auto"/>
              <w:rPr>
                <w:color w:val="000000"/>
              </w:rPr>
            </w:pPr>
            <w:r>
              <w:rPr>
                <w:rFonts w:hint="eastAsia"/>
                <w:b/>
                <w:bCs/>
                <w:color w:val="000000"/>
              </w:rPr>
              <w:t>检索词及检索策略：</w:t>
            </w:r>
          </w:p>
          <w:p w14:paraId="03A923E4">
            <w:pPr>
              <w:ind w:firstLine="402" w:firstLineChars="200"/>
              <w:rPr>
                <w:color w:val="000000"/>
                <w:sz w:val="24"/>
                <w:u w:val="single"/>
              </w:rPr>
            </w:pPr>
            <w:r>
              <w:rPr>
                <w:rFonts w:hint="eastAsia" w:ascii="黑体" w:hAnsi="Courier New" w:eastAsia="黑体" w:cs="Courier New"/>
                <w:b/>
                <w:bCs/>
                <w:color w:val="000000"/>
                <w:kern w:val="0"/>
                <w:sz w:val="20"/>
                <w:szCs w:val="20"/>
                <w:u w:val="single"/>
              </w:rPr>
              <w:t>检索词：</w:t>
            </w:r>
          </w:p>
          <w:p w14:paraId="4F2D78A3">
            <w:pPr>
              <w:numPr>
                <w:ilvl w:val="0"/>
                <w:numId w:val="3"/>
              </w:numPr>
              <w:ind w:left="425" w:leftChars="0" w:hanging="425" w:firstLineChars="0"/>
              <w:rPr>
                <w:rFonts w:hint="default" w:eastAsia="黑体"/>
                <w:color w:val="000000"/>
                <w:sz w:val="24"/>
                <w:lang w:val="en-US" w:eastAsia="zh-CN"/>
              </w:rPr>
            </w:pPr>
            <w:r>
              <w:t>大语言模型</w:t>
            </w:r>
          </w:p>
          <w:p w14:paraId="1EBD2416">
            <w:pPr>
              <w:numPr>
                <w:ilvl w:val="0"/>
                <w:numId w:val="3"/>
              </w:numPr>
              <w:ind w:left="425" w:leftChars="0" w:hanging="425" w:firstLineChars="0"/>
              <w:rPr>
                <w:rFonts w:hint="default" w:eastAsia="黑体"/>
                <w:color w:val="000000"/>
                <w:sz w:val="24"/>
                <w:lang w:val="en-US" w:eastAsia="zh-CN"/>
              </w:rPr>
            </w:pPr>
            <w:r>
              <w:t>多Agent辩论</w:t>
            </w:r>
          </w:p>
          <w:p w14:paraId="6446774C">
            <w:pPr>
              <w:numPr>
                <w:ilvl w:val="0"/>
                <w:numId w:val="3"/>
              </w:numPr>
              <w:ind w:left="425" w:leftChars="0" w:hanging="425" w:firstLineChars="0"/>
              <w:rPr>
                <w:rFonts w:hint="default" w:eastAsia="黑体"/>
                <w:color w:val="000000"/>
                <w:sz w:val="24"/>
                <w:lang w:val="en-US" w:eastAsia="zh-CN"/>
              </w:rPr>
            </w:pPr>
            <w:r>
              <w:t>多智能体辩论</w:t>
            </w:r>
          </w:p>
          <w:p w14:paraId="6273438F">
            <w:pPr>
              <w:numPr>
                <w:ilvl w:val="0"/>
                <w:numId w:val="3"/>
              </w:numPr>
              <w:ind w:left="425" w:leftChars="0" w:hanging="425" w:firstLineChars="0"/>
              <w:rPr>
                <w:rFonts w:hint="default" w:eastAsia="黑体"/>
                <w:color w:val="000000"/>
                <w:sz w:val="24"/>
                <w:lang w:val="en-US" w:eastAsia="zh-CN"/>
              </w:rPr>
            </w:pPr>
            <w:r>
              <w:t>Text-to-SQL</w:t>
            </w:r>
          </w:p>
          <w:p w14:paraId="6E9B3700">
            <w:pPr>
              <w:numPr>
                <w:ilvl w:val="0"/>
                <w:numId w:val="3"/>
              </w:numPr>
              <w:ind w:left="425" w:leftChars="0" w:hanging="425" w:firstLineChars="0"/>
              <w:rPr>
                <w:rFonts w:hint="default" w:eastAsia="黑体"/>
                <w:color w:val="000000"/>
                <w:sz w:val="24"/>
                <w:lang w:val="en-US" w:eastAsia="zh-CN"/>
              </w:rPr>
            </w:pPr>
            <w:r>
              <w:t>自然语言转SQL</w:t>
            </w:r>
          </w:p>
          <w:p w14:paraId="219DB13D">
            <w:pPr>
              <w:numPr>
                <w:ilvl w:val="0"/>
                <w:numId w:val="3"/>
              </w:numPr>
              <w:ind w:left="425" w:leftChars="0" w:hanging="425" w:firstLineChars="0"/>
              <w:rPr>
                <w:rFonts w:hint="default" w:eastAsia="黑体"/>
                <w:color w:val="000000"/>
                <w:sz w:val="24"/>
                <w:lang w:val="en-US" w:eastAsia="zh-CN"/>
              </w:rPr>
            </w:pPr>
            <w:r>
              <w:t>证据链</w:t>
            </w:r>
          </w:p>
          <w:p w14:paraId="6127F635">
            <w:pPr>
              <w:numPr>
                <w:ilvl w:val="0"/>
                <w:numId w:val="3"/>
              </w:numPr>
              <w:ind w:left="425" w:leftChars="0" w:hanging="425" w:firstLineChars="0"/>
              <w:rPr>
                <w:rFonts w:hint="default" w:eastAsia="黑体"/>
                <w:color w:val="000000"/>
                <w:sz w:val="24"/>
                <w:lang w:val="en-US" w:eastAsia="zh-CN"/>
              </w:rPr>
            </w:pPr>
            <w:r>
              <w:t>政务审核</w:t>
            </w:r>
          </w:p>
          <w:p w14:paraId="7E279389">
            <w:pPr>
              <w:numPr>
                <w:ilvl w:val="0"/>
                <w:numId w:val="3"/>
              </w:numPr>
              <w:ind w:left="425" w:leftChars="0" w:hanging="425" w:firstLineChars="0"/>
              <w:rPr>
                <w:rFonts w:hint="default" w:eastAsia="黑体"/>
                <w:color w:val="000000"/>
                <w:sz w:val="24"/>
                <w:lang w:val="en-US" w:eastAsia="zh-CN"/>
              </w:rPr>
            </w:pPr>
            <w:r>
              <w:t>资格审查</w:t>
            </w:r>
          </w:p>
          <w:p w14:paraId="498C53C3">
            <w:pPr>
              <w:numPr>
                <w:ilvl w:val="0"/>
                <w:numId w:val="3"/>
              </w:numPr>
              <w:ind w:left="425" w:leftChars="0" w:hanging="425" w:firstLineChars="0"/>
              <w:rPr>
                <w:rFonts w:hint="default" w:eastAsia="黑体"/>
                <w:color w:val="000000"/>
                <w:sz w:val="24"/>
                <w:lang w:val="en-US" w:eastAsia="zh-CN"/>
              </w:rPr>
            </w:pPr>
            <w:r>
              <w:t>智能审核</w:t>
            </w:r>
          </w:p>
          <w:p w14:paraId="2FF34C17">
            <w:pPr>
              <w:numPr>
                <w:ilvl w:val="0"/>
                <w:numId w:val="3"/>
              </w:numPr>
              <w:ind w:left="425" w:leftChars="0" w:hanging="425" w:firstLineChars="0"/>
              <w:rPr>
                <w:rFonts w:hint="default" w:eastAsia="黑体"/>
                <w:color w:val="000000"/>
                <w:sz w:val="24"/>
                <w:lang w:val="en-US" w:eastAsia="zh-CN"/>
              </w:rPr>
            </w:pPr>
            <w:r>
              <w:t>规则引擎</w:t>
            </w:r>
          </w:p>
          <w:p w14:paraId="45F25F79">
            <w:pPr>
              <w:numPr>
                <w:ilvl w:val="0"/>
                <w:numId w:val="3"/>
              </w:numPr>
              <w:ind w:left="425" w:leftChars="0" w:hanging="425" w:firstLineChars="0"/>
              <w:rPr>
                <w:rFonts w:hint="default" w:eastAsia="黑体"/>
                <w:color w:val="000000"/>
                <w:sz w:val="24"/>
                <w:lang w:val="en-US" w:eastAsia="zh-CN"/>
              </w:rPr>
            </w:pPr>
            <w:r>
              <w:t>SQL自修复</w:t>
            </w:r>
          </w:p>
          <w:p w14:paraId="312A9EEC">
            <w:pPr>
              <w:numPr>
                <w:ilvl w:val="0"/>
                <w:numId w:val="3"/>
              </w:numPr>
              <w:ind w:left="425" w:leftChars="0" w:hanging="425" w:firstLineChars="0"/>
              <w:rPr>
                <w:rFonts w:hint="default" w:eastAsia="黑体"/>
                <w:color w:val="000000"/>
                <w:sz w:val="24"/>
                <w:lang w:val="en-US" w:eastAsia="zh-CN"/>
              </w:rPr>
            </w:pPr>
            <w:r>
              <w:t>执行反馈</w:t>
            </w:r>
          </w:p>
          <w:p w14:paraId="176B33E5">
            <w:pPr>
              <w:numPr>
                <w:ilvl w:val="0"/>
                <w:numId w:val="3"/>
              </w:numPr>
              <w:ind w:left="425" w:leftChars="0" w:hanging="425" w:firstLineChars="0"/>
              <w:rPr>
                <w:rFonts w:hint="default" w:eastAsia="黑体"/>
                <w:color w:val="000000"/>
                <w:sz w:val="24"/>
                <w:lang w:val="en-US" w:eastAsia="zh-CN"/>
              </w:rPr>
            </w:pPr>
            <w:r>
              <w:t>证据卡片</w:t>
            </w:r>
          </w:p>
          <w:p w14:paraId="2B167590">
            <w:pPr>
              <w:numPr>
                <w:ilvl w:val="0"/>
                <w:numId w:val="3"/>
              </w:numPr>
              <w:ind w:left="425" w:leftChars="0" w:hanging="425" w:firstLineChars="0"/>
              <w:rPr>
                <w:rFonts w:hint="default" w:eastAsia="黑体"/>
                <w:color w:val="000000"/>
                <w:sz w:val="24"/>
                <w:lang w:val="en-US" w:eastAsia="zh-CN"/>
              </w:rPr>
            </w:pPr>
            <w:r>
              <w:t>可解释AI</w:t>
            </w:r>
          </w:p>
          <w:p w14:paraId="4DAF53AA">
            <w:pPr>
              <w:numPr>
                <w:ilvl w:val="0"/>
                <w:numId w:val="3"/>
              </w:numPr>
              <w:ind w:left="425" w:leftChars="0" w:hanging="425" w:firstLineChars="0"/>
              <w:rPr>
                <w:color w:val="000000"/>
                <w:sz w:val="24"/>
              </w:rPr>
            </w:pPr>
            <w:r>
              <w:t>审计追踪</w:t>
            </w:r>
          </w:p>
          <w:p w14:paraId="73CA25D4">
            <w:pPr>
              <w:numPr>
                <w:ilvl w:val="0"/>
                <w:numId w:val="3"/>
              </w:numPr>
              <w:ind w:left="425" w:leftChars="0" w:hanging="425" w:firstLineChars="0"/>
              <w:rPr>
                <w:color w:val="000000"/>
                <w:sz w:val="24"/>
              </w:rPr>
            </w:pPr>
            <w:r>
              <w:t>large language model</w:t>
            </w:r>
          </w:p>
          <w:p w14:paraId="5059A9B7">
            <w:pPr>
              <w:numPr>
                <w:ilvl w:val="0"/>
                <w:numId w:val="3"/>
              </w:numPr>
              <w:ind w:left="425" w:leftChars="0" w:hanging="425" w:firstLineChars="0"/>
              <w:rPr>
                <w:color w:val="000000"/>
                <w:sz w:val="24"/>
              </w:rPr>
            </w:pPr>
            <w:r>
              <w:t>multi-agent debate</w:t>
            </w:r>
          </w:p>
          <w:p w14:paraId="0E589693">
            <w:pPr>
              <w:numPr>
                <w:ilvl w:val="0"/>
                <w:numId w:val="3"/>
              </w:numPr>
              <w:ind w:left="425" w:leftChars="0" w:hanging="425" w:firstLineChars="0"/>
              <w:rPr>
                <w:color w:val="000000"/>
                <w:sz w:val="24"/>
              </w:rPr>
            </w:pPr>
            <w:r>
              <w:t>multi-agent arbitration</w:t>
            </w:r>
          </w:p>
          <w:p w14:paraId="33A60F79">
            <w:pPr>
              <w:numPr>
                <w:ilvl w:val="0"/>
                <w:numId w:val="3"/>
              </w:numPr>
              <w:ind w:left="425" w:leftChars="0" w:hanging="425" w:firstLineChars="0"/>
              <w:rPr>
                <w:color w:val="000000"/>
                <w:sz w:val="24"/>
              </w:rPr>
            </w:pPr>
            <w:r>
              <w:t>NL2SQL</w:t>
            </w:r>
          </w:p>
          <w:p w14:paraId="6EA72E61">
            <w:pPr>
              <w:numPr>
                <w:ilvl w:val="0"/>
                <w:numId w:val="3"/>
              </w:numPr>
              <w:ind w:left="425" w:leftChars="0" w:hanging="425" w:firstLineChars="0"/>
              <w:rPr>
                <w:color w:val="000000"/>
                <w:sz w:val="24"/>
              </w:rPr>
            </w:pPr>
            <w:r>
              <w:t>evidence chain</w:t>
            </w:r>
          </w:p>
          <w:p w14:paraId="37C25E67">
            <w:pPr>
              <w:numPr>
                <w:ilvl w:val="0"/>
                <w:numId w:val="3"/>
              </w:numPr>
              <w:ind w:left="425" w:leftChars="0" w:hanging="425" w:firstLineChars="0"/>
              <w:rPr>
                <w:color w:val="000000"/>
                <w:sz w:val="24"/>
              </w:rPr>
            </w:pPr>
            <w:r>
              <w:t>evidence-constrained</w:t>
            </w:r>
          </w:p>
          <w:p w14:paraId="165DDF76">
            <w:pPr>
              <w:numPr>
                <w:ilvl w:val="0"/>
                <w:numId w:val="3"/>
              </w:numPr>
              <w:ind w:left="425" w:leftChars="0" w:hanging="425" w:firstLineChars="0"/>
              <w:rPr>
                <w:color w:val="000000"/>
                <w:sz w:val="24"/>
              </w:rPr>
            </w:pPr>
            <w:r>
              <w:t>overnment review</w:t>
            </w:r>
          </w:p>
          <w:p w14:paraId="2E3BB359">
            <w:pPr>
              <w:numPr>
                <w:ilvl w:val="0"/>
                <w:numId w:val="3"/>
              </w:numPr>
              <w:ind w:left="425" w:leftChars="0" w:hanging="425" w:firstLineChars="0"/>
              <w:rPr>
                <w:color w:val="000000"/>
                <w:sz w:val="24"/>
              </w:rPr>
            </w:pPr>
            <w:r>
              <w:t>policy compliance</w:t>
            </w:r>
          </w:p>
          <w:p w14:paraId="0B701FFC">
            <w:pPr>
              <w:numPr>
                <w:ilvl w:val="0"/>
                <w:numId w:val="3"/>
              </w:numPr>
              <w:ind w:left="425" w:leftChars="0" w:hanging="425" w:firstLineChars="0"/>
              <w:rPr>
                <w:color w:val="000000"/>
                <w:sz w:val="24"/>
              </w:rPr>
            </w:pPr>
            <w:r>
              <w:t>qualification review</w:t>
            </w:r>
          </w:p>
          <w:p w14:paraId="1898EA2A">
            <w:pPr>
              <w:numPr>
                <w:ilvl w:val="0"/>
                <w:numId w:val="3"/>
              </w:numPr>
              <w:ind w:left="425" w:leftChars="0" w:hanging="425" w:firstLineChars="0"/>
              <w:rPr>
                <w:color w:val="000000"/>
                <w:sz w:val="24"/>
              </w:rPr>
            </w:pPr>
            <w:r>
              <w:t>SQL self-correction</w:t>
            </w:r>
          </w:p>
          <w:p w14:paraId="57BCF6C7">
            <w:pPr>
              <w:ind w:firstLine="402" w:firstLineChars="200"/>
              <w:rPr>
                <w:rFonts w:hint="eastAsia" w:ascii="黑体" w:hAnsi="Courier New" w:eastAsia="黑体" w:cs="Courier New"/>
                <w:b/>
                <w:bCs/>
                <w:color w:val="000000"/>
                <w:kern w:val="0"/>
                <w:sz w:val="20"/>
                <w:szCs w:val="20"/>
                <w:u w:val="single"/>
              </w:rPr>
            </w:pPr>
            <w:r>
              <w:rPr>
                <w:rFonts w:hint="eastAsia" w:ascii="黑体" w:hAnsi="Courier New" w:eastAsia="黑体" w:cs="Courier New"/>
                <w:b/>
                <w:bCs/>
                <w:color w:val="000000"/>
                <w:kern w:val="0"/>
                <w:sz w:val="20"/>
                <w:szCs w:val="20"/>
                <w:u w:val="single"/>
              </w:rPr>
              <w:t>检索式：</w:t>
            </w:r>
          </w:p>
          <w:p w14:paraId="7E6984E8">
            <w:pPr>
              <w:numPr>
                <w:ilvl w:val="0"/>
                <w:numId w:val="4"/>
              </w:numPr>
              <w:ind w:left="425" w:leftChars="0" w:hanging="425" w:firstLineChars="0"/>
              <w:rPr>
                <w:rFonts w:hint="eastAsia" w:ascii="黑体" w:hAnsi="Courier New" w:eastAsia="黑体" w:cs="Courier New"/>
                <w:b w:val="0"/>
                <w:bCs w:val="0"/>
                <w:color w:val="000000"/>
                <w:kern w:val="0"/>
                <w:sz w:val="20"/>
                <w:szCs w:val="20"/>
                <w:u w:val="single"/>
              </w:rPr>
            </w:pPr>
            <w:r>
              <w:rPr>
                <w:rFonts w:hint="eastAsia" w:ascii="黑体" w:hAnsi="Courier New" w:eastAsia="黑体" w:cs="Courier New"/>
                <w:b w:val="0"/>
                <w:bCs w:val="0"/>
                <w:color w:val="000000"/>
                <w:kern w:val="0"/>
                <w:sz w:val="20"/>
                <w:szCs w:val="20"/>
                <w:u w:val="single"/>
              </w:rPr>
              <w:t>（多Agent OR 多智能体）AND（辩论 OR 仲裁）AND（证据链 OR 证据约束 OR 证据卡片）</w:t>
            </w:r>
          </w:p>
          <w:p w14:paraId="413909C4">
            <w:pPr>
              <w:numPr>
                <w:ilvl w:val="0"/>
                <w:numId w:val="4"/>
              </w:numPr>
              <w:ind w:left="425" w:leftChars="0" w:hanging="425" w:firstLineChars="0"/>
              <w:rPr>
                <w:rFonts w:hint="eastAsia" w:ascii="黑体" w:hAnsi="Courier New" w:eastAsia="黑体" w:cs="Courier New"/>
                <w:b w:val="0"/>
                <w:bCs w:val="0"/>
                <w:color w:val="000000"/>
                <w:kern w:val="0"/>
                <w:sz w:val="20"/>
                <w:szCs w:val="20"/>
                <w:u w:val="single"/>
              </w:rPr>
            </w:pPr>
            <w:r>
              <w:rPr>
                <w:rFonts w:hint="eastAsia" w:ascii="黑体" w:hAnsi="Courier New" w:eastAsia="黑体" w:cs="Courier New"/>
                <w:b w:val="0"/>
                <w:bCs w:val="0"/>
                <w:color w:val="000000"/>
                <w:kern w:val="0"/>
                <w:sz w:val="20"/>
                <w:szCs w:val="20"/>
                <w:u w:val="single"/>
              </w:rPr>
              <w:t>（大语言模型 OR 大模型）AND（政务审核 OR 资格审核 OR 政策审核）AND（证据链 OR 人工复核）</w:t>
            </w:r>
          </w:p>
          <w:p w14:paraId="3DCED957">
            <w:pPr>
              <w:numPr>
                <w:ilvl w:val="0"/>
                <w:numId w:val="4"/>
              </w:numPr>
              <w:ind w:left="425" w:leftChars="0" w:hanging="425" w:firstLineChars="0"/>
              <w:rPr>
                <w:rFonts w:hint="eastAsia" w:ascii="黑体" w:hAnsi="Courier New" w:eastAsia="黑体" w:cs="Courier New"/>
                <w:b w:val="0"/>
                <w:bCs w:val="0"/>
                <w:color w:val="000000"/>
                <w:kern w:val="0"/>
                <w:sz w:val="20"/>
                <w:szCs w:val="20"/>
                <w:u w:val="single"/>
              </w:rPr>
            </w:pPr>
            <w:r>
              <w:rPr>
                <w:rFonts w:hint="eastAsia" w:ascii="黑体" w:hAnsi="Courier New" w:eastAsia="黑体" w:cs="Courier New"/>
                <w:b w:val="0"/>
                <w:bCs w:val="0"/>
                <w:color w:val="000000"/>
                <w:kern w:val="0"/>
                <w:sz w:val="20"/>
                <w:szCs w:val="20"/>
                <w:u w:val="single"/>
              </w:rPr>
              <w:t>（Text-to-SQL OR 自然语言转SQL OR NL2SQL）AND（政策规则 OR 政务 OR 资格审查）</w:t>
            </w:r>
          </w:p>
          <w:p w14:paraId="45EDB408">
            <w:pPr>
              <w:numPr>
                <w:ilvl w:val="0"/>
                <w:numId w:val="4"/>
              </w:numPr>
              <w:ind w:left="425" w:leftChars="0" w:hanging="425" w:firstLineChars="0"/>
              <w:rPr>
                <w:rFonts w:hint="eastAsia" w:ascii="黑体" w:hAnsi="Courier New" w:eastAsia="黑体" w:cs="Courier New"/>
                <w:b w:val="0"/>
                <w:bCs w:val="0"/>
                <w:color w:val="000000"/>
                <w:kern w:val="0"/>
                <w:sz w:val="20"/>
                <w:szCs w:val="20"/>
                <w:u w:val="single"/>
              </w:rPr>
            </w:pPr>
            <w:r>
              <w:rPr>
                <w:rFonts w:hint="eastAsia" w:ascii="黑体" w:hAnsi="Courier New" w:eastAsia="黑体" w:cs="Courier New"/>
                <w:b w:val="0"/>
                <w:bCs w:val="0"/>
                <w:color w:val="000000"/>
                <w:kern w:val="0"/>
                <w:sz w:val="20"/>
                <w:szCs w:val="20"/>
                <w:u w:val="single"/>
              </w:rPr>
              <w:t>（SQL自修复 OR SQL执行反馈 OR SQL诊断）AND（Text-to-SQL OR 大语言模型）</w:t>
            </w:r>
          </w:p>
          <w:p w14:paraId="5A2BBFA9">
            <w:pPr>
              <w:numPr>
                <w:ilvl w:val="0"/>
                <w:numId w:val="4"/>
              </w:numPr>
              <w:ind w:left="425" w:leftChars="0" w:hanging="425" w:firstLineChars="0"/>
              <w:rPr>
                <w:rFonts w:hint="eastAsia" w:ascii="黑体" w:hAnsi="Courier New" w:eastAsia="黑体" w:cs="Courier New"/>
                <w:b w:val="0"/>
                <w:bCs w:val="0"/>
                <w:color w:val="000000"/>
                <w:kern w:val="0"/>
                <w:sz w:val="20"/>
                <w:szCs w:val="20"/>
                <w:u w:val="single"/>
              </w:rPr>
            </w:pPr>
            <w:r>
              <w:rPr>
                <w:rFonts w:hint="eastAsia" w:ascii="黑体" w:hAnsi="Courier New" w:eastAsia="黑体" w:cs="Courier New"/>
                <w:b w:val="0"/>
                <w:bCs w:val="0"/>
                <w:color w:val="000000"/>
                <w:kern w:val="0"/>
                <w:sz w:val="20"/>
                <w:szCs w:val="20"/>
                <w:u w:val="single"/>
              </w:rPr>
              <w:t>("multi-agent debate" OR "multi-agent arbitration") AND ("evidence chain" OR "evidence-constrained")</w:t>
            </w:r>
          </w:p>
          <w:p w14:paraId="5B49C883">
            <w:pPr>
              <w:numPr>
                <w:ilvl w:val="0"/>
                <w:numId w:val="4"/>
              </w:numPr>
              <w:ind w:left="425" w:leftChars="0" w:hanging="425" w:firstLineChars="0"/>
              <w:rPr>
                <w:rFonts w:hint="eastAsia" w:ascii="黑体" w:hAnsi="Courier New" w:eastAsia="黑体" w:cs="Courier New"/>
                <w:b w:val="0"/>
                <w:bCs w:val="0"/>
                <w:color w:val="000000"/>
                <w:kern w:val="0"/>
                <w:sz w:val="20"/>
                <w:szCs w:val="20"/>
                <w:u w:val="single"/>
              </w:rPr>
            </w:pPr>
            <w:r>
              <w:rPr>
                <w:rFonts w:hint="eastAsia" w:ascii="黑体" w:hAnsi="Courier New" w:eastAsia="黑体" w:cs="Courier New"/>
                <w:b w:val="0"/>
                <w:bCs w:val="0"/>
                <w:color w:val="000000"/>
                <w:kern w:val="0"/>
                <w:sz w:val="20"/>
                <w:szCs w:val="20"/>
                <w:u w:val="single"/>
              </w:rPr>
              <w:t>("Text-to-SQL" OR NL2SQL) AND (policy OR government OR "qualification review")</w:t>
            </w:r>
          </w:p>
          <w:p w14:paraId="780CA3E0">
            <w:pPr>
              <w:numPr>
                <w:ilvl w:val="0"/>
                <w:numId w:val="4"/>
              </w:numPr>
              <w:ind w:left="425" w:leftChars="0" w:hanging="425" w:firstLineChars="0"/>
              <w:rPr>
                <w:rFonts w:hint="eastAsia" w:ascii="黑体" w:hAnsi="Courier New" w:eastAsia="黑体" w:cs="Courier New"/>
                <w:b w:val="0"/>
                <w:bCs w:val="0"/>
                <w:color w:val="000000"/>
                <w:kern w:val="0"/>
                <w:sz w:val="20"/>
                <w:szCs w:val="20"/>
                <w:u w:val="single"/>
              </w:rPr>
            </w:pPr>
            <w:r>
              <w:rPr>
                <w:rFonts w:hint="eastAsia" w:ascii="黑体" w:hAnsi="Courier New" w:eastAsia="黑体" w:cs="Courier New"/>
                <w:b w:val="0"/>
                <w:bCs w:val="0"/>
                <w:color w:val="000000"/>
                <w:kern w:val="0"/>
                <w:sz w:val="20"/>
                <w:szCs w:val="20"/>
                <w:u w:val="single"/>
              </w:rPr>
              <w:t>("Text-to-SQL" OR NL2SQL) AND ("execution feedback" OR self-correction OR self-repair)</w:t>
            </w:r>
          </w:p>
          <w:p w14:paraId="314B6DF7">
            <w:pPr>
              <w:numPr>
                <w:ilvl w:val="0"/>
                <w:numId w:val="4"/>
              </w:numPr>
              <w:ind w:left="425" w:leftChars="0" w:hanging="425" w:firstLineChars="0"/>
              <w:rPr>
                <w:color w:val="000000"/>
              </w:rPr>
            </w:pPr>
            <w:r>
              <w:rPr>
                <w:rFonts w:hint="eastAsia" w:ascii="黑体" w:hAnsi="Courier New" w:eastAsia="黑体" w:cs="Courier New"/>
                <w:b w:val="0"/>
                <w:bCs w:val="0"/>
                <w:color w:val="000000"/>
                <w:kern w:val="0"/>
                <w:sz w:val="20"/>
                <w:szCs w:val="20"/>
                <w:u w:val="single"/>
              </w:rPr>
              <w:t>("human-in-the-loop" OR "human review") AND ("audit trail" OR traceability) AND ("large language model" OR LLM)</w:t>
            </w:r>
          </w:p>
        </w:tc>
      </w:tr>
      <w:tr w14:paraId="68BC4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5F39577B">
            <w:pPr>
              <w:pStyle w:val="12"/>
              <w:spacing w:line="360" w:lineRule="auto"/>
              <w:rPr>
                <w:color w:val="000000"/>
              </w:rPr>
            </w:pPr>
            <w:r>
              <w:rPr>
                <w:rFonts w:hint="eastAsia"/>
                <w:b/>
                <w:bCs/>
                <w:color w:val="000000"/>
                <w:sz w:val="21"/>
              </w:rPr>
              <w:t>五．检索结果</w:t>
            </w:r>
          </w:p>
          <w:p w14:paraId="4A4BB24E">
            <w:pPr>
              <w:pStyle w:val="12"/>
              <w:spacing w:line="360" w:lineRule="auto"/>
              <w:ind w:firstLine="420" w:firstLineChars="200"/>
              <w:rPr>
                <w:rFonts w:hint="eastAsia" w:ascii="Times New Roman" w:hAnsi="Times New Roman" w:cs="Times New Roman"/>
                <w:color w:val="000000"/>
                <w:kern w:val="2"/>
                <w:sz w:val="21"/>
                <w:szCs w:val="24"/>
              </w:rPr>
            </w:pPr>
            <w:r>
              <w:rPr>
                <w:rFonts w:hint="eastAsia" w:ascii="Times New Roman" w:hAnsi="Times New Roman" w:cs="Times New Roman"/>
                <w:color w:val="000000"/>
                <w:kern w:val="2"/>
                <w:sz w:val="21"/>
                <w:szCs w:val="24"/>
              </w:rPr>
              <w:t>按上述检索词，在以上数据库和文献时限内，查到一些与本课题有关的文献，提供附件</w:t>
            </w:r>
            <w:r>
              <w:rPr>
                <w:rFonts w:hint="eastAsia" w:ascii="Times New Roman" w:hAnsi="Times New Roman" w:cs="Times New Roman"/>
                <w:color w:val="000000"/>
                <w:kern w:val="2"/>
                <w:sz w:val="21"/>
                <w:szCs w:val="24"/>
                <w:u w:val="single"/>
              </w:rPr>
              <w:t>（</w:t>
            </w:r>
            <w:r>
              <w:rPr>
                <w:rFonts w:hint="eastAsia" w:ascii="Times New Roman" w:hAnsi="Times New Roman" w:cs="Times New Roman"/>
                <w:color w:val="000000"/>
                <w:kern w:val="2"/>
                <w:sz w:val="21"/>
                <w:szCs w:val="24"/>
                <w:u w:val="single"/>
                <w:lang w:val="en-US" w:eastAsia="zh-CN"/>
              </w:rPr>
              <w:t>10</w:t>
            </w:r>
            <w:r>
              <w:rPr>
                <w:rFonts w:hint="eastAsia" w:ascii="Times New Roman" w:hAnsi="Times New Roman" w:cs="Times New Roman"/>
                <w:color w:val="000000"/>
                <w:kern w:val="2"/>
                <w:sz w:val="21"/>
                <w:szCs w:val="24"/>
                <w:u w:val="single"/>
              </w:rPr>
              <w:t>）</w:t>
            </w:r>
            <w:r>
              <w:rPr>
                <w:rFonts w:hint="eastAsia" w:ascii="Times New Roman" w:hAnsi="Times New Roman" w:cs="Times New Roman"/>
                <w:color w:val="000000"/>
                <w:kern w:val="2"/>
                <w:sz w:val="21"/>
                <w:szCs w:val="24"/>
              </w:rPr>
              <w:t>份，现对附件摘述如下：</w:t>
            </w:r>
          </w:p>
          <w:p w14:paraId="4DB96FFE">
            <w:pPr>
              <w:pStyle w:val="12"/>
              <w:spacing w:line="360" w:lineRule="auto"/>
              <w:ind w:firstLine="420" w:firstLineChars="200"/>
              <w:rPr>
                <w:rFonts w:hint="eastAsia" w:ascii="Times New Roman" w:hAnsi="Times New Roman" w:cs="Times New Roman"/>
                <w:color w:val="000000"/>
                <w:kern w:val="2"/>
                <w:sz w:val="21"/>
                <w:szCs w:val="24"/>
              </w:rPr>
            </w:pPr>
            <w:r>
              <w:rPr>
                <w:rFonts w:hint="eastAsia" w:ascii="Times New Roman" w:hAnsi="Times New Roman" w:cs="Times New Roman"/>
                <w:color w:val="000000"/>
                <w:kern w:val="2"/>
                <w:sz w:val="21"/>
                <w:szCs w:val="24"/>
                <w:lang w:val="en-US" w:eastAsia="zh-CN"/>
              </w:rPr>
              <w:t>1</w:t>
            </w:r>
            <w:r>
              <w:rPr>
                <w:rFonts w:hint="eastAsia" w:ascii="Times New Roman" w:hAnsi="Times New Roman" w:cs="Times New Roman"/>
                <w:color w:val="000000"/>
                <w:kern w:val="2"/>
                <w:sz w:val="21"/>
                <w:szCs w:val="24"/>
              </w:rPr>
              <w:t>.[题名] 基于深度学习的SQL生成研究综述</w:t>
            </w:r>
          </w:p>
          <w:p w14:paraId="345D96E7">
            <w:pPr>
              <w:pStyle w:val="12"/>
              <w:spacing w:line="360" w:lineRule="auto"/>
              <w:ind w:firstLine="420" w:firstLineChars="200"/>
              <w:rPr>
                <w:rFonts w:hint="eastAsia" w:ascii="Times New Roman" w:hAnsi="Times New Roman" w:cs="Times New Roman"/>
                <w:color w:val="000000"/>
                <w:kern w:val="2"/>
                <w:sz w:val="21"/>
                <w:szCs w:val="24"/>
              </w:rPr>
            </w:pPr>
            <w:r>
              <w:rPr>
                <w:rFonts w:hint="eastAsia" w:ascii="Times New Roman" w:hAnsi="Times New Roman" w:cs="Times New Roman"/>
                <w:color w:val="000000"/>
                <w:kern w:val="2"/>
                <w:sz w:val="21"/>
                <w:szCs w:val="24"/>
              </w:rPr>
              <w:t>[作者] 梁清源，朱琪豪，孙泽宇，张路，张文杰，熊英飞，梁广泰，郁莲</w:t>
            </w:r>
          </w:p>
          <w:p w14:paraId="26B7E2D0">
            <w:pPr>
              <w:pStyle w:val="12"/>
              <w:spacing w:line="360" w:lineRule="auto"/>
              <w:ind w:firstLine="420" w:firstLineChars="200"/>
              <w:rPr>
                <w:rFonts w:hint="eastAsia" w:ascii="Times New Roman" w:hAnsi="Times New Roman" w:cs="Times New Roman"/>
                <w:color w:val="000000"/>
                <w:kern w:val="2"/>
                <w:sz w:val="21"/>
                <w:szCs w:val="24"/>
              </w:rPr>
            </w:pPr>
            <w:r>
              <w:rPr>
                <w:rFonts w:hint="eastAsia" w:ascii="Times New Roman" w:hAnsi="Times New Roman" w:cs="Times New Roman"/>
                <w:color w:val="000000"/>
                <w:kern w:val="2"/>
                <w:sz w:val="21"/>
                <w:szCs w:val="24"/>
              </w:rPr>
              <w:t>[来源] 《中国科学：信息科学》，2022，52(8)：1363–1392。</w:t>
            </w:r>
          </w:p>
          <w:p w14:paraId="407368B8">
            <w:pPr>
              <w:pStyle w:val="12"/>
              <w:spacing w:line="360" w:lineRule="auto"/>
              <w:ind w:firstLine="420" w:firstLineChars="200"/>
              <w:rPr>
                <w:rFonts w:hint="eastAsia" w:ascii="Times New Roman" w:hAnsi="Times New Roman" w:cs="Times New Roman"/>
                <w:color w:val="000000"/>
                <w:kern w:val="2"/>
                <w:sz w:val="21"/>
                <w:szCs w:val="24"/>
              </w:rPr>
            </w:pPr>
            <w:r>
              <w:rPr>
                <w:rFonts w:hint="eastAsia" w:ascii="Times New Roman" w:hAnsi="Times New Roman" w:cs="Times New Roman"/>
                <w:color w:val="000000"/>
                <w:kern w:val="2"/>
                <w:sz w:val="21"/>
                <w:szCs w:val="24"/>
              </w:rPr>
              <w:t>[单位] 北京大学；悉尼科技大学等。</w:t>
            </w:r>
          </w:p>
          <w:p w14:paraId="5AC069D0">
            <w:pPr>
              <w:pStyle w:val="12"/>
              <w:spacing w:line="360" w:lineRule="auto"/>
              <w:ind w:firstLine="420" w:firstLineChars="200"/>
              <w:rPr>
                <w:rFonts w:hint="eastAsia" w:ascii="Times New Roman" w:hAnsi="Times New Roman" w:cs="Times New Roman"/>
                <w:color w:val="000000"/>
                <w:kern w:val="2"/>
                <w:sz w:val="21"/>
                <w:szCs w:val="24"/>
              </w:rPr>
            </w:pPr>
            <w:r>
              <w:rPr>
                <w:rFonts w:hint="eastAsia" w:ascii="Times New Roman" w:hAnsi="Times New Roman" w:cs="Times New Roman"/>
                <w:color w:val="000000"/>
                <w:kern w:val="2"/>
                <w:sz w:val="21"/>
                <w:szCs w:val="24"/>
              </w:rPr>
              <w:t>[摘要] SQL 生成 (text-to-SQL) 是自动化软件工程的重要应用之一, 也是语义解析领域的研究热点.SQL 生成根据输入的自然语言描述自动生成相应的 SQL 数据库查询语句, 它允许非专业人员在不了解 SQL 语法的情况下访问数据库. 随着大量 SQL 相关数据集的不断构造以及人工智能技术的卓越进步, SQL 生成任务也得到了极大的发展. 基于深度学习的 SQL 生成 (deep learning-based text-to-SQL)能够利用大规模数据的优势, 从已有数据中学习自然语言、数据库以及 SQL 语句的表示, 并根据新的自然语言输入生成符合查询需求的 SQL 语句. 相对于传统的 SQL 生成, 基于深度学习的 SQL 生成具有高准确率、输入信息灵活和可迭代学习的优点. 近年来, 研究者在基于深度学习的 SQL 生成方面进行了一系列的研究, 本文从 SQL 生成场景、数据集、模型结构和评估方法层面对现有研究进行分类综述.</w:t>
            </w:r>
          </w:p>
          <w:p w14:paraId="0A907C58">
            <w:pPr>
              <w:pStyle w:val="12"/>
              <w:spacing w:line="360" w:lineRule="auto"/>
              <w:ind w:firstLine="420" w:firstLineChars="200"/>
              <w:rPr>
                <w:rFonts w:hint="eastAsia" w:ascii="Times New Roman" w:hAnsi="Times New Roman" w:cs="Times New Roman"/>
                <w:color w:val="000000"/>
                <w:kern w:val="2"/>
                <w:sz w:val="21"/>
                <w:szCs w:val="24"/>
              </w:rPr>
            </w:pPr>
            <w:r>
              <w:rPr>
                <w:rFonts w:hint="eastAsia" w:ascii="Times New Roman" w:hAnsi="Times New Roman" w:cs="Times New Roman"/>
                <w:color w:val="000000"/>
                <w:kern w:val="2"/>
                <w:sz w:val="21"/>
                <w:szCs w:val="24"/>
                <w:lang w:val="en-US" w:eastAsia="zh-CN"/>
              </w:rPr>
              <w:t>2</w:t>
            </w:r>
            <w:r>
              <w:rPr>
                <w:rFonts w:hint="eastAsia" w:ascii="Times New Roman" w:hAnsi="Times New Roman" w:cs="Times New Roman"/>
                <w:color w:val="000000"/>
                <w:kern w:val="2"/>
                <w:sz w:val="21"/>
                <w:szCs w:val="24"/>
              </w:rPr>
              <w:t>.[题名] 基于大语言模型的政务智能化应用：技术现状、挑战与未来展望</w:t>
            </w:r>
          </w:p>
          <w:p w14:paraId="6465A5C4">
            <w:pPr>
              <w:pStyle w:val="12"/>
              <w:spacing w:line="360" w:lineRule="auto"/>
              <w:ind w:firstLine="420" w:firstLineChars="200"/>
              <w:rPr>
                <w:rFonts w:hint="eastAsia" w:ascii="Times New Roman" w:hAnsi="Times New Roman" w:cs="Times New Roman"/>
                <w:color w:val="000000"/>
                <w:kern w:val="2"/>
                <w:sz w:val="21"/>
                <w:szCs w:val="24"/>
              </w:rPr>
            </w:pPr>
            <w:r>
              <w:rPr>
                <w:rFonts w:hint="eastAsia" w:ascii="Times New Roman" w:hAnsi="Times New Roman" w:cs="Times New Roman"/>
                <w:color w:val="000000"/>
                <w:kern w:val="2"/>
                <w:sz w:val="21"/>
                <w:szCs w:val="24"/>
              </w:rPr>
              <w:t>[作者] 丁富登，毛文蔚，陈媛，石飞飞，刘妮妮，宁焕生</w:t>
            </w:r>
          </w:p>
          <w:p w14:paraId="1DE85B6F">
            <w:pPr>
              <w:pStyle w:val="12"/>
              <w:spacing w:line="360" w:lineRule="auto"/>
              <w:ind w:firstLine="420" w:firstLineChars="200"/>
              <w:rPr>
                <w:rFonts w:hint="eastAsia" w:ascii="Times New Roman" w:hAnsi="Times New Roman" w:cs="Times New Roman"/>
                <w:color w:val="000000"/>
                <w:kern w:val="2"/>
                <w:sz w:val="21"/>
                <w:szCs w:val="24"/>
              </w:rPr>
            </w:pPr>
            <w:r>
              <w:rPr>
                <w:rFonts w:hint="eastAsia" w:ascii="Times New Roman" w:hAnsi="Times New Roman" w:cs="Times New Roman"/>
                <w:color w:val="000000"/>
                <w:kern w:val="2"/>
                <w:sz w:val="21"/>
                <w:szCs w:val="24"/>
              </w:rPr>
              <w:t>[来源] 《工程科学学报》，2026，48(1)：1–16。DOI: 10.13374/j.issn2095-9389.2025.06.25.002。</w:t>
            </w:r>
          </w:p>
          <w:p w14:paraId="00A9A648">
            <w:pPr>
              <w:pStyle w:val="12"/>
              <w:spacing w:line="360" w:lineRule="auto"/>
              <w:ind w:firstLine="420" w:firstLineChars="200"/>
              <w:rPr>
                <w:rFonts w:hint="eastAsia" w:ascii="Times New Roman" w:hAnsi="Times New Roman" w:cs="Times New Roman"/>
                <w:color w:val="000000"/>
                <w:kern w:val="2"/>
                <w:sz w:val="21"/>
                <w:szCs w:val="24"/>
              </w:rPr>
            </w:pPr>
            <w:r>
              <w:rPr>
                <w:rFonts w:hint="eastAsia" w:ascii="Times New Roman" w:hAnsi="Times New Roman" w:cs="Times New Roman"/>
                <w:color w:val="000000"/>
                <w:kern w:val="2"/>
                <w:sz w:val="21"/>
                <w:szCs w:val="24"/>
              </w:rPr>
              <w:t>[单位] 北京科技大学计算机与通信工程学院；中移雄安信息通信科技有限公司。</w:t>
            </w:r>
          </w:p>
          <w:p w14:paraId="547A511B">
            <w:pPr>
              <w:pStyle w:val="12"/>
              <w:spacing w:line="360" w:lineRule="auto"/>
              <w:ind w:firstLine="420" w:firstLineChars="200"/>
              <w:rPr>
                <w:rFonts w:hint="eastAsia" w:ascii="Times New Roman" w:hAnsi="Times New Roman" w:cs="Times New Roman"/>
                <w:color w:val="000000"/>
                <w:kern w:val="2"/>
                <w:sz w:val="21"/>
                <w:szCs w:val="24"/>
              </w:rPr>
            </w:pPr>
            <w:r>
              <w:rPr>
                <w:rFonts w:hint="eastAsia" w:ascii="Times New Roman" w:hAnsi="Times New Roman" w:cs="Times New Roman"/>
                <w:color w:val="000000"/>
                <w:kern w:val="2"/>
                <w:sz w:val="21"/>
                <w:szCs w:val="24"/>
              </w:rPr>
              <w:t>[摘要] 随着数字化转型的加速，大语言模型作为人工智能领域的前沿技术，在政务智能化转型中发挥了关键作用. 本文系统性调研了大语言模型在政务领域的应用现状，从技术架构、方法路径到实际效能进行了深入分析. 文章重点探讨了政务大模型在智能问答、公文处理、决策支持及城市治理等场景中的具体应用，并总结了“预训练+领域微调”范式、提示词设计、知识库构建及AI智能体协同机制对传统政务模式的创新改造. 研究发现，大语言模型显著提升了政务服务效率与质量，同时促进了跨部门数据融合与流程再造. 然而，数据安全、模型可解释性以及伦理风险等问题仍构成制约技术进一步落地的关键挑战. 本文结合理论分析与实践案例，提出了面向政务服务优化、性能持续优化、多模态数据处理能力、政产学研用协同合作及监管体系完善的未来发展方向，为政务智能化转型提供理论与实践参考.</w:t>
            </w:r>
          </w:p>
          <w:p w14:paraId="6AAECD91">
            <w:pPr>
              <w:pStyle w:val="12"/>
              <w:spacing w:line="360" w:lineRule="auto"/>
              <w:ind w:left="1" w:firstLine="282" w:firstLineChars="141"/>
              <w:rPr>
                <w:color w:val="000000"/>
              </w:rPr>
            </w:pPr>
            <w:r>
              <w:rPr>
                <w:rFonts w:hint="eastAsia"/>
                <w:color w:val="000000"/>
                <w:lang w:val="en-US" w:eastAsia="zh-CN"/>
              </w:rPr>
              <w:t>3</w:t>
            </w:r>
            <w:r>
              <w:rPr>
                <w:rFonts w:hint="eastAsia"/>
                <w:color w:val="000000"/>
              </w:rPr>
              <w:t>.[题名]</w:t>
            </w:r>
            <w:r>
              <w:rPr>
                <w:color w:val="000000"/>
              </w:rPr>
              <w:t xml:space="preserve"> </w:t>
            </w:r>
            <w:r>
              <w:rPr>
                <w:rFonts w:hint="eastAsia"/>
                <w:color w:val="000000"/>
              </w:rPr>
              <w:t>Improving Factuality and Reasoning in Language Models through Multiagent Debate</w:t>
            </w:r>
          </w:p>
          <w:p w14:paraId="1E736545">
            <w:pPr>
              <w:pStyle w:val="12"/>
              <w:spacing w:line="360" w:lineRule="auto"/>
              <w:ind w:firstLine="426" w:firstLineChars="213"/>
              <w:rPr>
                <w:rFonts w:hint="eastAsia" w:eastAsia="黑体"/>
                <w:color w:val="000000"/>
                <w:lang w:val="en-US" w:eastAsia="zh-CN"/>
              </w:rPr>
            </w:pPr>
            <w:r>
              <w:rPr>
                <w:rFonts w:hint="eastAsia"/>
                <w:color w:val="000000"/>
              </w:rPr>
              <w:t>[作者]</w:t>
            </w:r>
            <w:r>
              <w:rPr>
                <w:rFonts w:hint="eastAsia"/>
                <w:color w:val="000000"/>
                <w:lang w:val="en-US" w:eastAsia="zh-CN"/>
              </w:rPr>
              <w:t xml:space="preserve"> Yilun Du, Shuang Li, Antonio Torralba, Joshua B. Tenenbaum, Igor Mordatch</w:t>
            </w:r>
          </w:p>
          <w:p w14:paraId="3BC537EE">
            <w:pPr>
              <w:pStyle w:val="12"/>
              <w:spacing w:line="360" w:lineRule="auto"/>
              <w:ind w:firstLine="426" w:firstLineChars="213"/>
              <w:rPr>
                <w:color w:val="000000"/>
              </w:rPr>
            </w:pPr>
            <w:r>
              <w:rPr>
                <w:rFonts w:hint="eastAsia"/>
                <w:color w:val="000000"/>
              </w:rPr>
              <w:t>[来源]</w:t>
            </w:r>
            <w:r>
              <w:rPr>
                <w:color w:val="000000"/>
              </w:rPr>
              <w:t xml:space="preserve"> </w:t>
            </w:r>
            <w:r>
              <w:rPr>
                <w:rFonts w:hint="eastAsia"/>
                <w:color w:val="000000"/>
              </w:rPr>
              <w:t>Proceedings of the 41st International Conference on Machine Learning, ICML 2024, Proceedings of Machine Learning Research, Vol.235, pp.11733–11763；早期版本为 arXiv preprint arXiv:2305.14325, 2023。</w:t>
            </w:r>
          </w:p>
          <w:p w14:paraId="44D76C2E">
            <w:pPr>
              <w:pStyle w:val="12"/>
              <w:spacing w:line="360" w:lineRule="auto"/>
              <w:ind w:firstLine="426" w:firstLineChars="213"/>
              <w:rPr>
                <w:rFonts w:hint="eastAsia" w:eastAsia="黑体"/>
                <w:color w:val="000000"/>
                <w:lang w:val="en-US" w:eastAsia="zh-CN"/>
              </w:rPr>
            </w:pPr>
            <w:r>
              <w:rPr>
                <w:rFonts w:hint="eastAsia"/>
                <w:color w:val="000000"/>
              </w:rPr>
              <w:t>[单位]</w:t>
            </w:r>
            <w:r>
              <w:rPr>
                <w:rFonts w:hint="eastAsia"/>
                <w:color w:val="000000"/>
                <w:lang w:val="en-US" w:eastAsia="zh-CN"/>
              </w:rPr>
              <w:t xml:space="preserve"> MIT CSAIL；MIT Department of Brain and Cognitive Sciences；MIT Center for Brains, Minds and Machines；Google Brain。</w:t>
            </w:r>
          </w:p>
          <w:p w14:paraId="753F27C5">
            <w:pPr>
              <w:pStyle w:val="12"/>
              <w:spacing w:line="360" w:lineRule="auto"/>
              <w:ind w:left="1" w:firstLine="426" w:firstLineChars="213"/>
              <w:rPr>
                <w:rFonts w:hint="eastAsia"/>
                <w:color w:val="000000"/>
              </w:rPr>
            </w:pPr>
            <w:r>
              <w:rPr>
                <w:rFonts w:hint="eastAsia"/>
                <w:color w:val="000000"/>
              </w:rPr>
              <w:t>[摘要]</w:t>
            </w:r>
            <w:r>
              <w:rPr>
                <w:color w:val="000000"/>
              </w:rPr>
              <w:t xml:space="preserve"> </w:t>
            </w:r>
            <w:r>
              <w:rPr>
                <w:rFonts w:hint="eastAsia"/>
                <w:color w:val="000000"/>
              </w:rPr>
              <w:t>Large language models (LLMs) have demonstrated remarkable capabilities in language generation, understanding, and few-shot learning in recent years. An extensive body of work has explored how their performance may be further improved through the tools of prompting, ranging from verification, self-consistency, or intermediate scratchpads. In this paper, we present a complementary approach to improve language responses where multiple language model instances propose and debate their individual responses and reasoning processes over multiple rounds to arrive at a common final answer. Our findings indicate that this approach significantly enhances mathematical and strategic reasoning across a number of tasks. We also demonstrate that our approach improves the factual validity of generated content, reducing fallacious answers and hallucinations that contemporary models are prone to. Our approach may be directly applied to existing black-box models and uses identical procedure and prompts for all tasks we investigate. Overall, our findings suggest that such "society of minds" approach has the potential to significantly advance the capabilities of LLMs and pave the way for further breakthroughs in language generation and understanding.文献2题名：ChatEval: Towards Better LLM-based Evaluators through Multi-Agent Debate作者：Chi-Min Chan, Weize Chen, Yusheng Su, Jianxuan Yu, Wei Xue, Shanghang Zhang, Jie Fu, Zhiyuan Liu来源：The Twelfth International Conference on Learning Representations, ICLR 2024。单位：Tsinghua University；Hong Kong University of Science and Technology；Peking University。摘要（原文）：Text evaluation has historically posed significant challenges, often demanding substantial labor and time cost. With the emergence of large language models (LLMs), researchers have explored LLMs' potential as alternatives for human evaluation. While these single-agent-based approacheSonnet 4.6</w:t>
            </w:r>
          </w:p>
          <w:p w14:paraId="2345DBC8">
            <w:pPr>
              <w:pStyle w:val="12"/>
              <w:spacing w:line="360" w:lineRule="auto"/>
              <w:ind w:left="1" w:firstLine="282" w:firstLineChars="141"/>
              <w:rPr>
                <w:color w:val="000000"/>
              </w:rPr>
            </w:pPr>
            <w:r>
              <w:rPr>
                <w:rFonts w:hint="eastAsia"/>
                <w:color w:val="000000"/>
                <w:lang w:val="en-US" w:eastAsia="zh-CN"/>
              </w:rPr>
              <w:t>4</w:t>
            </w:r>
            <w:r>
              <w:rPr>
                <w:rFonts w:hint="eastAsia"/>
                <w:color w:val="000000"/>
              </w:rPr>
              <w:t>.[题名]</w:t>
            </w:r>
            <w:r>
              <w:rPr>
                <w:color w:val="000000"/>
              </w:rPr>
              <w:t xml:space="preserve"> </w:t>
            </w:r>
            <w:r>
              <w:rPr>
                <w:rFonts w:hint="eastAsia"/>
                <w:color w:val="000000"/>
              </w:rPr>
              <w:t>ChatEval: Towards Better LLM-based Evaluators through Multi-Agent Debate</w:t>
            </w:r>
          </w:p>
          <w:p w14:paraId="3867B387">
            <w:pPr>
              <w:pStyle w:val="12"/>
              <w:spacing w:line="360" w:lineRule="auto"/>
              <w:ind w:firstLine="426" w:firstLineChars="213"/>
              <w:rPr>
                <w:rFonts w:hint="eastAsia" w:eastAsia="黑体"/>
                <w:color w:val="000000"/>
                <w:lang w:val="en-US" w:eastAsia="zh-CN"/>
              </w:rPr>
            </w:pPr>
            <w:r>
              <w:rPr>
                <w:rFonts w:hint="eastAsia"/>
                <w:color w:val="000000"/>
              </w:rPr>
              <w:t>[作者]</w:t>
            </w:r>
            <w:r>
              <w:rPr>
                <w:rFonts w:hint="eastAsia"/>
                <w:color w:val="000000"/>
                <w:lang w:val="en-US" w:eastAsia="zh-CN"/>
              </w:rPr>
              <w:t xml:space="preserve"> Chi-Min Chan, Weize Chen, Yusheng Su, Jianxuan Yu, Wei Xue, Shanghang Zhang, Jie Fu, Zhiyuan Liu</w:t>
            </w:r>
          </w:p>
          <w:p w14:paraId="3F00CEE4">
            <w:pPr>
              <w:pStyle w:val="12"/>
              <w:spacing w:line="360" w:lineRule="auto"/>
              <w:ind w:firstLine="426" w:firstLineChars="213"/>
              <w:rPr>
                <w:color w:val="000000"/>
              </w:rPr>
            </w:pPr>
            <w:r>
              <w:rPr>
                <w:rFonts w:hint="eastAsia"/>
                <w:color w:val="000000"/>
              </w:rPr>
              <w:t>[来源]</w:t>
            </w:r>
            <w:r>
              <w:rPr>
                <w:color w:val="000000"/>
              </w:rPr>
              <w:t xml:space="preserve"> </w:t>
            </w:r>
            <w:r>
              <w:rPr>
                <w:rFonts w:hint="eastAsia"/>
                <w:color w:val="000000"/>
              </w:rPr>
              <w:t>The Twelfth International Conference on Learning Representations, ICLR 2024。</w:t>
            </w:r>
          </w:p>
          <w:p w14:paraId="0A7C5D6A">
            <w:pPr>
              <w:pStyle w:val="12"/>
              <w:spacing w:line="360" w:lineRule="auto"/>
              <w:ind w:firstLine="426" w:firstLineChars="213"/>
              <w:rPr>
                <w:color w:val="000000"/>
              </w:rPr>
            </w:pPr>
            <w:r>
              <w:rPr>
                <w:rFonts w:hint="eastAsia"/>
                <w:color w:val="000000"/>
              </w:rPr>
              <w:t>[单位]</w:t>
            </w:r>
            <w:r>
              <w:rPr>
                <w:rFonts w:hint="eastAsia"/>
                <w:color w:val="000000"/>
                <w:lang w:val="en-US" w:eastAsia="zh-CN"/>
              </w:rPr>
              <w:t xml:space="preserve"> </w:t>
            </w:r>
            <w:r>
              <w:rPr>
                <w:rFonts w:hint="eastAsia"/>
                <w:color w:val="000000"/>
              </w:rPr>
              <w:t>Tsinghua University；Hong Kong University of Science and Technology；Peking University。</w:t>
            </w:r>
          </w:p>
          <w:p w14:paraId="7ABA7979">
            <w:pPr>
              <w:pStyle w:val="12"/>
              <w:spacing w:line="360" w:lineRule="auto"/>
              <w:ind w:left="1" w:firstLine="426" w:firstLineChars="213"/>
              <w:rPr>
                <w:color w:val="000000"/>
              </w:rPr>
            </w:pPr>
            <w:r>
              <w:rPr>
                <w:rFonts w:hint="eastAsia"/>
                <w:color w:val="000000"/>
              </w:rPr>
              <w:t>[摘要]</w:t>
            </w:r>
            <w:r>
              <w:rPr>
                <w:color w:val="000000"/>
              </w:rPr>
              <w:t xml:space="preserve"> </w:t>
            </w:r>
            <w:r>
              <w:rPr>
                <w:rFonts w:hint="eastAsia"/>
                <w:color w:val="000000"/>
              </w:rPr>
              <w:t>Text evaluation has historically posed significant challenges, often demanding substantial labor and time cost. With the emergence of large language models (LLMs), researchers have explored LLMs' potential as alternatives for human evaluation. While these single-agent-based approaches show promise, experimental results suggest that further advancements are needed to bridge the gap between their current effectiveness and human-level evaluation quality. Recognizing that best practices of human evaluation processes often involve multiple human annotators collaborating in the evaluation, we resort to a multi-agent debate framework, moving beyond single-agent prompting strategies. The multi-agent-based approach enables a group of LLMs to synergize with an array of intelligent counterparts, harnessing their distinct capabilities and expertise to enhance efficiency and effectiveness in handling intricate tasks. In this paper, we construct a multi-agent referee team called ChatEval to autonomously discuss and evaluate the quality of generated responses from different models on open-ended questions and traditional natural language generation (NLG) tasks. Our analysis shows that ChatEval transcends mere textual scoring, offering a human-mimicking evaluation process for reliable assessments.</w:t>
            </w:r>
          </w:p>
          <w:p w14:paraId="00D92FC9">
            <w:pPr>
              <w:pStyle w:val="12"/>
              <w:spacing w:line="360" w:lineRule="auto"/>
              <w:ind w:left="1" w:firstLine="282" w:firstLineChars="141"/>
              <w:rPr>
                <w:color w:val="000000"/>
              </w:rPr>
            </w:pPr>
            <w:r>
              <w:rPr>
                <w:rFonts w:hint="eastAsia"/>
                <w:color w:val="000000"/>
                <w:lang w:val="en-US" w:eastAsia="zh-CN"/>
              </w:rPr>
              <w:t>5</w:t>
            </w:r>
            <w:r>
              <w:rPr>
                <w:rFonts w:hint="eastAsia"/>
                <w:color w:val="000000"/>
              </w:rPr>
              <w:t>.[题名]</w:t>
            </w:r>
            <w:r>
              <w:rPr>
                <w:color w:val="000000"/>
              </w:rPr>
              <w:t xml:space="preserve"> </w:t>
            </w:r>
            <w:r>
              <w:rPr>
                <w:rFonts w:hint="eastAsia"/>
                <w:color w:val="000000"/>
              </w:rPr>
              <w:t>MAC-SQL: A Multi-Agent Collaborative Framework for Text-to-SQL</w:t>
            </w:r>
          </w:p>
          <w:p w14:paraId="455FEE5A">
            <w:pPr>
              <w:pStyle w:val="12"/>
              <w:spacing w:line="360" w:lineRule="auto"/>
              <w:ind w:firstLine="426" w:firstLineChars="213"/>
              <w:rPr>
                <w:rFonts w:hint="eastAsia" w:eastAsia="黑体"/>
                <w:color w:val="000000"/>
                <w:lang w:val="en-US" w:eastAsia="zh-CN"/>
              </w:rPr>
            </w:pPr>
            <w:r>
              <w:rPr>
                <w:rFonts w:hint="eastAsia"/>
                <w:color w:val="000000"/>
              </w:rPr>
              <w:t>[作者]</w:t>
            </w:r>
            <w:r>
              <w:rPr>
                <w:rFonts w:hint="eastAsia"/>
                <w:color w:val="000000"/>
                <w:lang w:val="en-US" w:eastAsia="zh-CN"/>
              </w:rPr>
              <w:t xml:space="preserve"> Bing Wang, Changyu Ren, Jian Yang, Xinnian Liang, Jiaqi Bai, LinZheng Chai, Zhao Yan, Qian-Wen Zhang, Di Yin, Xing Sun, Zhoujun Li</w:t>
            </w:r>
          </w:p>
          <w:p w14:paraId="71D9DC30">
            <w:pPr>
              <w:pStyle w:val="12"/>
              <w:spacing w:line="360" w:lineRule="auto"/>
              <w:ind w:firstLine="426" w:firstLineChars="213"/>
              <w:rPr>
                <w:color w:val="000000"/>
              </w:rPr>
            </w:pPr>
            <w:r>
              <w:rPr>
                <w:rFonts w:hint="eastAsia"/>
                <w:color w:val="000000"/>
              </w:rPr>
              <w:t>[来源]</w:t>
            </w:r>
            <w:r>
              <w:rPr>
                <w:color w:val="000000"/>
              </w:rPr>
              <w:t xml:space="preserve"> </w:t>
            </w:r>
            <w:r>
              <w:rPr>
                <w:rFonts w:hint="eastAsia"/>
                <w:color w:val="000000"/>
              </w:rPr>
              <w:t>Proceedings of the 31st International Conference on Computational Linguistics, COLING 2025, pp.540–557, Abu Dhabi, UAE. Association for Computational Linguistics.</w:t>
            </w:r>
          </w:p>
          <w:p w14:paraId="1D7597D7">
            <w:pPr>
              <w:pStyle w:val="12"/>
              <w:spacing w:line="360" w:lineRule="auto"/>
              <w:ind w:firstLine="426" w:firstLineChars="213"/>
              <w:rPr>
                <w:color w:val="000000"/>
              </w:rPr>
            </w:pPr>
            <w:r>
              <w:rPr>
                <w:rFonts w:hint="eastAsia"/>
                <w:color w:val="000000"/>
              </w:rPr>
              <w:t>[单位]</w:t>
            </w:r>
            <w:r>
              <w:rPr>
                <w:rFonts w:hint="eastAsia"/>
                <w:color w:val="000000"/>
                <w:lang w:val="en-US" w:eastAsia="zh-CN"/>
              </w:rPr>
              <w:t xml:space="preserve"> </w:t>
            </w:r>
            <w:r>
              <w:rPr>
                <w:rFonts w:hint="eastAsia"/>
                <w:color w:val="000000"/>
              </w:rPr>
              <w:t>Beihang University；Tencent Youtu Lab。</w:t>
            </w:r>
          </w:p>
          <w:p w14:paraId="627CC29A">
            <w:pPr>
              <w:pStyle w:val="12"/>
              <w:spacing w:line="360" w:lineRule="auto"/>
              <w:ind w:left="1" w:firstLine="426" w:firstLineChars="213"/>
              <w:rPr>
                <w:color w:val="000000"/>
              </w:rPr>
            </w:pPr>
            <w:r>
              <w:rPr>
                <w:rFonts w:hint="eastAsia"/>
                <w:color w:val="000000"/>
              </w:rPr>
              <w:t>[摘要]</w:t>
            </w:r>
            <w:r>
              <w:rPr>
                <w:color w:val="000000"/>
              </w:rPr>
              <w:t xml:space="preserve"> </w:t>
            </w:r>
            <w:r>
              <w:rPr>
                <w:rFonts w:hint="eastAsia"/>
                <w:color w:val="000000"/>
              </w:rPr>
              <w:t>Recent LLM-based Text-to-SQL methods usually suffer from significant performance degradation on "huge" databases and complex user questions that require multi-step reasoning. Moreover, most existing methods neglect the crucial significance of LLMs utilizing external tools and model collaboration. To address these challenges, we introduce MAC-SQL, a novel LLM-based multi-agent collaborative framework. Our framework comprises a core decomposer agent for Text-to-SQL generation with few-shot chain-of-thought reasoning, accompanied by two auxiliary agents that utilize external tools or models to acquire smaller sub-databases and refine erroneous SQL queries. The decomposer agent collaborates with auxiliary agents, which are activated as needed and can be expanded to accommodate new features or tools for effective Text-to-SQL parsing. In our framework, we initially leverage GPT-4 as the strong backbone LLM for all agent tasks to determine the upper bound of our framework. We then fine-tune an open-sourced instruction-followed model, SQL-Llama, by leveraging Code Llama 7B, to accomplish all tasks as GPT-4 does. Experiments show that SQL-Llama achieves a comparable execution accuracy of 43.94, compared to the baseline accuracy of 46.35 for vanilla GPT-4. At the time of writing, MAC-SQL+GPT-4 achieves an execution accuracy of 59.59 when evaluated on the BIRD benchmark, establishing a new state-of-the-art (SOTA) on its holdout test set.</w:t>
            </w:r>
          </w:p>
          <w:p w14:paraId="411DF41B">
            <w:pPr>
              <w:pStyle w:val="12"/>
              <w:spacing w:line="360" w:lineRule="auto"/>
              <w:ind w:left="1" w:firstLine="282" w:firstLineChars="141"/>
              <w:rPr>
                <w:color w:val="000000"/>
              </w:rPr>
            </w:pPr>
            <w:r>
              <w:rPr>
                <w:rFonts w:hint="eastAsia"/>
                <w:color w:val="000000"/>
                <w:lang w:val="en-US" w:eastAsia="zh-CN"/>
              </w:rPr>
              <w:t>6</w:t>
            </w:r>
            <w:r>
              <w:rPr>
                <w:rFonts w:hint="eastAsia"/>
                <w:color w:val="000000"/>
              </w:rPr>
              <w:t>.[题名]</w:t>
            </w:r>
            <w:r>
              <w:rPr>
                <w:color w:val="000000"/>
              </w:rPr>
              <w:t xml:space="preserve"> </w:t>
            </w:r>
            <w:r>
              <w:rPr>
                <w:rFonts w:hint="eastAsia"/>
                <w:color w:val="000000"/>
              </w:rPr>
              <w:t>Teaching Large Language Models to Self-Debug</w:t>
            </w:r>
          </w:p>
          <w:p w14:paraId="5E1B604C">
            <w:pPr>
              <w:pStyle w:val="12"/>
              <w:spacing w:line="360" w:lineRule="auto"/>
              <w:ind w:firstLine="426" w:firstLineChars="213"/>
              <w:rPr>
                <w:rFonts w:hint="eastAsia" w:eastAsia="黑体"/>
                <w:color w:val="000000"/>
                <w:lang w:val="en-US" w:eastAsia="zh-CN"/>
              </w:rPr>
            </w:pPr>
            <w:r>
              <w:rPr>
                <w:rFonts w:hint="eastAsia"/>
                <w:color w:val="000000"/>
              </w:rPr>
              <w:t>[作者]</w:t>
            </w:r>
            <w:r>
              <w:rPr>
                <w:rFonts w:hint="eastAsia"/>
                <w:color w:val="000000"/>
                <w:lang w:val="en-US" w:eastAsia="zh-CN"/>
              </w:rPr>
              <w:t xml:space="preserve"> Xinyun Chen, Maxwell Lin, Nathanael Schärli, Denny Zhou</w:t>
            </w:r>
          </w:p>
          <w:p w14:paraId="03518AF8">
            <w:pPr>
              <w:pStyle w:val="12"/>
              <w:spacing w:line="360" w:lineRule="auto"/>
              <w:ind w:firstLine="426" w:firstLineChars="213"/>
              <w:rPr>
                <w:color w:val="000000"/>
              </w:rPr>
            </w:pPr>
            <w:r>
              <w:rPr>
                <w:rFonts w:hint="eastAsia"/>
                <w:color w:val="000000"/>
              </w:rPr>
              <w:t>[来源]</w:t>
            </w:r>
            <w:r>
              <w:rPr>
                <w:color w:val="000000"/>
              </w:rPr>
              <w:t xml:space="preserve"> </w:t>
            </w:r>
            <w:r>
              <w:rPr>
                <w:rFonts w:hint="eastAsia"/>
                <w:color w:val="000000"/>
              </w:rPr>
              <w:t>The Twelfth International Conference on Learning Representations, ICLR 2024；早期版本为 arXiv preprint arXiv:2304.05128, 2023。</w:t>
            </w:r>
          </w:p>
          <w:p w14:paraId="3DBEC95D">
            <w:pPr>
              <w:pStyle w:val="12"/>
              <w:spacing w:line="360" w:lineRule="auto"/>
              <w:ind w:firstLine="426" w:firstLineChars="213"/>
              <w:rPr>
                <w:rFonts w:hint="eastAsia" w:eastAsia="黑体"/>
                <w:color w:val="000000"/>
                <w:lang w:val="en-US" w:eastAsia="zh-CN"/>
              </w:rPr>
            </w:pPr>
            <w:r>
              <w:rPr>
                <w:rFonts w:hint="eastAsia"/>
                <w:color w:val="000000"/>
              </w:rPr>
              <w:t>[单位]</w:t>
            </w:r>
            <w:r>
              <w:rPr>
                <w:rFonts w:hint="eastAsia"/>
                <w:color w:val="000000"/>
                <w:lang w:val="en-US" w:eastAsia="zh-CN"/>
              </w:rPr>
              <w:t xml:space="preserve"> Google DeepMind；University of California, Berkeley。</w:t>
            </w:r>
          </w:p>
          <w:p w14:paraId="318EAB05">
            <w:pPr>
              <w:pStyle w:val="12"/>
              <w:spacing w:line="360" w:lineRule="auto"/>
              <w:ind w:left="1" w:firstLine="426" w:firstLineChars="213"/>
              <w:rPr>
                <w:color w:val="000000"/>
              </w:rPr>
            </w:pPr>
            <w:r>
              <w:rPr>
                <w:rFonts w:hint="eastAsia"/>
                <w:color w:val="000000"/>
              </w:rPr>
              <w:t>[摘要]</w:t>
            </w:r>
            <w:r>
              <w:rPr>
                <w:color w:val="000000"/>
              </w:rPr>
              <w:t xml:space="preserve"> </w:t>
            </w:r>
            <w:r>
              <w:rPr>
                <w:rFonts w:hint="eastAsia"/>
                <w:color w:val="000000"/>
              </w:rPr>
              <w:t>Large language models (LLMs) have achieved impressive performance on code generation. However, for complex programming tasks, generating the correct solution in one go becomes challenging, thus some prior works have designed program repair approaches to improve code generation performance. In this work, we propose Self-Debugging, which teaches a large language model to debug its predicted program via few-shot demonstrations. In particular, we demonstrate that Self-Debugging can teach the large language model to perform rubber duck debugging; i.e., without any human feedback on the code correctness or error messages, the model is able to identify its mistakes by investigating the execution results and explaining the generated code in natural language. Self-Debugging achieves the state-of-the-art performance on several code generation benchmarks, including the Spider dataset for text-to-SQL generation, TransCoder for C++-to-Python translation, and MBPP for text-to-Python generation. On the Spider benchmark where there are no unit tests to verify the correctness of predictions, Self-Debugging with code explanation consistently improves the baseline by 2–3%, and improves the prediction accuracy on problems of the hardest level by 9%. On TransCoder and MBPP where unit tests are available, Self-Debugging improves the baseline accuracy by up to 12%. Meanwhile, by leveraging feedback messages and reusing failed predictions, Self-Debugging notably improves sample efficiency, and can match or outperform baseline models that generate more than 10x candidate programs.</w:t>
            </w:r>
          </w:p>
          <w:p w14:paraId="21EE340B">
            <w:pPr>
              <w:pStyle w:val="12"/>
              <w:spacing w:line="360" w:lineRule="auto"/>
              <w:ind w:left="1" w:firstLine="282" w:firstLineChars="141"/>
              <w:rPr>
                <w:color w:val="000000"/>
              </w:rPr>
            </w:pPr>
            <w:r>
              <w:rPr>
                <w:rFonts w:hint="eastAsia"/>
                <w:color w:val="000000"/>
                <w:lang w:val="en-US" w:eastAsia="zh-CN"/>
              </w:rPr>
              <w:t>7</w:t>
            </w:r>
            <w:r>
              <w:rPr>
                <w:rFonts w:hint="eastAsia"/>
                <w:color w:val="000000"/>
              </w:rPr>
              <w:t>.[题名]</w:t>
            </w:r>
            <w:r>
              <w:rPr>
                <w:color w:val="000000"/>
              </w:rPr>
              <w:t xml:space="preserve"> </w:t>
            </w:r>
            <w:r>
              <w:rPr>
                <w:rFonts w:hint="eastAsia"/>
                <w:color w:val="000000"/>
              </w:rPr>
              <w:t>Reflexion: Language Agents with Verbal Reinforcement Learning</w:t>
            </w:r>
          </w:p>
          <w:p w14:paraId="5E025673">
            <w:pPr>
              <w:pStyle w:val="12"/>
              <w:spacing w:line="360" w:lineRule="auto"/>
              <w:ind w:firstLine="426" w:firstLineChars="213"/>
              <w:rPr>
                <w:rFonts w:hint="eastAsia" w:eastAsia="黑体"/>
                <w:color w:val="000000"/>
                <w:lang w:val="en-US" w:eastAsia="zh-CN"/>
              </w:rPr>
            </w:pPr>
            <w:r>
              <w:rPr>
                <w:rFonts w:hint="eastAsia"/>
                <w:color w:val="000000"/>
              </w:rPr>
              <w:t>[作者]</w:t>
            </w:r>
            <w:r>
              <w:rPr>
                <w:rFonts w:hint="eastAsia"/>
                <w:color w:val="000000"/>
                <w:lang w:val="en-US" w:eastAsia="zh-CN"/>
              </w:rPr>
              <w:t xml:space="preserve"> Noah Shinn, Federico Cassano, Edward Berman, Ashwin Gopinath, Karthik Narasimhan, Shunyu Yao</w:t>
            </w:r>
          </w:p>
          <w:p w14:paraId="2514C782">
            <w:pPr>
              <w:pStyle w:val="12"/>
              <w:spacing w:line="360" w:lineRule="auto"/>
              <w:ind w:firstLine="426" w:firstLineChars="213"/>
              <w:rPr>
                <w:color w:val="000000"/>
              </w:rPr>
            </w:pPr>
            <w:r>
              <w:rPr>
                <w:rFonts w:hint="eastAsia"/>
                <w:color w:val="000000"/>
              </w:rPr>
              <w:t>[来源]</w:t>
            </w:r>
            <w:r>
              <w:rPr>
                <w:color w:val="000000"/>
              </w:rPr>
              <w:t xml:space="preserve"> </w:t>
            </w:r>
            <w:r>
              <w:rPr>
                <w:rFonts w:hint="eastAsia"/>
                <w:color w:val="000000"/>
              </w:rPr>
              <w:t>Advances in Neural Information Processing Systems 36, NeurIPS 2023。</w:t>
            </w:r>
          </w:p>
          <w:p w14:paraId="636770E2">
            <w:pPr>
              <w:pStyle w:val="12"/>
              <w:spacing w:line="360" w:lineRule="auto"/>
              <w:ind w:firstLine="426" w:firstLineChars="213"/>
              <w:rPr>
                <w:rFonts w:hint="eastAsia" w:eastAsia="黑体"/>
                <w:color w:val="000000"/>
                <w:lang w:val="en-US" w:eastAsia="zh-CN"/>
              </w:rPr>
            </w:pPr>
            <w:r>
              <w:rPr>
                <w:rFonts w:hint="eastAsia"/>
                <w:color w:val="000000"/>
              </w:rPr>
              <w:t>[单位]</w:t>
            </w:r>
            <w:r>
              <w:rPr>
                <w:rFonts w:hint="eastAsia"/>
                <w:color w:val="000000"/>
                <w:lang w:val="en-US" w:eastAsia="zh-CN"/>
              </w:rPr>
              <w:t xml:space="preserve"> Northeastern University；MIT；Princeton University。</w:t>
            </w:r>
          </w:p>
          <w:p w14:paraId="57E4C668">
            <w:pPr>
              <w:pStyle w:val="12"/>
              <w:spacing w:line="360" w:lineRule="auto"/>
              <w:ind w:left="1" w:firstLine="426" w:firstLineChars="213"/>
              <w:rPr>
                <w:color w:val="000000"/>
              </w:rPr>
            </w:pPr>
            <w:r>
              <w:rPr>
                <w:rFonts w:hint="eastAsia"/>
                <w:color w:val="000000"/>
              </w:rPr>
              <w:t>[摘要]</w:t>
            </w:r>
            <w:r>
              <w:rPr>
                <w:color w:val="000000"/>
              </w:rPr>
              <w:t xml:space="preserve"> </w:t>
            </w:r>
            <w:r>
              <w:rPr>
                <w:rFonts w:hint="eastAsia"/>
                <w:color w:val="000000"/>
              </w:rPr>
              <w:t>Large language models (LLMs) have been increasingly used to interact with external environments (e.g., games, compilers, APIs) as goal-driven agents. However, it remains challenging for these language agents to quickly and efficiently learn from trial-and-error as traditional reinforcement learning methods require extensive training samples and expensive model fine-tuning. We propose Reflexion, a novel framework to reinforce language agents not by updating weights, but instead through linguistic feedback. Concretely, Reflexion agents verbally reflect on task feedback signals, then maintain their own reflective text in an episodic memory buffer to induce better decision-making in subsequent trials. Reflexion is flexible enough to incorporate various types (scalar values or free-form language) and sources (external or internally simulated) of feedback signals, and obtains significant improvements over a baseline agent across diverse tasks (sequential decision-making, coding, language reasoning). For example, Reflexion achieves a 91% pass@1 accuracy on the HumanEval coding benchmark, surpassing the previous state-of-the-art GPT-4 that achieves 80%. We also conduct ablation and analysis studies using different feedback signals, feedback incorporation methods, and agent types, and provide insights into how they affect performance.</w:t>
            </w:r>
          </w:p>
          <w:p w14:paraId="61ABA184">
            <w:pPr>
              <w:pStyle w:val="12"/>
              <w:spacing w:line="360" w:lineRule="auto"/>
              <w:ind w:left="1" w:firstLine="426" w:firstLineChars="213"/>
              <w:rPr>
                <w:rFonts w:hint="eastAsia"/>
                <w:color w:val="000000"/>
              </w:rPr>
            </w:pPr>
            <w:r>
              <w:rPr>
                <w:rFonts w:hint="eastAsia"/>
                <w:color w:val="000000"/>
                <w:lang w:val="en-US" w:eastAsia="zh-CN"/>
              </w:rPr>
              <w:t>8</w:t>
            </w:r>
            <w:r>
              <w:rPr>
                <w:rFonts w:hint="eastAsia"/>
                <w:color w:val="000000"/>
              </w:rPr>
              <w:t>.[题名] Retrieval-Augmented Generation for Large Language Models: A Survey</w:t>
            </w:r>
          </w:p>
          <w:p w14:paraId="52A6E98F">
            <w:pPr>
              <w:pStyle w:val="12"/>
              <w:spacing w:line="360" w:lineRule="auto"/>
              <w:ind w:left="1" w:firstLine="426" w:firstLineChars="213"/>
              <w:rPr>
                <w:rFonts w:hint="eastAsia"/>
                <w:color w:val="000000"/>
              </w:rPr>
            </w:pPr>
            <w:r>
              <w:rPr>
                <w:rFonts w:hint="eastAsia"/>
                <w:color w:val="000000"/>
              </w:rPr>
              <w:t>[作者] Yunfan Gao, Yun Xiong, Xinyu Gao, Kangxiang Jia, Jinliu Pan, Yuxi Bi, Yi Dai, Jiawei Sun, Meng Wang, Haofen Wang</w:t>
            </w:r>
          </w:p>
          <w:p w14:paraId="41D2C323">
            <w:pPr>
              <w:pStyle w:val="12"/>
              <w:spacing w:line="360" w:lineRule="auto"/>
              <w:ind w:left="1" w:firstLine="426" w:firstLineChars="213"/>
              <w:rPr>
                <w:rFonts w:hint="eastAsia"/>
                <w:color w:val="000000"/>
              </w:rPr>
            </w:pPr>
            <w:r>
              <w:rPr>
                <w:rFonts w:hint="eastAsia"/>
                <w:color w:val="000000"/>
              </w:rPr>
              <w:t>[来源] arXiv preprint arXiv:2312.10997, 2023（最新版本 v5 更新于 2024年3月27日）。</w:t>
            </w:r>
          </w:p>
          <w:p w14:paraId="4FA786BD">
            <w:pPr>
              <w:pStyle w:val="12"/>
              <w:spacing w:line="360" w:lineRule="auto"/>
              <w:ind w:left="1" w:firstLine="426" w:firstLineChars="213"/>
              <w:rPr>
                <w:rFonts w:hint="eastAsia"/>
                <w:color w:val="000000"/>
              </w:rPr>
            </w:pPr>
            <w:r>
              <w:rPr>
                <w:rFonts w:hint="eastAsia"/>
                <w:color w:val="000000"/>
              </w:rPr>
              <w:t>[单位] Shanghai Research Institute for Intelligent Autonomous Systems, Tongji University（Yunfan Gao、Yi Dai、Jiawei Sun、Haofen Wang等）；Shanghai Key Laboratory of Data Science, School of Computer Science, Fudan University（Yun Xiong、Xinyu Gao、Kangxiang Jia、Jinliu Pan等）；College of Design and Innovation, Tongji University；School of Computer Science, Fudan University（Qianyu Guo）。</w:t>
            </w:r>
          </w:p>
          <w:p w14:paraId="6BE42DD7">
            <w:pPr>
              <w:pStyle w:val="12"/>
              <w:spacing w:line="360" w:lineRule="auto"/>
              <w:ind w:left="1" w:firstLine="426" w:firstLineChars="213"/>
              <w:rPr>
                <w:rFonts w:hint="eastAsia"/>
                <w:color w:val="000000"/>
              </w:rPr>
            </w:pPr>
            <w:r>
              <w:rPr>
                <w:rFonts w:hint="eastAsia"/>
                <w:color w:val="000000"/>
              </w:rPr>
              <w:t>[摘要] 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w:t>
            </w:r>
          </w:p>
          <w:p w14:paraId="66FE5CA7">
            <w:pPr>
              <w:pStyle w:val="12"/>
              <w:spacing w:line="360" w:lineRule="auto"/>
              <w:ind w:left="1" w:firstLine="426" w:firstLineChars="213"/>
              <w:rPr>
                <w:rFonts w:hint="eastAsia"/>
                <w:color w:val="000000"/>
              </w:rPr>
            </w:pPr>
            <w:r>
              <w:rPr>
                <w:rFonts w:hint="eastAsia"/>
                <w:color w:val="000000"/>
                <w:lang w:val="en-US" w:eastAsia="zh-CN"/>
              </w:rPr>
              <w:t>9</w:t>
            </w:r>
            <w:r>
              <w:rPr>
                <w:rFonts w:hint="eastAsia"/>
                <w:color w:val="000000"/>
              </w:rPr>
              <w:t>.[题名] MiniCheck: Efficient Fact-Checking of LLMs on Grounding Documents</w:t>
            </w:r>
          </w:p>
          <w:p w14:paraId="27E707AB">
            <w:pPr>
              <w:pStyle w:val="12"/>
              <w:spacing w:line="360" w:lineRule="auto"/>
              <w:ind w:left="1" w:firstLine="426" w:firstLineChars="213"/>
              <w:rPr>
                <w:rFonts w:hint="eastAsia"/>
                <w:color w:val="000000"/>
              </w:rPr>
            </w:pPr>
            <w:r>
              <w:rPr>
                <w:rFonts w:hint="eastAsia"/>
                <w:color w:val="000000"/>
              </w:rPr>
              <w:t>[作者] Liyan Tang, Philippe Laban, Greg Durrett</w:t>
            </w:r>
          </w:p>
          <w:p w14:paraId="4F9C9957">
            <w:pPr>
              <w:pStyle w:val="12"/>
              <w:spacing w:line="360" w:lineRule="auto"/>
              <w:ind w:left="1" w:firstLine="426" w:firstLineChars="213"/>
              <w:rPr>
                <w:rFonts w:hint="eastAsia"/>
                <w:color w:val="000000"/>
              </w:rPr>
            </w:pPr>
            <w:r>
              <w:rPr>
                <w:rFonts w:hint="eastAsia"/>
                <w:color w:val="000000"/>
              </w:rPr>
              <w:t>[来源] Proceedings of the 2024 Conference on Empirical Methods in Natural Language Processing, EMNLP 2024, pp.8818–8847, Miami, Florida, USA. Association for Computational Linguistics. DOI: 10.18653/v1/2024.emnlp-main.499.</w:t>
            </w:r>
          </w:p>
          <w:p w14:paraId="3B9B6F1D">
            <w:pPr>
              <w:pStyle w:val="12"/>
              <w:spacing w:line="360" w:lineRule="auto"/>
              <w:ind w:left="1" w:firstLine="426" w:firstLineChars="213"/>
              <w:rPr>
                <w:rFonts w:hint="eastAsia"/>
                <w:color w:val="000000"/>
              </w:rPr>
            </w:pPr>
            <w:r>
              <w:rPr>
                <w:rFonts w:hint="eastAsia"/>
                <w:color w:val="000000"/>
              </w:rPr>
              <w:t>[单位] The University of Texas at Austin；Salesforce AI Research。</w:t>
            </w:r>
          </w:p>
          <w:p w14:paraId="30074F0D">
            <w:pPr>
              <w:pStyle w:val="12"/>
              <w:spacing w:line="360" w:lineRule="auto"/>
              <w:ind w:left="1" w:firstLine="426" w:firstLineChars="213"/>
              <w:rPr>
                <w:rFonts w:hint="eastAsia"/>
                <w:color w:val="000000"/>
              </w:rPr>
            </w:pPr>
            <w:r>
              <w:rPr>
                <w:rFonts w:hint="eastAsia"/>
                <w:color w:val="000000"/>
              </w:rPr>
              <w:t>[摘要] Recognizing if LLM output can be grounded in evidence is central to many tasks in NLP: retrieval-augmented generation, summarization, document-grounded dialogue, and more. Current approaches to this kind of fact-checking are based on verifying each piece of a model generation against potential evidence using an LLM. However, this process can be very computationally expensive, requiring many calls to a model to check a single response. In this work, we show how to build small fact-checking models that have GPT-4-level performance but for 400x lower cost. We do this by constructing synthetic training data with GPT-4, which involves creating realistic yet challenging instances of factual errors via a structured generation procedure. Training on this data teaches models to check each fact in the claim and recognize synthesis of information across sentences. For evaluation, we unify datasets from recent work on fact-checking and grounding LLM generations into a new benchmark, LLM-AggreFact. Our best system MiniCheck-FT5 (770M parameters) outperforms all systems of comparable size and reaches GPT-4 accuracy. We release LLM-AggreFact, code for data synthesis, and models.</w:t>
            </w:r>
          </w:p>
          <w:p w14:paraId="074EB5AA">
            <w:pPr>
              <w:pStyle w:val="12"/>
              <w:spacing w:line="360" w:lineRule="auto"/>
              <w:ind w:left="1" w:firstLine="426" w:firstLineChars="213"/>
              <w:rPr>
                <w:rFonts w:hint="eastAsia"/>
                <w:color w:val="000000"/>
              </w:rPr>
            </w:pPr>
            <w:r>
              <w:rPr>
                <w:rFonts w:hint="eastAsia"/>
                <w:color w:val="000000"/>
                <w:lang w:val="en-US" w:eastAsia="zh-CN"/>
              </w:rPr>
              <w:t>10</w:t>
            </w:r>
            <w:r>
              <w:rPr>
                <w:rFonts w:hint="eastAsia"/>
                <w:color w:val="000000"/>
              </w:rPr>
              <w:t>.[题名] Auditing Large Language Models: A Three-Layered Approach</w:t>
            </w:r>
          </w:p>
          <w:p w14:paraId="7644373F">
            <w:pPr>
              <w:pStyle w:val="12"/>
              <w:spacing w:line="360" w:lineRule="auto"/>
              <w:ind w:left="1" w:firstLine="426" w:firstLineChars="213"/>
              <w:rPr>
                <w:rFonts w:hint="eastAsia"/>
                <w:color w:val="000000"/>
              </w:rPr>
            </w:pPr>
            <w:r>
              <w:rPr>
                <w:rFonts w:hint="eastAsia"/>
                <w:color w:val="000000"/>
              </w:rPr>
              <w:t>[作者] Jakob Mökander, Jonas Schuett, Hannah Rose Kirk, Luciano Floridi</w:t>
            </w:r>
          </w:p>
          <w:p w14:paraId="3B0C5D91">
            <w:pPr>
              <w:pStyle w:val="12"/>
              <w:spacing w:line="360" w:lineRule="auto"/>
              <w:ind w:left="1" w:firstLine="426" w:firstLineChars="213"/>
              <w:rPr>
                <w:rFonts w:hint="eastAsia"/>
                <w:color w:val="000000"/>
              </w:rPr>
            </w:pPr>
            <w:r>
              <w:rPr>
                <w:rFonts w:hint="eastAsia"/>
                <w:color w:val="000000"/>
              </w:rPr>
              <w:t>[来源] AI and Ethics, 2023（在线发表于2023年5月30日），Vol.4, pp.1085–1115. DOI: 10.1007/s43681-023-00289-2.</w:t>
            </w:r>
          </w:p>
          <w:p w14:paraId="1DBE42B2">
            <w:pPr>
              <w:pStyle w:val="12"/>
              <w:spacing w:line="360" w:lineRule="auto"/>
              <w:ind w:left="1" w:firstLine="426" w:firstLineChars="213"/>
              <w:rPr>
                <w:rFonts w:hint="eastAsia"/>
                <w:color w:val="000000"/>
              </w:rPr>
            </w:pPr>
            <w:r>
              <w:rPr>
                <w:rFonts w:hint="eastAsia"/>
                <w:color w:val="000000"/>
              </w:rPr>
              <w:t>[单位] Oxford Internet Institute, University of Oxford；Centre for the Governance of AI；Center for Information Technology Policy, Princeton University；Goethe University Frankfurt；Department of Legal Studies, University of Bologna。</w:t>
            </w:r>
          </w:p>
          <w:p w14:paraId="28258661">
            <w:pPr>
              <w:pStyle w:val="12"/>
              <w:spacing w:line="360" w:lineRule="auto"/>
              <w:ind w:left="1" w:firstLine="426" w:firstLineChars="213"/>
              <w:rPr>
                <w:rFonts w:hint="eastAsia"/>
                <w:color w:val="000000"/>
              </w:rPr>
            </w:pPr>
            <w:r>
              <w:rPr>
                <w:rFonts w:hint="eastAsia"/>
                <w:color w:val="000000"/>
              </w:rPr>
              <w:t>[摘要] Large language models (LLMs) represent a major advance in artificial intelligence (AI) research. However, the widespread use of LLMs is also coupled with significant ethical and social challenges. Previous research has pointed towards auditing as a promising governance mechanism to help ensure that AI systems are designed and deployed in ways that are ethical, legal, and technically robust. However, existing auditing procedures fail to address the governance challenges posed by LLMs, which display emergent capabilities and are adaptable to a wide range of downstream tasks. In this article, we address that gap by outlining a novel blueprint for how to audit LLMs. Specifically, we propose a three-layered approach, whereby governance audits (of technology providers that design and disseminate LLMs), model audits (of LLMs after pre-training but prior to their release), and application audits (of applications based on LLMs) complement and inform each other. We show how audits, when conducted in a structured and coordinated manner on all three levels, can be a feasible and effective mechanism for identifying and managing some of the ethical and social risks posed by LLMs. However, it is important to remain realistic about what auditing can reasonably be expected to achieve. Therefore, we discuss the limitations not only of our three-layered approach but also of the prospect of auditing LLMs at all. Ultimately, this article seeks to expand the methodological toolkit available to technology providers and policymakers who wish to analyse and evaluate LLMs from technical, ethical, and legal perspectives.</w:t>
            </w:r>
          </w:p>
        </w:tc>
      </w:tr>
      <w:tr w14:paraId="02BF2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11E16396">
            <w:pPr>
              <w:pStyle w:val="12"/>
              <w:spacing w:line="360" w:lineRule="auto"/>
              <w:rPr>
                <w:color w:val="000000"/>
              </w:rPr>
            </w:pPr>
            <w:r>
              <w:rPr>
                <w:rFonts w:hint="eastAsia"/>
                <w:b/>
                <w:bCs/>
                <w:color w:val="000000"/>
                <w:sz w:val="21"/>
              </w:rPr>
              <w:t>六．查新结论</w:t>
            </w:r>
          </w:p>
          <w:p w14:paraId="6597FF06">
            <w:pPr>
              <w:pStyle w:val="12"/>
              <w:spacing w:line="360" w:lineRule="auto"/>
              <w:rPr>
                <w:rFonts w:hint="eastAsia"/>
                <w:color w:val="000000"/>
              </w:rPr>
            </w:pPr>
            <w:r>
              <w:rPr>
                <w:rFonts w:hint="eastAsia" w:ascii="Times New Roman" w:hAnsi="Times New Roman" w:cs="Times New Roman"/>
                <w:color w:val="000000"/>
                <w:kern w:val="2"/>
                <w:sz w:val="21"/>
                <w:szCs w:val="24"/>
              </w:rPr>
              <w:t>经对检索出的相关文献进行分析、对比，结论如下：</w:t>
            </w:r>
          </w:p>
          <w:p w14:paraId="493A2CFF">
            <w:pPr>
              <w:pStyle w:val="12"/>
              <w:spacing w:line="360" w:lineRule="auto"/>
              <w:ind w:left="0" w:leftChars="0" w:firstLine="402" w:firstLineChars="200"/>
              <w:rPr>
                <w:rFonts w:hint="eastAsia"/>
                <w:color w:val="000000"/>
              </w:rPr>
            </w:pPr>
            <w:r>
              <w:rPr>
                <w:rFonts w:hint="eastAsia"/>
                <w:b/>
                <w:bCs/>
                <w:color w:val="000000"/>
              </w:rPr>
              <w:t>文献1</w:t>
            </w:r>
            <w:r>
              <w:rPr>
                <w:rFonts w:hint="eastAsia"/>
                <w:color w:val="000000"/>
              </w:rPr>
              <w:t>：梁清源等（2022）《基于深度学习的SQL生成研究综述》系统综述了Text-to-SQL领域的场景分类、数据集、模型结构和评估方法，梳理了从规则方法到深度学习方法的演进脉络。但该综述关注的是SQL生成准确率的提升，未涉及将SQL查询结果作为结构化证据用于下游决策推理的应用范式，也未讨论SQL执行失败时的自诊断修复机制。</w:t>
            </w:r>
          </w:p>
          <w:p w14:paraId="1188FD0A">
            <w:pPr>
              <w:pStyle w:val="12"/>
              <w:spacing w:line="360" w:lineRule="auto"/>
              <w:ind w:left="0" w:leftChars="0" w:firstLine="402" w:firstLineChars="200"/>
              <w:rPr>
                <w:rFonts w:hint="eastAsia"/>
                <w:color w:val="000000"/>
              </w:rPr>
            </w:pPr>
            <w:r>
              <w:rPr>
                <w:rFonts w:hint="eastAsia"/>
                <w:b/>
                <w:bCs/>
                <w:color w:val="000000"/>
              </w:rPr>
              <w:t>文献2</w:t>
            </w:r>
            <w:r>
              <w:rPr>
                <w:rFonts w:hint="eastAsia"/>
                <w:color w:val="000000"/>
              </w:rPr>
              <w:t>：丁富登等（2026）《基于大语言模型的政务智能化应用：技术现状、挑战与未来展望》调研了大语言模型在政务智能问答、公文处理、决策支持等场景的应用现状，总结了"预训练+领域微调"范式和AI智能体协同机制。但该研究聚焦于政务大模型的通用应用框架，未涉及基于Text-to-SQL的证据链取证机制，也未探讨多Agent辩论仲裁在资格审核中的应用，其决策过程缺乏结构化的证据约束和全链路留痕能力。</w:t>
            </w:r>
          </w:p>
          <w:p w14:paraId="2939E48A">
            <w:pPr>
              <w:pStyle w:val="12"/>
              <w:spacing w:line="360" w:lineRule="auto"/>
              <w:ind w:left="0" w:leftChars="0" w:firstLine="402" w:firstLineChars="200"/>
              <w:rPr>
                <w:rFonts w:hint="eastAsia"/>
                <w:color w:val="000000"/>
              </w:rPr>
            </w:pPr>
            <w:r>
              <w:rPr>
                <w:rFonts w:hint="eastAsia"/>
                <w:b/>
                <w:bCs/>
                <w:color w:val="000000"/>
              </w:rPr>
              <w:t>文献3</w:t>
            </w:r>
            <w:r>
              <w:rPr>
                <w:rFonts w:hint="eastAsia"/>
                <w:color w:val="000000"/>
              </w:rPr>
              <w:t>：Du et al.（2024）《Improving Factuality and Reasoning in Language Models through Multiagent</w:t>
            </w:r>
            <w:r>
              <w:rPr>
                <w:rFonts w:hint="eastAsia"/>
                <w:color w:val="000000"/>
                <w:lang w:val="en-US" w:eastAsia="zh-CN"/>
              </w:rPr>
              <w:t xml:space="preserve"> </w:t>
            </w:r>
            <w:r>
              <w:rPr>
                <w:rFonts w:hint="eastAsia"/>
                <w:color w:val="000000"/>
              </w:rPr>
              <w:t>Debate》提出了多智能体多轮辩论框架，通过多个LLM实例提出各自回答并辩论以达成共识，在数学推理和事实准确性方面取得显著提升。但该研究面向通用问答和推理任务，未涉及政策资格审查场景，也未将数据库查询结果作为辩论的证据基础，各Agent的辩论缺乏结构化证据约束和形式化攻防关系检测。</w:t>
            </w:r>
          </w:p>
          <w:p w14:paraId="10CC9621">
            <w:pPr>
              <w:pStyle w:val="12"/>
              <w:spacing w:line="360" w:lineRule="auto"/>
              <w:ind w:left="0" w:leftChars="0" w:firstLine="402" w:firstLineChars="200"/>
              <w:rPr>
                <w:rFonts w:hint="eastAsia"/>
                <w:color w:val="000000"/>
              </w:rPr>
            </w:pPr>
            <w:r>
              <w:rPr>
                <w:rFonts w:hint="eastAsia"/>
                <w:b/>
                <w:bCs/>
                <w:color w:val="000000"/>
              </w:rPr>
              <w:t>文献4</w:t>
            </w:r>
            <w:r>
              <w:rPr>
                <w:rFonts w:hint="eastAsia"/>
                <w:color w:val="000000"/>
              </w:rPr>
              <w:t>： Chan et al.（2024）《ChatEval: Towards Better LLM-based Evaluators through Multi-Agent</w:t>
            </w:r>
            <w:r>
              <w:rPr>
                <w:rFonts w:hint="eastAsia"/>
                <w:color w:val="000000"/>
                <w:lang w:val="en-US" w:eastAsia="zh-CN"/>
              </w:rPr>
              <w:t xml:space="preserve"> </w:t>
            </w:r>
            <w:r>
              <w:rPr>
                <w:rFonts w:hint="eastAsia"/>
                <w:color w:val="000000"/>
              </w:rPr>
              <w:t>Debate》构建了多智能体裁判团队用于评估LLM生成质量，模拟多人类标注者的协作评估过程。但该研究聚焦于开放式问答和NLG任务的文本质量评估，未涉及政策规则驱动的结构化审核决策，也未引入证据质量评分和论辩框架中的攻防关系检测机制。</w:t>
            </w:r>
          </w:p>
          <w:p w14:paraId="15A55C47">
            <w:pPr>
              <w:pStyle w:val="12"/>
              <w:spacing w:line="360" w:lineRule="auto"/>
              <w:ind w:left="0" w:leftChars="0" w:firstLine="402" w:firstLineChars="200"/>
              <w:rPr>
                <w:rFonts w:hint="eastAsia"/>
                <w:color w:val="000000"/>
              </w:rPr>
            </w:pPr>
            <w:r>
              <w:rPr>
                <w:rFonts w:hint="eastAsia"/>
                <w:b/>
                <w:bCs/>
                <w:color w:val="000000"/>
              </w:rPr>
              <w:t>文献5</w:t>
            </w:r>
            <w:r>
              <w:rPr>
                <w:rFonts w:hint="eastAsia"/>
                <w:color w:val="000000"/>
              </w:rPr>
              <w:t>： Wang et al.（2025）《MAC-SQL: A Multi-Agent Collaborative Framework for</w:t>
            </w:r>
            <w:r>
              <w:rPr>
                <w:rFonts w:hint="eastAsia"/>
                <w:color w:val="000000"/>
                <w:lang w:val="en-US" w:eastAsia="zh-CN"/>
              </w:rPr>
              <w:t xml:space="preserve"> </w:t>
            </w:r>
            <w:r>
              <w:rPr>
                <w:rFonts w:hint="eastAsia"/>
                <w:color w:val="000000"/>
              </w:rPr>
              <w:t>Text-to-SQL》提出了由分解Agent和辅助Agent组成的多Agent协作框架用于Text-to-SQL</w:t>
            </w:r>
            <w:r>
              <w:rPr>
                <w:rFonts w:hint="eastAsia"/>
                <w:color w:val="000000"/>
                <w:lang w:eastAsia="zh-CN"/>
              </w:rPr>
              <w:t>，</w:t>
            </w:r>
            <w:r>
              <w:rPr>
                <w:rFonts w:hint="eastAsia"/>
                <w:color w:val="000000"/>
              </w:rPr>
              <w:t>通过数据库裁剪和SQL修正提升查询准确率。但该框架的Agent协作目标是提升SQL生成精度，而非将SQL结果转化为证据卡片用于审核决策；其Agent角色为功能分工（分解、裁剪、修正），而非审查立场对立（严格vs宽松、审计vs探索），缺乏辩论仲裁和保守结论形成机制。</w:t>
            </w:r>
          </w:p>
          <w:p w14:paraId="6DA3F847">
            <w:pPr>
              <w:pStyle w:val="12"/>
              <w:spacing w:line="360" w:lineRule="auto"/>
              <w:ind w:left="0" w:leftChars="0" w:firstLine="402" w:firstLineChars="200"/>
              <w:rPr>
                <w:rFonts w:hint="eastAsia"/>
                <w:color w:val="000000"/>
              </w:rPr>
            </w:pPr>
            <w:r>
              <w:rPr>
                <w:rFonts w:hint="eastAsia"/>
                <w:b/>
                <w:bCs/>
                <w:color w:val="000000"/>
              </w:rPr>
              <w:t>文献6</w:t>
            </w:r>
            <w:r>
              <w:rPr>
                <w:rFonts w:hint="eastAsia"/>
                <w:color w:val="000000"/>
              </w:rPr>
              <w:t>： Chen et al.（2024）《Teaching Large Language Models to</w:t>
            </w:r>
            <w:r>
              <w:rPr>
                <w:rFonts w:hint="eastAsia"/>
                <w:color w:val="000000"/>
                <w:lang w:val="en-US" w:eastAsia="zh-CN"/>
              </w:rPr>
              <w:t xml:space="preserve"> </w:t>
            </w:r>
            <w:r>
              <w:rPr>
                <w:rFonts w:hint="eastAsia"/>
                <w:color w:val="000000"/>
              </w:rPr>
              <w:t>Self-Debug》提出了Self-Debugging方法，通过让LLM检查执行结果并用自然语言解释代码来识别错误，在Spider等Text-to-SQL基准上提升了2%-9%的准确率。但该方法面向通用代码生成场景的单次SQL修复，未针对政务数据库的字段语义和业务规则设计分类诊断（如字段不存在、表名不匹配、空结果误判等），也未将修复过程作为可追溯证据链的一部分保留。</w:t>
            </w:r>
          </w:p>
          <w:p w14:paraId="254F18BD">
            <w:pPr>
              <w:pStyle w:val="12"/>
              <w:spacing w:line="360" w:lineRule="auto"/>
              <w:ind w:left="0" w:leftChars="0" w:firstLine="402" w:firstLineChars="200"/>
              <w:rPr>
                <w:rFonts w:hint="eastAsia"/>
                <w:color w:val="000000"/>
              </w:rPr>
            </w:pPr>
            <w:r>
              <w:rPr>
                <w:rFonts w:hint="eastAsia"/>
                <w:b/>
                <w:bCs/>
                <w:color w:val="000000"/>
              </w:rPr>
              <w:t>文献7</w:t>
            </w:r>
            <w:r>
              <w:rPr>
                <w:rFonts w:hint="eastAsia"/>
                <w:color w:val="000000"/>
              </w:rPr>
              <w:t>： Shinn et al.（2023）《Reflexion: Language Agents with Verbal Reinforcement Learning》提出了通过语言反馈而非权重更新来强化语言Agent的框架，Agent通过反思任务反馈信号并维护情景记忆来改进后续决策。但该研究面向通用决策和编程任务的试错学习，未涉及政策审查场景中基于规则类型的差异化证据语义判定（如"必须满足"规则与"必须排除"规则对空结果的不同解释），也未构建多Agent对抗辩论的审议式决策机制。</w:t>
            </w:r>
          </w:p>
          <w:p w14:paraId="100CD701">
            <w:pPr>
              <w:pStyle w:val="12"/>
              <w:spacing w:line="360" w:lineRule="auto"/>
              <w:ind w:left="0" w:leftChars="0" w:firstLine="402" w:firstLineChars="200"/>
              <w:rPr>
                <w:rFonts w:hint="eastAsia"/>
                <w:color w:val="000000"/>
              </w:rPr>
            </w:pPr>
            <w:r>
              <w:rPr>
                <w:rFonts w:hint="eastAsia"/>
                <w:b/>
                <w:bCs/>
                <w:color w:val="000000"/>
              </w:rPr>
              <w:t>文献8</w:t>
            </w:r>
            <w:r>
              <w:rPr>
                <w:rFonts w:hint="eastAsia"/>
                <w:color w:val="000000"/>
              </w:rPr>
              <w:t>： Gao et al.（2023）《Retrieval-Augmented Generation for Large Language Models: A</w:t>
            </w:r>
            <w:r>
              <w:rPr>
                <w:rFonts w:hint="eastAsia"/>
                <w:color w:val="000000"/>
                <w:lang w:val="en-US" w:eastAsia="zh-CN"/>
              </w:rPr>
              <w:t xml:space="preserve"> </w:t>
            </w:r>
            <w:r>
              <w:rPr>
                <w:rFonts w:hint="eastAsia"/>
                <w:color w:val="000000"/>
              </w:rPr>
              <w:t>Survey》系统综述了RAG范式（Naive RAG、Advanced RAG、Modular</w:t>
            </w:r>
            <w:r>
              <w:rPr>
                <w:rFonts w:hint="eastAsia"/>
                <w:color w:val="000000"/>
                <w:lang w:val="en-US" w:eastAsia="zh-CN"/>
              </w:rPr>
              <w:t xml:space="preserve"> </w:t>
            </w:r>
            <w:r>
              <w:rPr>
                <w:rFonts w:hint="eastAsia"/>
                <w:color w:val="000000"/>
              </w:rPr>
              <w:t>RAG），分析了检索、生成和增强三个核心组件的技术进展。但RAG框架的目标是通过外部知识增强LLM生成质量，与本课题"将SQL查询结果封装为证据卡片并约束多Agent辩论"的技术路线存在本质差异——RAG关注知识注入，本课题关注证据约束下的审议式决策。</w:t>
            </w:r>
          </w:p>
          <w:p w14:paraId="7CEB1B14">
            <w:pPr>
              <w:pStyle w:val="12"/>
              <w:spacing w:line="360" w:lineRule="auto"/>
              <w:ind w:left="0" w:leftChars="0" w:firstLine="402" w:firstLineChars="200"/>
              <w:rPr>
                <w:rFonts w:hint="eastAsia"/>
                <w:color w:val="000000"/>
              </w:rPr>
            </w:pPr>
            <w:r>
              <w:rPr>
                <w:rFonts w:hint="eastAsia"/>
                <w:b/>
                <w:bCs/>
                <w:color w:val="000000"/>
              </w:rPr>
              <w:t>文献9</w:t>
            </w:r>
            <w:r>
              <w:rPr>
                <w:rFonts w:hint="eastAsia"/>
                <w:color w:val="000000"/>
              </w:rPr>
              <w:t>： Tang et al.（2024）《MiniCheck: Efficient Fact-Checking of LLMs on Grounding</w:t>
            </w:r>
          </w:p>
          <w:p w14:paraId="2DFC6B8A">
            <w:pPr>
              <w:pStyle w:val="12"/>
              <w:spacing w:line="360" w:lineRule="auto"/>
              <w:ind w:left="0" w:leftChars="0" w:firstLine="0" w:firstLineChars="0"/>
              <w:rPr>
                <w:rFonts w:hint="eastAsia"/>
                <w:color w:val="000000"/>
              </w:rPr>
            </w:pPr>
            <w:r>
              <w:rPr>
                <w:rFonts w:hint="eastAsia"/>
                <w:color w:val="000000"/>
              </w:rPr>
              <w:t>Documents》研究了如何以低成本对LLM输出进行事实核查，构建了GPT-4级别的小型事实核查模型。但该研究面向通用文本的事实验证，未涉及结构化SQL查询结果的证据质量评估，也未将事实核查嵌入多Agent辩论仲裁流程中作为攻防关系判定的基础。</w:t>
            </w:r>
          </w:p>
          <w:p w14:paraId="7B47B75B">
            <w:pPr>
              <w:pStyle w:val="12"/>
              <w:spacing w:line="360" w:lineRule="auto"/>
              <w:ind w:left="0" w:leftChars="0" w:firstLine="402" w:firstLineChars="200"/>
              <w:rPr>
                <w:rFonts w:hint="eastAsia"/>
                <w:color w:val="000000"/>
              </w:rPr>
            </w:pPr>
            <w:r>
              <w:rPr>
                <w:rFonts w:hint="eastAsia"/>
                <w:b/>
                <w:bCs/>
                <w:color w:val="000000"/>
              </w:rPr>
              <w:t>文献10</w:t>
            </w:r>
            <w:r>
              <w:rPr>
                <w:rFonts w:hint="eastAsia"/>
                <w:color w:val="000000"/>
              </w:rPr>
              <w:t>： Mökander et al.（2023）《Auditing Large Language Models: A Three-Layered Approach》提出了治理审计、模型审计和应用审计三层LLM审计框架，为LLM系统的伦理和法律合规提供了方法论。但该研究从治理和监管视角讨论LLM审计的方法论框架，未涉及具体的技术实现方案，也未探讨在政策审核场景中如何通过证据链取证、多Agent辩论和人工复核闭环实现应用层面的可审计性。</w:t>
            </w:r>
          </w:p>
          <w:p w14:paraId="2C981DB9">
            <w:pPr>
              <w:pStyle w:val="12"/>
              <w:spacing w:line="360" w:lineRule="auto"/>
              <w:ind w:left="0" w:leftChars="0" w:firstLine="400" w:firstLineChars="200"/>
              <w:rPr>
                <w:rFonts w:hint="eastAsia"/>
                <w:color w:val="000000"/>
              </w:rPr>
            </w:pPr>
            <w:r>
              <w:rPr>
                <w:rFonts w:hint="eastAsia"/>
                <w:color w:val="000000"/>
              </w:rPr>
              <w:t>综上所述，现有研究在以下方面已有相关报道：（1）基于深度学习的Text-to-SQL技术（文献1）；（2）大语言模型在政务领域的应用探索（文献2）；（3）多智能体辩论机制提升LLM推理质量（文献3、4）；（4）多Agent协作的Text-to-SQL框架（文献5）；（5）SQL自调试与语言Agent反思机制（文献6、7）；（6）检索增强生成与事实核查技术（文献8、9）；（7）LLM系统的审计方法论（文献10）。</w:t>
            </w:r>
          </w:p>
          <w:p w14:paraId="76B78FDD">
            <w:pPr>
              <w:pStyle w:val="12"/>
              <w:spacing w:line="360" w:lineRule="auto"/>
              <w:ind w:left="0" w:leftChars="0" w:firstLine="400" w:firstLineChars="200"/>
              <w:rPr>
                <w:rFonts w:hint="eastAsia"/>
                <w:color w:val="000000"/>
              </w:rPr>
            </w:pPr>
            <w:r>
              <w:rPr>
                <w:rFonts w:hint="eastAsia"/>
                <w:color w:val="000000"/>
              </w:rPr>
              <w:t>但本课题的研究特点是：</w:t>
            </w:r>
          </w:p>
          <w:p w14:paraId="25DFEAE3">
            <w:pPr>
              <w:pStyle w:val="12"/>
              <w:spacing w:line="360" w:lineRule="auto"/>
              <w:ind w:left="0" w:leftChars="0" w:firstLine="400" w:firstLineChars="200"/>
              <w:rPr>
                <w:rFonts w:hint="eastAsia"/>
                <w:color w:val="000000"/>
              </w:rPr>
            </w:pPr>
            <w:r>
              <w:rPr>
                <w:rFonts w:hint="eastAsia"/>
                <w:color w:val="000000"/>
              </w:rPr>
              <w:t>1.规则驱动的T2SQL证据链取证——将政策规则转化为SQL取证任务，结果封装为证据卡片约束下游推理。移除证据约束后结论准确率从8  7.50%骤降至12.50%（对应查新点2）。</w:t>
            </w:r>
          </w:p>
          <w:p w14:paraId="3B3CA139">
            <w:pPr>
              <w:pStyle w:val="12"/>
              <w:spacing w:line="360" w:lineRule="auto"/>
              <w:ind w:left="0" w:leftChars="0" w:firstLine="400" w:firstLineChars="200"/>
              <w:rPr>
                <w:rFonts w:hint="eastAsia"/>
                <w:color w:val="000000"/>
              </w:rPr>
            </w:pPr>
            <w:r>
              <w:rPr>
                <w:rFonts w:hint="eastAsia"/>
                <w:color w:val="000000"/>
              </w:rPr>
              <w:t>2.面向执行反馈的SQL自诊断修复——针对政务数据库设计字段、表名、语法、空结果等分类诊断与自修复，完整链路SQL匹配率达91.24%（对应查新点3）。</w:t>
            </w:r>
          </w:p>
          <w:p w14:paraId="44D35655">
            <w:pPr>
              <w:pStyle w:val="12"/>
              <w:spacing w:line="360" w:lineRule="auto"/>
              <w:ind w:left="0" w:leftChars="0" w:firstLine="400" w:firstLineChars="200"/>
              <w:rPr>
                <w:rFonts w:hint="eastAsia"/>
                <w:color w:val="000000"/>
              </w:rPr>
            </w:pPr>
            <w:r>
              <w:rPr>
                <w:rFonts w:hint="eastAsia"/>
                <w:color w:val="000000"/>
              </w:rPr>
              <w:t>3. 证据约束下的多Agent辩论仲裁——多角色Agent在证据约束下辩论，综合证据充分性与分歧程度形成保守结论。决策质量分（91.04%）较单Agent基线（80.83%）提升10.21个百分点（对应查新点1）。</w:t>
            </w:r>
          </w:p>
          <w:p w14:paraId="20D1C5CC">
            <w:pPr>
              <w:pStyle w:val="12"/>
              <w:spacing w:line="360" w:lineRule="auto"/>
              <w:ind w:left="0" w:leftChars="0" w:firstLine="400" w:firstLineChars="200"/>
              <w:rPr>
                <w:rFonts w:hint="eastAsia"/>
                <w:color w:val="000000"/>
              </w:rPr>
            </w:pPr>
            <w:r>
              <w:rPr>
                <w:rFonts w:hint="eastAsia"/>
                <w:color w:val="000000"/>
              </w:rPr>
              <w:t>4.面向规则类型的证据语义判定——按"必须满足""必须排除""灵活评判"差异化解释查询结果，结论准确率达92.18%（对应查新点4）。</w:t>
            </w:r>
          </w:p>
          <w:p w14:paraId="081ED268">
            <w:pPr>
              <w:pStyle w:val="12"/>
              <w:spacing w:line="360" w:lineRule="auto"/>
              <w:ind w:left="0" w:leftChars="0" w:firstLine="400" w:firstLineChars="200"/>
              <w:rPr>
                <w:rFonts w:hint="eastAsia"/>
                <w:color w:val="000000"/>
              </w:rPr>
            </w:pPr>
            <w:r>
              <w:rPr>
                <w:rFonts w:hint="eastAsia"/>
                <w:color w:val="000000"/>
              </w:rPr>
              <w:t>5.人工复核参与的全链路留痕——保留经办人员最终确认权，审核全链路可回放、可归档，共识达成率91.67%，冲突识别率100%（对应查新点5）。</w:t>
            </w:r>
          </w:p>
          <w:p w14:paraId="30CC95BA">
            <w:pPr>
              <w:pStyle w:val="12"/>
              <w:spacing w:line="360" w:lineRule="auto"/>
              <w:ind w:left="0" w:leftChars="0" w:firstLine="400" w:firstLineChars="200"/>
              <w:rPr>
                <w:color w:val="000000"/>
              </w:rPr>
            </w:pPr>
            <w:r>
              <w:rPr>
                <w:rFonts w:hint="eastAsia"/>
                <w:color w:val="000000"/>
              </w:rPr>
              <w:t>综上，检索中未见与本课题"智策惠民——基于大模型与证据链取证的政务资格审核系统"在技术路线和系统架构上完全相同的报道，本课题具有新颖性。</w:t>
            </w:r>
          </w:p>
        </w:tc>
      </w:tr>
      <w:tr w14:paraId="1C80D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0F69FD9F">
            <w:pPr>
              <w:pStyle w:val="12"/>
              <w:spacing w:line="360" w:lineRule="auto"/>
              <w:rPr>
                <w:color w:val="000000"/>
              </w:rPr>
            </w:pPr>
            <w:r>
              <w:rPr>
                <w:rFonts w:hint="eastAsia"/>
                <w:b/>
                <w:bCs/>
                <w:color w:val="000000"/>
                <w:sz w:val="21"/>
              </w:rPr>
              <w:t>七．申报者本人、所在学院签字盖章的查新声明与证明</w:t>
            </w:r>
          </w:p>
          <w:p w14:paraId="47BA5D0E">
            <w:pPr>
              <w:pStyle w:val="12"/>
              <w:numPr>
                <w:ilvl w:val="0"/>
                <w:numId w:val="5"/>
              </w:numPr>
              <w:spacing w:line="360" w:lineRule="auto"/>
              <w:ind w:hanging="436"/>
              <w:rPr>
                <w:color w:val="000000"/>
              </w:rPr>
            </w:pPr>
            <w:r>
              <w:rPr>
                <w:rFonts w:hint="eastAsia"/>
                <w:color w:val="000000"/>
              </w:rPr>
              <w:t>报告中陈述的事实是真实和准确的。</w:t>
            </w:r>
          </w:p>
          <w:p w14:paraId="1B9D175F">
            <w:pPr>
              <w:pStyle w:val="12"/>
              <w:numPr>
                <w:ilvl w:val="0"/>
                <w:numId w:val="5"/>
              </w:numPr>
              <w:spacing w:line="360" w:lineRule="auto"/>
              <w:ind w:hanging="436"/>
              <w:rPr>
                <w:color w:val="000000"/>
              </w:rPr>
            </w:pPr>
            <w:r>
              <w:rPr>
                <w:rFonts w:hint="eastAsia"/>
                <w:color w:val="000000"/>
              </w:rPr>
              <w:t>我们按照大赛查新规范进行查新、文献分析和审核，并做出上述查新结论。</w:t>
            </w:r>
          </w:p>
          <w:p w14:paraId="5DAEC02C">
            <w:pPr>
              <w:pStyle w:val="12"/>
              <w:spacing w:line="360" w:lineRule="auto"/>
              <w:rPr>
                <w:color w:val="000000"/>
              </w:rPr>
            </w:pPr>
          </w:p>
          <w:p w14:paraId="73266D1F">
            <w:pPr>
              <w:pStyle w:val="12"/>
              <w:spacing w:line="360" w:lineRule="auto"/>
              <w:rPr>
                <w:color w:val="000000"/>
              </w:rPr>
            </w:pPr>
          </w:p>
          <w:p w14:paraId="6F1D082B">
            <w:pPr>
              <w:pStyle w:val="12"/>
              <w:spacing w:line="360" w:lineRule="auto"/>
              <w:ind w:firstLine="400" w:firstLineChars="200"/>
              <w:rPr>
                <w:color w:val="000000"/>
              </w:rPr>
            </w:pPr>
            <w:r>
              <w:rPr>
                <w:rFonts w:hint="eastAsia"/>
                <w:color w:val="000000"/>
              </w:rPr>
              <w:t>申报者（签字）：</w:t>
            </w:r>
            <w:r>
              <w:drawing>
                <wp:inline distT="0" distB="0" distL="114300" distR="114300">
                  <wp:extent cx="1229360" cy="618490"/>
                  <wp:effectExtent l="0" t="0" r="2540" b="3810"/>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17"/>
                          <a:stretch>
                            <a:fillRect/>
                          </a:stretch>
                        </pic:blipFill>
                        <pic:spPr>
                          <a:xfrm>
                            <a:off x="0" y="0"/>
                            <a:ext cx="1229360" cy="618490"/>
                          </a:xfrm>
                          <a:prstGeom prst="rect">
                            <a:avLst/>
                          </a:prstGeom>
                          <a:noFill/>
                          <a:ln>
                            <a:noFill/>
                          </a:ln>
                        </pic:spPr>
                      </pic:pic>
                    </a:graphicData>
                  </a:graphic>
                </wp:inline>
              </w:drawing>
            </w:r>
            <w:r>
              <w:rPr>
                <w:rFonts w:hint="eastAsia"/>
                <w:color w:val="000000"/>
              </w:rPr>
              <w:t xml:space="preserve">  申报者所在学院（盖章）：</w:t>
            </w:r>
          </w:p>
          <w:p w14:paraId="50B5A278">
            <w:pPr>
              <w:pStyle w:val="12"/>
              <w:spacing w:line="360" w:lineRule="auto"/>
              <w:ind w:firstLine="200" w:firstLineChars="100"/>
              <w:rPr>
                <w:rFonts w:hint="default" w:eastAsia="黑体"/>
                <w:color w:val="000000"/>
                <w:lang w:val="en-US" w:eastAsia="zh-CN"/>
              </w:rPr>
            </w:pPr>
            <w:r>
              <w:rPr>
                <w:rFonts w:hint="eastAsia"/>
                <w:color w:val="000000"/>
                <w:lang w:val="en-US" w:eastAsia="zh-CN"/>
              </w:rPr>
              <w:t xml:space="preserve">                   </w:t>
            </w:r>
            <w:r>
              <w:rPr>
                <w:rFonts w:ascii="宋体" w:hAnsi="宋体" w:eastAsia="宋体" w:cs="宋体"/>
                <w:sz w:val="24"/>
                <w:szCs w:val="24"/>
              </w:rPr>
              <w:drawing>
                <wp:inline distT="0" distB="0" distL="114300" distR="114300">
                  <wp:extent cx="1133475" cy="685800"/>
                  <wp:effectExtent l="0" t="0" r="9525" b="0"/>
                  <wp:docPr id="16"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descr="IMG_256"/>
                          <pic:cNvPicPr>
                            <a:picLocks noChangeAspect="1"/>
                          </pic:cNvPicPr>
                        </pic:nvPicPr>
                        <pic:blipFill>
                          <a:blip r:embed="rId19"/>
                          <a:srcRect l="11050" t="14847" r="19132" b="23282"/>
                          <a:stretch>
                            <a:fillRect/>
                          </a:stretch>
                        </pic:blipFill>
                        <pic:spPr>
                          <a:xfrm>
                            <a:off x="0" y="0"/>
                            <a:ext cx="1133475" cy="685800"/>
                          </a:xfrm>
                          <a:prstGeom prst="rect">
                            <a:avLst/>
                          </a:prstGeom>
                          <a:noFill/>
                          <a:ln w="9525">
                            <a:noFill/>
                          </a:ln>
                        </pic:spPr>
                      </pic:pic>
                    </a:graphicData>
                  </a:graphic>
                </wp:inline>
              </w:drawing>
            </w:r>
          </w:p>
          <w:p w14:paraId="0A25367A">
            <w:pPr>
              <w:pStyle w:val="12"/>
              <w:spacing w:line="360" w:lineRule="auto"/>
              <w:ind w:firstLine="200" w:firstLineChars="100"/>
              <w:rPr>
                <w:color w:val="000000"/>
              </w:rPr>
            </w:pPr>
            <w:r>
              <w:rPr>
                <w:rFonts w:hint="eastAsia"/>
                <w:color w:val="000000"/>
                <w:lang w:val="en-US" w:eastAsia="zh-CN"/>
              </w:rPr>
              <w:t xml:space="preserve">                   </w:t>
            </w:r>
            <w:r>
              <w:rPr>
                <w:rFonts w:ascii="宋体" w:hAnsi="宋体" w:eastAsia="宋体" w:cs="宋体"/>
                <w:sz w:val="24"/>
                <w:szCs w:val="24"/>
              </w:rPr>
              <w:drawing>
                <wp:inline distT="0" distB="0" distL="114300" distR="114300">
                  <wp:extent cx="2028825" cy="683895"/>
                  <wp:effectExtent l="0" t="0" r="0" b="0"/>
                  <wp:docPr id="14"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descr="IMG_256"/>
                          <pic:cNvPicPr>
                            <a:picLocks noChangeAspect="1"/>
                          </pic:cNvPicPr>
                        </pic:nvPicPr>
                        <pic:blipFill>
                          <a:blip r:embed="rId20"/>
                          <a:stretch>
                            <a:fillRect/>
                          </a:stretch>
                        </pic:blipFill>
                        <pic:spPr>
                          <a:xfrm>
                            <a:off x="0" y="0"/>
                            <a:ext cx="2028825" cy="683895"/>
                          </a:xfrm>
                          <a:prstGeom prst="rect">
                            <a:avLst/>
                          </a:prstGeom>
                          <a:noFill/>
                          <a:ln w="9525">
                            <a:noFill/>
                          </a:ln>
                        </pic:spPr>
                      </pic:pic>
                    </a:graphicData>
                  </a:graphic>
                </wp:inline>
              </w:drawing>
            </w:r>
          </w:p>
          <w:p w14:paraId="737C88C7">
            <w:pPr>
              <w:pStyle w:val="12"/>
              <w:spacing w:line="360" w:lineRule="auto"/>
              <w:ind w:left="0" w:leftChars="0" w:firstLine="0" w:firstLineChars="0"/>
              <w:rPr>
                <w:color w:val="000000"/>
              </w:rPr>
            </w:pPr>
          </w:p>
          <w:p w14:paraId="40DC7C91">
            <w:pPr>
              <w:pStyle w:val="12"/>
              <w:spacing w:line="360" w:lineRule="auto"/>
              <w:ind w:left="0" w:leftChars="0" w:firstLine="0" w:firstLineChars="0"/>
              <w:rPr>
                <w:color w:val="000000"/>
              </w:rPr>
            </w:pPr>
          </w:p>
        </w:tc>
      </w:tr>
      <w:tr w14:paraId="0BC04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0A8C89FB">
            <w:pPr>
              <w:pStyle w:val="12"/>
              <w:spacing w:line="360" w:lineRule="auto"/>
              <w:rPr>
                <w:color w:val="000000"/>
              </w:rPr>
            </w:pPr>
            <w:r>
              <w:rPr>
                <w:rFonts w:hint="eastAsia"/>
                <w:b/>
                <w:bCs/>
                <w:color w:val="000000"/>
                <w:sz w:val="21"/>
              </w:rPr>
              <w:t>八．附件清单</w:t>
            </w:r>
          </w:p>
          <w:p w14:paraId="68D014E3">
            <w:pPr>
              <w:pStyle w:val="12"/>
              <w:spacing w:line="360" w:lineRule="auto"/>
              <w:rPr>
                <w:color w:val="000000"/>
              </w:rPr>
            </w:pPr>
          </w:p>
          <w:p w14:paraId="5AF9A672">
            <w:pPr>
              <w:pStyle w:val="12"/>
              <w:spacing w:line="360" w:lineRule="auto"/>
              <w:rPr>
                <w:color w:val="000000"/>
              </w:rPr>
            </w:pPr>
          </w:p>
          <w:p w14:paraId="57F93667">
            <w:pPr>
              <w:pStyle w:val="12"/>
              <w:spacing w:line="360" w:lineRule="auto"/>
              <w:rPr>
                <w:color w:val="000000"/>
              </w:rPr>
            </w:pPr>
          </w:p>
          <w:p w14:paraId="7398B0D0">
            <w:pPr>
              <w:pStyle w:val="12"/>
              <w:spacing w:line="360" w:lineRule="auto"/>
              <w:rPr>
                <w:color w:val="000000"/>
              </w:rPr>
            </w:pPr>
          </w:p>
          <w:p w14:paraId="4A8E7F87">
            <w:pPr>
              <w:pStyle w:val="12"/>
              <w:spacing w:line="360" w:lineRule="auto"/>
              <w:rPr>
                <w:color w:val="000000"/>
              </w:rPr>
            </w:pPr>
          </w:p>
          <w:p w14:paraId="51D3BE73">
            <w:pPr>
              <w:pStyle w:val="12"/>
              <w:spacing w:line="360" w:lineRule="auto"/>
              <w:ind w:left="0" w:leftChars="0" w:firstLine="0" w:firstLineChars="0"/>
              <w:rPr>
                <w:color w:val="000000"/>
              </w:rPr>
            </w:pPr>
          </w:p>
        </w:tc>
      </w:tr>
      <w:tr w14:paraId="67DA2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6ED8663C">
            <w:pPr>
              <w:pStyle w:val="12"/>
              <w:spacing w:line="360" w:lineRule="auto"/>
              <w:rPr>
                <w:color w:val="000000"/>
              </w:rPr>
            </w:pPr>
            <w:r>
              <w:rPr>
                <w:rFonts w:hint="eastAsia"/>
                <w:b/>
                <w:bCs/>
                <w:color w:val="000000"/>
                <w:sz w:val="21"/>
              </w:rPr>
              <w:t>九．备注</w:t>
            </w:r>
          </w:p>
          <w:p w14:paraId="71C67AFC">
            <w:pPr>
              <w:pStyle w:val="12"/>
              <w:spacing w:line="360" w:lineRule="auto"/>
              <w:rPr>
                <w:color w:val="000000"/>
              </w:rPr>
            </w:pPr>
          </w:p>
          <w:p w14:paraId="52222194">
            <w:pPr>
              <w:pStyle w:val="12"/>
              <w:spacing w:line="360" w:lineRule="auto"/>
              <w:rPr>
                <w:color w:val="000000"/>
              </w:rPr>
            </w:pPr>
          </w:p>
          <w:p w14:paraId="1D2A25A2">
            <w:pPr>
              <w:pStyle w:val="12"/>
              <w:spacing w:line="360" w:lineRule="auto"/>
              <w:rPr>
                <w:color w:val="000000"/>
              </w:rPr>
            </w:pPr>
          </w:p>
          <w:p w14:paraId="139D373C">
            <w:pPr>
              <w:pStyle w:val="12"/>
              <w:spacing w:line="360" w:lineRule="auto"/>
              <w:rPr>
                <w:color w:val="000000"/>
              </w:rPr>
            </w:pPr>
          </w:p>
          <w:p w14:paraId="5237813A">
            <w:pPr>
              <w:pStyle w:val="12"/>
              <w:spacing w:line="360" w:lineRule="auto"/>
              <w:rPr>
                <w:color w:val="000000"/>
              </w:rPr>
            </w:pPr>
          </w:p>
          <w:p w14:paraId="6E5A7A02">
            <w:pPr>
              <w:pStyle w:val="12"/>
              <w:spacing w:line="360" w:lineRule="auto"/>
              <w:rPr>
                <w:color w:val="000000"/>
              </w:rPr>
            </w:pPr>
          </w:p>
          <w:p w14:paraId="036B6225">
            <w:pPr>
              <w:pStyle w:val="12"/>
              <w:spacing w:line="360" w:lineRule="auto"/>
              <w:rPr>
                <w:color w:val="000000"/>
              </w:rPr>
            </w:pPr>
          </w:p>
          <w:p w14:paraId="73FA8635">
            <w:pPr>
              <w:pStyle w:val="12"/>
              <w:spacing w:line="360" w:lineRule="auto"/>
              <w:rPr>
                <w:color w:val="000000"/>
              </w:rPr>
            </w:pPr>
          </w:p>
          <w:p w14:paraId="1CB5A9AB">
            <w:pPr>
              <w:pStyle w:val="12"/>
              <w:spacing w:line="360" w:lineRule="auto"/>
              <w:rPr>
                <w:color w:val="000000"/>
              </w:rPr>
            </w:pPr>
          </w:p>
          <w:p w14:paraId="2146202D">
            <w:pPr>
              <w:pStyle w:val="12"/>
              <w:spacing w:line="360" w:lineRule="auto"/>
              <w:rPr>
                <w:color w:val="000000"/>
              </w:rPr>
            </w:pPr>
          </w:p>
          <w:p w14:paraId="5FEAC6E4">
            <w:pPr>
              <w:pStyle w:val="12"/>
              <w:spacing w:line="360" w:lineRule="auto"/>
              <w:rPr>
                <w:color w:val="000000"/>
              </w:rPr>
            </w:pPr>
          </w:p>
        </w:tc>
      </w:tr>
    </w:tbl>
    <w:p w14:paraId="3908159B">
      <w:pPr>
        <w:widowControl/>
        <w:autoSpaceDE w:val="0"/>
        <w:autoSpaceDN w:val="0"/>
        <w:spacing w:before="156" w:beforeLines="50"/>
        <w:textAlignment w:val="bottom"/>
        <w:rPr>
          <w:rFonts w:ascii="仿宋_GB2312" w:eastAsia="仿宋_GB2312"/>
          <w:sz w:val="32"/>
          <w:szCs w:val="32"/>
        </w:rPr>
      </w:pPr>
    </w:p>
    <w:sectPr>
      <w:headerReference r:id="rId10" w:type="default"/>
      <w:footerReference r:id="rId11" w:type="default"/>
      <w:footerReference r:id="rId12" w:type="even"/>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小标宋">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minorBidi">
    <w:altName w:val="Times New Roman"/>
    <w:panose1 w:val="00000000000000000000"/>
    <w:charset w:val="00"/>
    <w:family w:val="roman"/>
    <w:pitch w:val="default"/>
    <w:sig w:usb0="00000000" w:usb1="00000000" w:usb2="00000000" w:usb3="00000000" w:csb0="00000000" w:csb1="00000000"/>
  </w:font>
  <w:font w:name="仿宋_GB2312">
    <w:altName w:val="仿宋"/>
    <w:panose1 w:val="00000000000000000000"/>
    <w:charset w:val="86"/>
    <w:family w:val="modern"/>
    <w:pitch w:val="default"/>
    <w:sig w:usb0="00000000" w:usb1="00000000" w:usb2="00000010" w:usb3="00000000" w:csb0="00040000" w:csb1="00000000"/>
  </w:font>
  <w:font w:name="KSOFE44F9426">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78458804"/>
    </w:sdtPr>
    <w:sdtContent>
      <w:p w14:paraId="68C99813">
        <w:pPr>
          <w:pStyle w:val="8"/>
          <w:wordWrap w:val="0"/>
          <w:jc w:val="right"/>
        </w:pPr>
      </w:p>
      <w:p w14:paraId="0C535975">
        <w:pPr>
          <w:pStyle w:val="8"/>
          <w:jc w:val="center"/>
        </w:pPr>
        <w:r>
          <w:rPr>
            <w:sz w:val="24"/>
          </w:rPr>
          <w:fldChar w:fldCharType="begin"/>
        </w:r>
        <w:r>
          <w:rPr>
            <w:sz w:val="24"/>
          </w:rPr>
          <w:instrText xml:space="preserve">PAGE   \* MERGEFORMAT</w:instrText>
        </w:r>
        <w:r>
          <w:rPr>
            <w:sz w:val="24"/>
          </w:rPr>
          <w:fldChar w:fldCharType="separate"/>
        </w:r>
        <w:r>
          <w:rPr>
            <w:sz w:val="24"/>
            <w:lang w:val="zh-CN"/>
          </w:rPr>
          <w:t>4</w:t>
        </w:r>
        <w:r>
          <w:rPr>
            <w:sz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E8B93">
    <w:pPr>
      <w:pStyle w:val="8"/>
      <w:framePr w:wrap="around" w:vAnchor="text" w:hAnchor="margin" w:xAlign="right" w:y="1"/>
      <w:rPr>
        <w:rStyle w:val="17"/>
      </w:rPr>
    </w:pPr>
    <w:r>
      <w:rPr>
        <w:rStyle w:val="17"/>
      </w:rPr>
      <w:fldChar w:fldCharType="begin"/>
    </w:r>
    <w:r>
      <w:rPr>
        <w:rStyle w:val="17"/>
      </w:rPr>
      <w:instrText xml:space="preserve">PAGE  </w:instrText>
    </w:r>
    <w:r>
      <w:rPr>
        <w:rStyle w:val="17"/>
      </w:rPr>
      <w:fldChar w:fldCharType="end"/>
    </w:r>
  </w:p>
  <w:p w14:paraId="5B64BC5C">
    <w:pPr>
      <w:pStyle w:val="8"/>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0ED1D3">
    <w:pPr>
      <w:pStyle w:val="8"/>
      <w:framePr w:wrap="around" w:vAnchor="text" w:hAnchor="margin" w:xAlign="center" w:y="1"/>
      <w:rPr>
        <w:rStyle w:val="17"/>
      </w:rPr>
    </w:pPr>
    <w:r>
      <w:rPr>
        <w:rStyle w:val="17"/>
        <w:rFonts w:hint="eastAsia" w:ascii="宋体" w:hAnsi="宋体"/>
        <w:sz w:val="21"/>
      </w:rPr>
      <w:t xml:space="preserve">— </w:t>
    </w:r>
    <w:r>
      <w:rPr>
        <w:rStyle w:val="17"/>
        <w:rFonts w:hint="eastAsia" w:ascii="宋体" w:hAnsi="宋体"/>
        <w:sz w:val="21"/>
      </w:rPr>
      <w:fldChar w:fldCharType="begin"/>
    </w:r>
    <w:r>
      <w:rPr>
        <w:rStyle w:val="17"/>
        <w:rFonts w:hint="eastAsia" w:ascii="宋体" w:hAnsi="宋体"/>
        <w:sz w:val="21"/>
      </w:rPr>
      <w:instrText xml:space="preserve">PAGE  </w:instrText>
    </w:r>
    <w:r>
      <w:rPr>
        <w:rStyle w:val="17"/>
        <w:rFonts w:hint="eastAsia" w:ascii="宋体" w:hAnsi="宋体"/>
        <w:sz w:val="21"/>
      </w:rPr>
      <w:fldChar w:fldCharType="separate"/>
    </w:r>
    <w:r>
      <w:rPr>
        <w:rStyle w:val="17"/>
        <w:rFonts w:ascii="宋体" w:hAnsi="宋体"/>
        <w:sz w:val="21"/>
      </w:rPr>
      <w:t>10</w:t>
    </w:r>
    <w:r>
      <w:rPr>
        <w:rStyle w:val="17"/>
        <w:rFonts w:hint="eastAsia" w:ascii="宋体" w:hAnsi="宋体"/>
        <w:sz w:val="21"/>
      </w:rPr>
      <w:fldChar w:fldCharType="end"/>
    </w:r>
    <w:r>
      <w:rPr>
        <w:rStyle w:val="17"/>
        <w:rFonts w:hint="eastAsia" w:ascii="宋体" w:hAnsi="宋体"/>
        <w:sz w:val="21"/>
      </w:rPr>
      <w:t xml:space="preserve"> —</w:t>
    </w:r>
  </w:p>
  <w:p w14:paraId="257B8F30">
    <w:pPr>
      <w:pStyle w:val="8"/>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4A3C8">
    <w:pPr>
      <w:pStyle w:val="8"/>
      <w:framePr w:wrap="around" w:vAnchor="text" w:hAnchor="margin" w:xAlign="center" w:y="1"/>
      <w:rPr>
        <w:rStyle w:val="17"/>
      </w:rPr>
    </w:pPr>
    <w:r>
      <w:rPr>
        <w:rStyle w:val="17"/>
      </w:rPr>
      <w:fldChar w:fldCharType="begin"/>
    </w:r>
    <w:r>
      <w:rPr>
        <w:rStyle w:val="17"/>
      </w:rPr>
      <w:instrText xml:space="preserve">PAGE  </w:instrText>
    </w:r>
    <w:r>
      <w:rPr>
        <w:rStyle w:val="17"/>
      </w:rPr>
      <w:fldChar w:fldCharType="end"/>
    </w:r>
  </w:p>
  <w:p w14:paraId="55299FD4">
    <w:pPr>
      <w:pStyle w:val="8"/>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91515">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83877">
    <w:pPr>
      <w:pStyle w:val="9"/>
      <w:ind w:firstLine="5811" w:firstLineChars="1816"/>
      <w:jc w:val="left"/>
      <w:rPr>
        <w:rFonts w:ascii="仿宋" w:hAnsi="仿宋" w:eastAsia="仿宋"/>
        <w:sz w:val="32"/>
        <w:szCs w:val="32"/>
        <w:u w:val="single"/>
      </w:rPr>
    </w:pPr>
    <w:r>
      <w:rPr>
        <w:rFonts w:hint="eastAsia" w:ascii="仿宋" w:hAnsi="仿宋" w:eastAsia="仿宋"/>
        <w:sz w:val="32"/>
        <w:szCs w:val="32"/>
      </w:rPr>
      <w:t>项目编号：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86C4A"/>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353AB">
    <w:pPr>
      <w:pStyle w:val="9"/>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2848E">
    <w:pPr>
      <w:pStyle w:val="9"/>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4E24D0">
    <w:pPr>
      <w:pStyle w:val="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DB39FA"/>
    <w:multiLevelType w:val="singleLevel"/>
    <w:tmpl w:val="C0DB39FA"/>
    <w:lvl w:ilvl="0" w:tentative="0">
      <w:start w:val="1"/>
      <w:numFmt w:val="decimal"/>
      <w:lvlText w:val="(%1)"/>
      <w:lvlJc w:val="left"/>
      <w:pPr>
        <w:ind w:left="425" w:hanging="425"/>
      </w:pPr>
      <w:rPr>
        <w:rFonts w:hint="default"/>
      </w:rPr>
    </w:lvl>
  </w:abstractNum>
  <w:abstractNum w:abstractNumId="1">
    <w:nsid w:val="ED61B27F"/>
    <w:multiLevelType w:val="singleLevel"/>
    <w:tmpl w:val="ED61B27F"/>
    <w:lvl w:ilvl="0" w:tentative="0">
      <w:start w:val="1"/>
      <w:numFmt w:val="decimal"/>
      <w:lvlText w:val="(%1)"/>
      <w:lvlJc w:val="left"/>
      <w:pPr>
        <w:ind w:left="425" w:hanging="425"/>
      </w:pPr>
      <w:rPr>
        <w:rFonts w:hint="default"/>
      </w:rPr>
    </w:lvl>
  </w:abstractNum>
  <w:abstractNum w:abstractNumId="2">
    <w:nsid w:val="10727DC8"/>
    <w:multiLevelType w:val="singleLevel"/>
    <w:tmpl w:val="10727DC8"/>
    <w:lvl w:ilvl="0" w:tentative="0">
      <w:start w:val="1"/>
      <w:numFmt w:val="decimal"/>
      <w:lvlText w:val="%1."/>
      <w:lvlJc w:val="left"/>
      <w:pPr>
        <w:ind w:left="425" w:hanging="425"/>
      </w:pPr>
      <w:rPr>
        <w:rFonts w:hint="default"/>
      </w:rPr>
    </w:lvl>
  </w:abstractNum>
  <w:abstractNum w:abstractNumId="3">
    <w:nsid w:val="3B2C3488"/>
    <w:multiLevelType w:val="multilevel"/>
    <w:tmpl w:val="3B2C3488"/>
    <w:lvl w:ilvl="0" w:tentative="0">
      <w:start w:val="1"/>
      <w:numFmt w:val="decimal"/>
      <w:lvlText w:val="（%1）"/>
      <w:lvlJc w:val="left"/>
      <w:pPr>
        <w:tabs>
          <w:tab w:val="left" w:pos="720"/>
        </w:tabs>
        <w:ind w:left="720" w:hanging="7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77F48B25"/>
    <w:multiLevelType w:val="singleLevel"/>
    <w:tmpl w:val="77F48B25"/>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260B"/>
    <w:rsid w:val="00001A30"/>
    <w:rsid w:val="00002014"/>
    <w:rsid w:val="000075FA"/>
    <w:rsid w:val="000139C2"/>
    <w:rsid w:val="00015389"/>
    <w:rsid w:val="00026822"/>
    <w:rsid w:val="000350AA"/>
    <w:rsid w:val="00043304"/>
    <w:rsid w:val="00052CA4"/>
    <w:rsid w:val="000574DB"/>
    <w:rsid w:val="0005765F"/>
    <w:rsid w:val="00072311"/>
    <w:rsid w:val="00093BE1"/>
    <w:rsid w:val="000A03A0"/>
    <w:rsid w:val="000B6D1E"/>
    <w:rsid w:val="000C7F8A"/>
    <w:rsid w:val="000E2FB7"/>
    <w:rsid w:val="00105BD2"/>
    <w:rsid w:val="001075B0"/>
    <w:rsid w:val="00113564"/>
    <w:rsid w:val="00113F31"/>
    <w:rsid w:val="0012612A"/>
    <w:rsid w:val="001318E5"/>
    <w:rsid w:val="00145931"/>
    <w:rsid w:val="001538B7"/>
    <w:rsid w:val="00167F79"/>
    <w:rsid w:val="001701D9"/>
    <w:rsid w:val="00191EFB"/>
    <w:rsid w:val="00195FD5"/>
    <w:rsid w:val="00197A99"/>
    <w:rsid w:val="001A3FC8"/>
    <w:rsid w:val="001A6E86"/>
    <w:rsid w:val="001B7BF7"/>
    <w:rsid w:val="001C7C40"/>
    <w:rsid w:val="001D57E3"/>
    <w:rsid w:val="00200F1E"/>
    <w:rsid w:val="0021172E"/>
    <w:rsid w:val="002268E6"/>
    <w:rsid w:val="00232449"/>
    <w:rsid w:val="002424F2"/>
    <w:rsid w:val="00263553"/>
    <w:rsid w:val="0027592E"/>
    <w:rsid w:val="00293C6F"/>
    <w:rsid w:val="002A4AD6"/>
    <w:rsid w:val="002A5396"/>
    <w:rsid w:val="002C1E59"/>
    <w:rsid w:val="002C384B"/>
    <w:rsid w:val="002C5E36"/>
    <w:rsid w:val="002E2FF7"/>
    <w:rsid w:val="002F14E2"/>
    <w:rsid w:val="0030349F"/>
    <w:rsid w:val="00304041"/>
    <w:rsid w:val="003078A0"/>
    <w:rsid w:val="00314934"/>
    <w:rsid w:val="00316C87"/>
    <w:rsid w:val="003204A6"/>
    <w:rsid w:val="003214F8"/>
    <w:rsid w:val="003234B8"/>
    <w:rsid w:val="0037544B"/>
    <w:rsid w:val="00387B93"/>
    <w:rsid w:val="003910A5"/>
    <w:rsid w:val="003A2474"/>
    <w:rsid w:val="003A4548"/>
    <w:rsid w:val="003B102D"/>
    <w:rsid w:val="003B13CA"/>
    <w:rsid w:val="003B3348"/>
    <w:rsid w:val="003B680C"/>
    <w:rsid w:val="003B7AE1"/>
    <w:rsid w:val="003D3A64"/>
    <w:rsid w:val="003D5F8C"/>
    <w:rsid w:val="003E37B4"/>
    <w:rsid w:val="003F5355"/>
    <w:rsid w:val="0040298E"/>
    <w:rsid w:val="00411E95"/>
    <w:rsid w:val="004132C1"/>
    <w:rsid w:val="00427D4A"/>
    <w:rsid w:val="00427F57"/>
    <w:rsid w:val="004329ED"/>
    <w:rsid w:val="004356B8"/>
    <w:rsid w:val="00435865"/>
    <w:rsid w:val="00443862"/>
    <w:rsid w:val="0044464E"/>
    <w:rsid w:val="00445A4D"/>
    <w:rsid w:val="00451CA1"/>
    <w:rsid w:val="00455CB8"/>
    <w:rsid w:val="00455CDD"/>
    <w:rsid w:val="00477CF8"/>
    <w:rsid w:val="00493264"/>
    <w:rsid w:val="00496FF9"/>
    <w:rsid w:val="004A44CB"/>
    <w:rsid w:val="004B1109"/>
    <w:rsid w:val="004B4973"/>
    <w:rsid w:val="004C45FD"/>
    <w:rsid w:val="004C4AD4"/>
    <w:rsid w:val="004D0661"/>
    <w:rsid w:val="004D0805"/>
    <w:rsid w:val="004D3DDB"/>
    <w:rsid w:val="004D4F5A"/>
    <w:rsid w:val="004D6744"/>
    <w:rsid w:val="004E6E95"/>
    <w:rsid w:val="004F491A"/>
    <w:rsid w:val="005009BE"/>
    <w:rsid w:val="00503608"/>
    <w:rsid w:val="0050386C"/>
    <w:rsid w:val="005064A4"/>
    <w:rsid w:val="005247FB"/>
    <w:rsid w:val="00525E00"/>
    <w:rsid w:val="00555671"/>
    <w:rsid w:val="00561656"/>
    <w:rsid w:val="005649C4"/>
    <w:rsid w:val="00567562"/>
    <w:rsid w:val="005702EF"/>
    <w:rsid w:val="00574229"/>
    <w:rsid w:val="005829D1"/>
    <w:rsid w:val="00585205"/>
    <w:rsid w:val="00597FBB"/>
    <w:rsid w:val="005C4C83"/>
    <w:rsid w:val="005D4B0F"/>
    <w:rsid w:val="005E6A44"/>
    <w:rsid w:val="005F48BD"/>
    <w:rsid w:val="005F4DBC"/>
    <w:rsid w:val="00607135"/>
    <w:rsid w:val="00617334"/>
    <w:rsid w:val="006317B7"/>
    <w:rsid w:val="0064167B"/>
    <w:rsid w:val="0064435A"/>
    <w:rsid w:val="00653674"/>
    <w:rsid w:val="00653BBB"/>
    <w:rsid w:val="00655B60"/>
    <w:rsid w:val="00663D5B"/>
    <w:rsid w:val="00670665"/>
    <w:rsid w:val="00677282"/>
    <w:rsid w:val="006927A3"/>
    <w:rsid w:val="006A54EE"/>
    <w:rsid w:val="006B54A5"/>
    <w:rsid w:val="006B6F35"/>
    <w:rsid w:val="006C44CF"/>
    <w:rsid w:val="006C5EB1"/>
    <w:rsid w:val="006D259E"/>
    <w:rsid w:val="006D2B9F"/>
    <w:rsid w:val="006D5BB3"/>
    <w:rsid w:val="006D7AEB"/>
    <w:rsid w:val="006E39E5"/>
    <w:rsid w:val="006E4148"/>
    <w:rsid w:val="006F6E96"/>
    <w:rsid w:val="007009A2"/>
    <w:rsid w:val="00711467"/>
    <w:rsid w:val="007138AA"/>
    <w:rsid w:val="00722F64"/>
    <w:rsid w:val="00727151"/>
    <w:rsid w:val="00736062"/>
    <w:rsid w:val="00742BFB"/>
    <w:rsid w:val="00755068"/>
    <w:rsid w:val="007562ED"/>
    <w:rsid w:val="007643EF"/>
    <w:rsid w:val="0076563A"/>
    <w:rsid w:val="00765743"/>
    <w:rsid w:val="00775713"/>
    <w:rsid w:val="0077629F"/>
    <w:rsid w:val="007815D3"/>
    <w:rsid w:val="0078478B"/>
    <w:rsid w:val="00797B0F"/>
    <w:rsid w:val="007A3662"/>
    <w:rsid w:val="007B070A"/>
    <w:rsid w:val="007B2DFB"/>
    <w:rsid w:val="007B562F"/>
    <w:rsid w:val="007B6B9A"/>
    <w:rsid w:val="007C5663"/>
    <w:rsid w:val="007E0321"/>
    <w:rsid w:val="00800026"/>
    <w:rsid w:val="00814683"/>
    <w:rsid w:val="00826C1D"/>
    <w:rsid w:val="0083339D"/>
    <w:rsid w:val="00847EA5"/>
    <w:rsid w:val="0085460D"/>
    <w:rsid w:val="00854F28"/>
    <w:rsid w:val="00895F4C"/>
    <w:rsid w:val="008C337E"/>
    <w:rsid w:val="008D5F75"/>
    <w:rsid w:val="008E0ACF"/>
    <w:rsid w:val="008F2821"/>
    <w:rsid w:val="009024D5"/>
    <w:rsid w:val="009045DF"/>
    <w:rsid w:val="0091336A"/>
    <w:rsid w:val="00930C6F"/>
    <w:rsid w:val="00930F63"/>
    <w:rsid w:val="0093329B"/>
    <w:rsid w:val="00934407"/>
    <w:rsid w:val="00944B2B"/>
    <w:rsid w:val="00946053"/>
    <w:rsid w:val="00962AEA"/>
    <w:rsid w:val="009715BD"/>
    <w:rsid w:val="00971AE2"/>
    <w:rsid w:val="00981E1C"/>
    <w:rsid w:val="00993B8D"/>
    <w:rsid w:val="009E5F68"/>
    <w:rsid w:val="009E748B"/>
    <w:rsid w:val="00A11754"/>
    <w:rsid w:val="00A21CF6"/>
    <w:rsid w:val="00A270B5"/>
    <w:rsid w:val="00A34A8D"/>
    <w:rsid w:val="00A540AB"/>
    <w:rsid w:val="00A57667"/>
    <w:rsid w:val="00A767CE"/>
    <w:rsid w:val="00A952CB"/>
    <w:rsid w:val="00A95942"/>
    <w:rsid w:val="00AB12DF"/>
    <w:rsid w:val="00AB6B58"/>
    <w:rsid w:val="00AE6F23"/>
    <w:rsid w:val="00B03D7C"/>
    <w:rsid w:val="00B0469F"/>
    <w:rsid w:val="00B07A28"/>
    <w:rsid w:val="00B33AEA"/>
    <w:rsid w:val="00B4525F"/>
    <w:rsid w:val="00B4628A"/>
    <w:rsid w:val="00B5435D"/>
    <w:rsid w:val="00B6152A"/>
    <w:rsid w:val="00B66DBA"/>
    <w:rsid w:val="00B82502"/>
    <w:rsid w:val="00B83419"/>
    <w:rsid w:val="00B94A0D"/>
    <w:rsid w:val="00B95A9B"/>
    <w:rsid w:val="00BC053C"/>
    <w:rsid w:val="00BD25A5"/>
    <w:rsid w:val="00BE3C67"/>
    <w:rsid w:val="00BF1A76"/>
    <w:rsid w:val="00BF3181"/>
    <w:rsid w:val="00BF4549"/>
    <w:rsid w:val="00BF4B72"/>
    <w:rsid w:val="00C005A0"/>
    <w:rsid w:val="00C06AB2"/>
    <w:rsid w:val="00C144C9"/>
    <w:rsid w:val="00C20E96"/>
    <w:rsid w:val="00C22224"/>
    <w:rsid w:val="00C3062C"/>
    <w:rsid w:val="00C35278"/>
    <w:rsid w:val="00C41479"/>
    <w:rsid w:val="00C4224F"/>
    <w:rsid w:val="00C46BD4"/>
    <w:rsid w:val="00C725F7"/>
    <w:rsid w:val="00C7260B"/>
    <w:rsid w:val="00C741C1"/>
    <w:rsid w:val="00C80640"/>
    <w:rsid w:val="00CA37AD"/>
    <w:rsid w:val="00CA4FA9"/>
    <w:rsid w:val="00CC0D85"/>
    <w:rsid w:val="00CD11BB"/>
    <w:rsid w:val="00CD58B0"/>
    <w:rsid w:val="00CE0FC3"/>
    <w:rsid w:val="00CE17CB"/>
    <w:rsid w:val="00CE199B"/>
    <w:rsid w:val="00CF201A"/>
    <w:rsid w:val="00CF381C"/>
    <w:rsid w:val="00CF76B2"/>
    <w:rsid w:val="00D00238"/>
    <w:rsid w:val="00D03B2E"/>
    <w:rsid w:val="00D1075B"/>
    <w:rsid w:val="00D225A0"/>
    <w:rsid w:val="00D24487"/>
    <w:rsid w:val="00D27DBE"/>
    <w:rsid w:val="00D300BB"/>
    <w:rsid w:val="00D3092E"/>
    <w:rsid w:val="00D34BC6"/>
    <w:rsid w:val="00D3554A"/>
    <w:rsid w:val="00D4463B"/>
    <w:rsid w:val="00D4489D"/>
    <w:rsid w:val="00D54041"/>
    <w:rsid w:val="00D6329F"/>
    <w:rsid w:val="00D653D1"/>
    <w:rsid w:val="00D6585F"/>
    <w:rsid w:val="00D73B65"/>
    <w:rsid w:val="00D77261"/>
    <w:rsid w:val="00DA63CA"/>
    <w:rsid w:val="00DB5B06"/>
    <w:rsid w:val="00DC1CF2"/>
    <w:rsid w:val="00DD2EC4"/>
    <w:rsid w:val="00DD418D"/>
    <w:rsid w:val="00DE6992"/>
    <w:rsid w:val="00DE7645"/>
    <w:rsid w:val="00DF2BBC"/>
    <w:rsid w:val="00DF6E19"/>
    <w:rsid w:val="00E231EE"/>
    <w:rsid w:val="00E36586"/>
    <w:rsid w:val="00E404F9"/>
    <w:rsid w:val="00E4206E"/>
    <w:rsid w:val="00E44F4A"/>
    <w:rsid w:val="00E456BC"/>
    <w:rsid w:val="00E6205C"/>
    <w:rsid w:val="00E77D74"/>
    <w:rsid w:val="00E82AD8"/>
    <w:rsid w:val="00E86FA7"/>
    <w:rsid w:val="00E962E1"/>
    <w:rsid w:val="00EB68B1"/>
    <w:rsid w:val="00EF08A2"/>
    <w:rsid w:val="00EF08A7"/>
    <w:rsid w:val="00EF7428"/>
    <w:rsid w:val="00F03C45"/>
    <w:rsid w:val="00F04632"/>
    <w:rsid w:val="00F05291"/>
    <w:rsid w:val="00F07C06"/>
    <w:rsid w:val="00F22999"/>
    <w:rsid w:val="00F3019A"/>
    <w:rsid w:val="00F41113"/>
    <w:rsid w:val="00F4173C"/>
    <w:rsid w:val="00F42E20"/>
    <w:rsid w:val="00F4718B"/>
    <w:rsid w:val="00F6625B"/>
    <w:rsid w:val="00F70CD1"/>
    <w:rsid w:val="00F71B73"/>
    <w:rsid w:val="00F766C7"/>
    <w:rsid w:val="00F83A6C"/>
    <w:rsid w:val="00F87F67"/>
    <w:rsid w:val="00F96C93"/>
    <w:rsid w:val="00F974A8"/>
    <w:rsid w:val="00FA2486"/>
    <w:rsid w:val="00FA2CC3"/>
    <w:rsid w:val="00FC34E2"/>
    <w:rsid w:val="00FC3AA0"/>
    <w:rsid w:val="00FC5932"/>
    <w:rsid w:val="00FE3C63"/>
    <w:rsid w:val="050E5C51"/>
    <w:rsid w:val="0DB93EBE"/>
    <w:rsid w:val="11E710E0"/>
    <w:rsid w:val="174A7AA5"/>
    <w:rsid w:val="3947296C"/>
    <w:rsid w:val="43C126D5"/>
    <w:rsid w:val="5FD67D6B"/>
    <w:rsid w:val="64486008"/>
    <w:rsid w:val="740A0B0F"/>
    <w:rsid w:val="77951187"/>
    <w:rsid w:val="786808DB"/>
    <w:rsid w:val="7DAD370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黑体" w:cs="Times New Roman"/>
      <w:kern w:val="2"/>
      <w:sz w:val="21"/>
      <w:szCs w:val="24"/>
      <w:lang w:val="en-US" w:eastAsia="zh-CN" w:bidi="ar-SA"/>
    </w:rPr>
  </w:style>
  <w:style w:type="paragraph" w:styleId="2">
    <w:name w:val="heading 1"/>
    <w:basedOn w:val="1"/>
    <w:next w:val="1"/>
    <w:link w:val="19"/>
    <w:qFormat/>
    <w:uiPriority w:val="9"/>
    <w:pPr>
      <w:keepNext/>
      <w:keepLines/>
      <w:spacing w:before="340" w:after="330" w:line="578" w:lineRule="auto"/>
      <w:jc w:val="center"/>
      <w:outlineLvl w:val="0"/>
    </w:pPr>
    <w:rPr>
      <w:rFonts w:eastAsia="小标宋"/>
      <w:bCs/>
      <w:kern w:val="44"/>
      <w:sz w:val="32"/>
      <w:szCs w:val="44"/>
    </w:rPr>
  </w:style>
  <w:style w:type="paragraph" w:styleId="3">
    <w:name w:val="heading 2"/>
    <w:basedOn w:val="1"/>
    <w:next w:val="1"/>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ind w:firstLine="420"/>
    </w:pPr>
    <w:rPr>
      <w:szCs w:val="20"/>
    </w:rPr>
  </w:style>
  <w:style w:type="paragraph" w:styleId="5">
    <w:name w:val="annotation text"/>
    <w:basedOn w:val="1"/>
    <w:semiHidden/>
    <w:unhideWhenUsed/>
    <w:qFormat/>
    <w:uiPriority w:val="99"/>
    <w:pPr>
      <w:jc w:val="left"/>
    </w:pPr>
  </w:style>
  <w:style w:type="paragraph" w:styleId="6">
    <w:name w:val="toc 3"/>
    <w:basedOn w:val="1"/>
    <w:next w:val="1"/>
    <w:unhideWhenUsed/>
    <w:qFormat/>
    <w:uiPriority w:val="39"/>
    <w:pPr>
      <w:widowControl/>
      <w:spacing w:after="100" w:line="259" w:lineRule="auto"/>
      <w:ind w:left="440"/>
      <w:jc w:val="left"/>
    </w:pPr>
    <w:rPr>
      <w:rFonts w:asciiTheme="minorHAnsi" w:hAnsiTheme="minorHAnsi" w:eastAsiaTheme="minorEastAsia"/>
      <w:kern w:val="0"/>
      <w:sz w:val="22"/>
      <w:szCs w:val="22"/>
    </w:rPr>
  </w:style>
  <w:style w:type="paragraph" w:styleId="7">
    <w:name w:val="Balloon Text"/>
    <w:basedOn w:val="1"/>
    <w:link w:val="24"/>
    <w:semiHidden/>
    <w:unhideWhenUsed/>
    <w:qFormat/>
    <w:uiPriority w:val="99"/>
    <w:rPr>
      <w:sz w:val="18"/>
      <w:szCs w:val="18"/>
    </w:rPr>
  </w:style>
  <w:style w:type="paragraph" w:styleId="8">
    <w:name w:val="footer"/>
    <w:basedOn w:val="1"/>
    <w:link w:val="23"/>
    <w:unhideWhenUsed/>
    <w:qFormat/>
    <w:uiPriority w:val="99"/>
    <w:pPr>
      <w:tabs>
        <w:tab w:val="center" w:pos="4153"/>
        <w:tab w:val="right" w:pos="8306"/>
      </w:tabs>
      <w:snapToGrid w:val="0"/>
      <w:jc w:val="left"/>
    </w:pPr>
    <w:rPr>
      <w:sz w:val="18"/>
      <w:szCs w:val="18"/>
    </w:rPr>
  </w:style>
  <w:style w:type="paragraph" w:styleId="9">
    <w:name w:val="header"/>
    <w:basedOn w:val="1"/>
    <w:link w:val="22"/>
    <w:unhideWhenUsed/>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pPr>
      <w:widowControl/>
      <w:tabs>
        <w:tab w:val="right" w:leader="dot" w:pos="8296"/>
      </w:tabs>
      <w:spacing w:after="100" w:line="259" w:lineRule="auto"/>
      <w:jc w:val="left"/>
    </w:pPr>
    <w:rPr>
      <w:rFonts w:asciiTheme="minorEastAsia" w:hAnsiTheme="minorEastAsia" w:eastAsiaTheme="minorEastAsia"/>
      <w:kern w:val="0"/>
      <w:sz w:val="32"/>
      <w:szCs w:val="32"/>
    </w:rPr>
  </w:style>
  <w:style w:type="paragraph" w:styleId="11">
    <w:name w:val="toc 2"/>
    <w:basedOn w:val="1"/>
    <w:next w:val="1"/>
    <w:unhideWhenUsed/>
    <w:qFormat/>
    <w:uiPriority w:val="39"/>
    <w:pPr>
      <w:widowControl/>
      <w:spacing w:after="100" w:line="259" w:lineRule="auto"/>
      <w:ind w:left="220"/>
      <w:jc w:val="left"/>
    </w:pPr>
    <w:rPr>
      <w:rFonts w:asciiTheme="minorHAnsi" w:hAnsiTheme="minorHAnsi" w:eastAsiaTheme="minorEastAsia"/>
      <w:kern w:val="0"/>
      <w:sz w:val="22"/>
      <w:szCs w:val="22"/>
    </w:rPr>
  </w:style>
  <w:style w:type="paragraph" w:styleId="12">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 w:firstLine="426" w:firstLineChars="213"/>
      <w:jc w:val="left"/>
    </w:pPr>
    <w:rPr>
      <w:rFonts w:ascii="黑体" w:hAnsi="Courier New" w:cs="Courier New"/>
      <w:color w:val="000000"/>
      <w:kern w:val="0"/>
      <w:sz w:val="20"/>
      <w:szCs w:val="20"/>
    </w:rPr>
  </w:style>
  <w:style w:type="paragraph" w:styleId="13">
    <w:name w:val="Normal (Web)"/>
    <w:basedOn w:val="1"/>
    <w:qFormat/>
    <w:uiPriority w:val="99"/>
    <w:pPr>
      <w:spacing w:beforeAutospacing="1" w:afterAutospacing="1"/>
      <w:jc w:val="left"/>
    </w:pPr>
    <w:rPr>
      <w:rFonts w:asciiTheme="minorHAnsi" w:hAnsiTheme="minorHAnsi" w:eastAsiaTheme="minorEastAsia"/>
      <w:kern w:val="0"/>
      <w:sz w:val="24"/>
    </w:rPr>
  </w:style>
  <w:style w:type="character" w:styleId="16">
    <w:name w:val="Strong"/>
    <w:basedOn w:val="15"/>
    <w:qFormat/>
    <w:uiPriority w:val="22"/>
    <w:rPr>
      <w:b/>
    </w:rPr>
  </w:style>
  <w:style w:type="character" w:styleId="17">
    <w:name w:val="page number"/>
    <w:basedOn w:val="15"/>
    <w:qFormat/>
    <w:uiPriority w:val="0"/>
  </w:style>
  <w:style w:type="character" w:styleId="18">
    <w:name w:val="Hyperlink"/>
    <w:basedOn w:val="15"/>
    <w:unhideWhenUsed/>
    <w:qFormat/>
    <w:uiPriority w:val="99"/>
    <w:rPr>
      <w:color w:val="0563C1" w:themeColor="hyperlink"/>
      <w:u w:val="single"/>
      <w14:textFill>
        <w14:solidFill>
          <w14:schemeClr w14:val="hlink"/>
        </w14:solidFill>
      </w14:textFill>
    </w:rPr>
  </w:style>
  <w:style w:type="character" w:customStyle="1" w:styleId="19">
    <w:name w:val="标题 1 字符"/>
    <w:basedOn w:val="15"/>
    <w:link w:val="2"/>
    <w:qFormat/>
    <w:uiPriority w:val="9"/>
    <w:rPr>
      <w:rFonts w:ascii="Times New Roman" w:hAnsi="Times New Roman" w:eastAsia="小标宋" w:cs="Times New Roman"/>
      <w:bCs/>
      <w:kern w:val="44"/>
      <w:sz w:val="32"/>
      <w:szCs w:val="44"/>
    </w:rPr>
  </w:style>
  <w:style w:type="paragraph" w:styleId="20">
    <w:name w:val="List Paragraph"/>
    <w:basedOn w:val="1"/>
    <w:qFormat/>
    <w:uiPriority w:val="34"/>
    <w:pPr>
      <w:ind w:firstLine="420" w:firstLineChars="200"/>
    </w:pPr>
    <w:rPr>
      <w:rFonts w:asciiTheme="minorHAnsi" w:hAnsiTheme="minorHAnsi" w:eastAsiaTheme="minorEastAsia" w:cstheme="minorBidi"/>
      <w:szCs w:val="22"/>
    </w:rPr>
  </w:style>
  <w:style w:type="paragraph" w:customStyle="1" w:styleId="21">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E75B6" w:themeColor="accent1" w:themeShade="BF"/>
      <w:kern w:val="0"/>
      <w:szCs w:val="32"/>
    </w:rPr>
  </w:style>
  <w:style w:type="character" w:customStyle="1" w:styleId="22">
    <w:name w:val="页眉 字符"/>
    <w:basedOn w:val="15"/>
    <w:link w:val="9"/>
    <w:qFormat/>
    <w:uiPriority w:val="0"/>
    <w:rPr>
      <w:rFonts w:ascii="Times New Roman" w:hAnsi="Times New Roman" w:eastAsia="宋体" w:cs="Times New Roman"/>
      <w:sz w:val="18"/>
      <w:szCs w:val="18"/>
    </w:rPr>
  </w:style>
  <w:style w:type="character" w:customStyle="1" w:styleId="23">
    <w:name w:val="页脚 字符"/>
    <w:basedOn w:val="15"/>
    <w:link w:val="8"/>
    <w:qFormat/>
    <w:uiPriority w:val="99"/>
    <w:rPr>
      <w:rFonts w:ascii="Times New Roman" w:hAnsi="Times New Roman" w:eastAsia="宋体" w:cs="Times New Roman"/>
      <w:sz w:val="18"/>
      <w:szCs w:val="18"/>
    </w:rPr>
  </w:style>
  <w:style w:type="character" w:customStyle="1" w:styleId="24">
    <w:name w:val="批注框文本 字符"/>
    <w:basedOn w:val="15"/>
    <w:link w:val="7"/>
    <w:semiHidden/>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jpe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jpeg"/><Relationship Id="rId15" Type="http://schemas.openxmlformats.org/officeDocument/2006/relationships/image" Target="media/image2.jpeg"/><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A30F65-2B78-49FA-AFA3-549194A3541D}">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22</Pages>
  <Words>2402</Words>
  <Characters>2430</Characters>
  <Lines>22</Lines>
  <Paragraphs>6</Paragraphs>
  <TotalTime>36</TotalTime>
  <ScaleCrop>false</ScaleCrop>
  <LinksUpToDate>false</LinksUpToDate>
  <CharactersWithSpaces>2879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2022-03-21T12:12:00Z</dcterms:created>
  <dc:creator>Haoran</dc:creator>
  <cp:lastModifiedBy>Be lonely-</cp:lastModifiedBy>
  <cp:lastPrinted>2017-02-23T02:34:00Z</cp:lastPrinted>
  <dcterms:modified xsi:type="dcterms:W3CDTF">2026-05-09T15:06:02Z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D3DDE80A24D546F7BD952849C6A80463</vt:lpwstr>
  </property>
  <property fmtid="{D5CDD505-2E9C-101B-9397-08002B2CF9AE}" pid="4" name="KSOTemplateDocerSaveRecord">
    <vt:lpwstr>eyJoZGlkIjoiNmZjZDE5ZDU2NDZkNWRlMDc2OWU2YTFkYmM0NWUzMDEiLCJ1c2VySWQiOiI4ODA1NDE5NjgifQ==</vt:lpwstr>
  </property>
</Properties>
</file>