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pStyle w:val="Title"/>
        <w:spacing w:before="1240" w:after="400"/>
        <w:jc w:val="center"/>
      </w:pPr>
      <w:r>
        <w:rPr>
          <w:rFonts w:ascii="Calibri" w:hAnsi="Calibri" w:eastAsia="微软雅黑"/>
          <w:b/>
          <w:color w:val="000000"/>
          <w:sz w:val="48"/>
        </w:rPr>
        <w:t>A23 太湖蓝藻水华监测预警项目</w:t>
        <w:br/>
        <w:t>多源数据样本集说明</w:t>
      </w:r>
    </w:p>
    <w:p>
      <w:pPr>
        <w:spacing w:after="1160"/>
        <w:jc w:val="center"/>
      </w:pPr>
      <w:r>
        <w:rPr>
          <w:rFonts w:ascii="Calibri" w:hAnsi="Calibri" w:eastAsia="微软雅黑"/>
          <w:color w:val="3C3C3C"/>
          <w:sz w:val="28"/>
        </w:rPr>
        <w:t>企业提交材料</w:t>
      </w:r>
    </w:p>
    <w:tbl>
      <w:tblPr>
        <w:tblW w:type="auto" w:w="0"/>
        <w:jc w:val="center"/>
        <w:tblLayout w:type="fixed"/>
        <w:tblLook w:firstColumn="1" w:firstRow="1" w:lastColumn="0" w:lastRow="0" w:noHBand="0" w:noVBand="1" w:val="04A0"/>
      </w:tblPr>
      <w:tblGrid>
        <w:gridCol w:w="4968"/>
        <w:gridCol w:w="4968"/>
      </w:tblGrid>
      <w:tr>
        <w:tc>
          <w:tcPr>
            <w:tcW w:type="dxa" w:w="2088"/>
            <w:tcMar>
              <w:top w:w="130" w:type="dxa"/>
              <w:start w:w="160" w:type="dxa"/>
              <w:bottom w:w="130" w:type="dxa"/>
              <w:end w:w="160" w:type="dxa"/>
            </w:tcMar>
            <w:vAlign w:val="center"/>
          </w:tcPr>
          <w:p>
            <w:pPr>
              <w:jc w:val="right"/>
            </w:pPr>
            <w:r>
              <w:rPr>
                <w:rFonts w:ascii="Calibri" w:hAnsi="Calibri" w:eastAsia="微软雅黑"/>
                <w:b/>
                <w:color w:val="4B4B4B"/>
                <w:sz w:val="21"/>
              </w:rPr>
              <w:t>项目编号</w:t>
            </w:r>
          </w:p>
        </w:tc>
        <w:tc>
          <w:tcPr>
            <w:tcW w:type="dxa" w:w="5688"/>
            <w:tcMar>
              <w:top w:w="130" w:type="dxa"/>
              <w:start w:w="160" w:type="dxa"/>
              <w:bottom w:w="130" w:type="dxa"/>
              <w:end w:w="160" w:type="dxa"/>
            </w:tcMar>
            <w:vAlign w:val="center"/>
          </w:tcPr>
          <w:p>
            <w:pPr>
              <w:jc w:val="left"/>
            </w:pPr>
            <w:r>
              <w:rPr>
                <w:rFonts w:ascii="Calibri" w:hAnsi="Calibri" w:eastAsia="宋体"/>
                <w:color w:val="000000"/>
                <w:sz w:val="21"/>
              </w:rPr>
              <w:t>A23</w:t>
            </w:r>
          </w:p>
        </w:tc>
      </w:tr>
      <w:tr>
        <w:tc>
          <w:tcPr>
            <w:tcW w:type="dxa" w:w="2088"/>
            <w:tcMar>
              <w:top w:w="130" w:type="dxa"/>
              <w:start w:w="160" w:type="dxa"/>
              <w:bottom w:w="130" w:type="dxa"/>
              <w:end w:w="160" w:type="dxa"/>
            </w:tcMar>
            <w:vAlign w:val="center"/>
          </w:tcPr>
          <w:p>
            <w:pPr>
              <w:jc w:val="right"/>
            </w:pPr>
            <w:r>
              <w:rPr>
                <w:rFonts w:ascii="Calibri" w:hAnsi="Calibri" w:eastAsia="微软雅黑"/>
                <w:b/>
                <w:color w:val="4B4B4B"/>
                <w:sz w:val="21"/>
              </w:rPr>
              <w:t>材料名称</w:t>
            </w:r>
          </w:p>
        </w:tc>
        <w:tc>
          <w:tcPr>
            <w:tcW w:type="dxa" w:w="5688"/>
            <w:tcMar>
              <w:top w:w="130" w:type="dxa"/>
              <w:start w:w="160" w:type="dxa"/>
              <w:bottom w:w="130" w:type="dxa"/>
              <w:end w:w="160" w:type="dxa"/>
            </w:tcMar>
            <w:vAlign w:val="center"/>
          </w:tcPr>
          <w:p>
            <w:pPr>
              <w:jc w:val="left"/>
            </w:pPr>
            <w:r>
              <w:rPr>
                <w:rFonts w:ascii="Calibri" w:hAnsi="Calibri" w:eastAsia="宋体"/>
                <w:color w:val="000000"/>
                <w:sz w:val="21"/>
              </w:rPr>
              <w:t>多源数据样本集说明</w:t>
            </w:r>
          </w:p>
        </w:tc>
      </w:tr>
      <w:tr>
        <w:tc>
          <w:tcPr>
            <w:tcW w:type="dxa" w:w="2088"/>
            <w:tcMar>
              <w:top w:w="130" w:type="dxa"/>
              <w:start w:w="160" w:type="dxa"/>
              <w:bottom w:w="130" w:type="dxa"/>
              <w:end w:w="160" w:type="dxa"/>
            </w:tcMar>
            <w:vAlign w:val="center"/>
          </w:tcPr>
          <w:p>
            <w:pPr>
              <w:jc w:val="right"/>
            </w:pPr>
            <w:r>
              <w:rPr>
                <w:rFonts w:ascii="Calibri" w:hAnsi="Calibri" w:eastAsia="微软雅黑"/>
                <w:b/>
                <w:color w:val="4B4B4B"/>
                <w:sz w:val="21"/>
              </w:rPr>
              <w:t>文档版本</w:t>
            </w:r>
          </w:p>
        </w:tc>
        <w:tc>
          <w:tcPr>
            <w:tcW w:type="dxa" w:w="5688"/>
            <w:tcMar>
              <w:top w:w="130" w:type="dxa"/>
              <w:start w:w="160" w:type="dxa"/>
              <w:bottom w:w="130" w:type="dxa"/>
              <w:end w:w="160" w:type="dxa"/>
            </w:tcMar>
            <w:vAlign w:val="center"/>
          </w:tcPr>
          <w:p>
            <w:pPr>
              <w:jc w:val="left"/>
            </w:pPr>
            <w:r>
              <w:rPr>
                <w:rFonts w:ascii="Calibri" w:hAnsi="Calibri" w:eastAsia="宋体"/>
                <w:color w:val="000000"/>
                <w:sz w:val="21"/>
              </w:rPr>
              <w:t>V1.0</w:t>
            </w:r>
          </w:p>
        </w:tc>
      </w:tr>
      <w:tr>
        <w:tc>
          <w:tcPr>
            <w:tcW w:type="dxa" w:w="2088"/>
            <w:tcMar>
              <w:top w:w="130" w:type="dxa"/>
              <w:start w:w="160" w:type="dxa"/>
              <w:bottom w:w="130" w:type="dxa"/>
              <w:end w:w="160" w:type="dxa"/>
            </w:tcMar>
            <w:vAlign w:val="center"/>
          </w:tcPr>
          <w:p>
            <w:pPr>
              <w:jc w:val="right"/>
            </w:pPr>
            <w:r>
              <w:rPr>
                <w:rFonts w:ascii="Calibri" w:hAnsi="Calibri" w:eastAsia="微软雅黑"/>
                <w:b/>
                <w:color w:val="4B4B4B"/>
                <w:sz w:val="21"/>
              </w:rPr>
              <w:t>编制日期</w:t>
            </w:r>
          </w:p>
        </w:tc>
        <w:tc>
          <w:tcPr>
            <w:tcW w:type="dxa" w:w="5688"/>
            <w:tcMar>
              <w:top w:w="130" w:type="dxa"/>
              <w:start w:w="160" w:type="dxa"/>
              <w:bottom w:w="130" w:type="dxa"/>
              <w:end w:w="160" w:type="dxa"/>
            </w:tcMar>
            <w:vAlign w:val="center"/>
          </w:tcPr>
          <w:p>
            <w:pPr>
              <w:jc w:val="left"/>
            </w:pPr>
            <w:r>
              <w:rPr>
                <w:rFonts w:ascii="Calibri" w:hAnsi="Calibri" w:eastAsia="宋体"/>
                <w:color w:val="000000"/>
                <w:sz w:val="21"/>
              </w:rPr>
              <w:t>2026年9月8日</w:t>
            </w:r>
          </w:p>
        </w:tc>
      </w:tr>
    </w:tbl>
    <w:p>
      <w:pPr>
        <w:sectPr>
          <w:footerReference w:type="default" r:id="rId9"/>
          <w:pgSz w:w="12240" w:h="15840"/>
          <w:pgMar w:top="1123" w:right="1152" w:bottom="1037" w:left="1152" w:header="720" w:footer="720" w:gutter="0"/>
          <w:cols w:space="720"/>
          <w:docGrid w:linePitch="360"/>
        </w:sectPr>
      </w:pPr>
    </w:p>
    <w:p>
      <w:pPr>
        <w:pStyle w:val="Heading1"/>
        <w:keepNext/>
      </w:pPr>
      <w:r>
        <w:t>一 样本集概述</w:t>
      </w:r>
    </w:p>
    <w:p>
      <w:pPr>
        <w:spacing w:line="348" w:lineRule="auto" w:after="140"/>
        <w:ind w:firstLine="440"/>
      </w:pPr>
      <w:r>
        <w:rPr>
          <w:rFonts w:ascii="Calibri" w:hAnsi="Calibri" w:eastAsia="宋体"/>
          <w:color w:val="000000"/>
          <w:sz w:val="22"/>
        </w:rPr>
        <w:t>本项目构建的多源数据样本集服务于太湖蓝藻水华监测、风险分析、模型训练、模型验证和系统展示。样本集由三部分组成：项目全部原始数据、生态环境部地表水水质实时采集数据和项目模拟数据。三类数据在统一的数据目录和字段体系下组织，并通过时间、空间和变量编码建立关联。</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87"/>
        <w:gridCol w:w="1987"/>
        <w:gridCol w:w="1987"/>
        <w:gridCol w:w="1987"/>
        <w:gridCol w:w="1987"/>
      </w:tblGrid>
      <w:tr>
        <w:trPr>
          <w:tblHeader w:val="true"/>
        </w:trPr>
        <w:tc>
          <w:tcPr>
            <w:tcW w:type="dxa" w:w="648"/>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7"/>
              </w:rPr>
              <w:t>序号</w:t>
            </w:r>
          </w:p>
        </w:tc>
        <w:tc>
          <w:tcPr>
            <w:tcW w:type="dxa" w:w="1800"/>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7"/>
              </w:rPr>
              <w:t>数据组成</w:t>
            </w:r>
          </w:p>
        </w:tc>
        <w:tc>
          <w:tcPr>
            <w:tcW w:type="dxa" w:w="1944"/>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7"/>
              </w:rPr>
              <w:t>时间范围</w:t>
            </w:r>
          </w:p>
        </w:tc>
        <w:tc>
          <w:tcPr>
            <w:tcW w:type="dxa" w:w="3168"/>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7"/>
              </w:rPr>
              <w:t>主要内容</w:t>
            </w:r>
          </w:p>
        </w:tc>
        <w:tc>
          <w:tcPr>
            <w:tcW w:type="dxa" w:w="2376"/>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7"/>
              </w:rPr>
              <w:t>主要用途</w:t>
            </w:r>
          </w:p>
        </w:tc>
      </w:tr>
      <w:tr>
        <w:tc>
          <w:tcPr>
            <w:tcW w:type="dxa" w:w="648"/>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7"/>
              </w:rPr>
              <w:t>1</w:t>
            </w:r>
          </w:p>
        </w:tc>
        <w:tc>
          <w:tcPr>
            <w:tcW w:type="dxa" w:w="1800"/>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7"/>
              </w:rPr>
              <w:t>项目全部原始数据</w:t>
            </w:r>
          </w:p>
        </w:tc>
        <w:tc>
          <w:tcPr>
            <w:tcW w:type="dxa" w:w="1944"/>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7"/>
              </w:rPr>
              <w:t>1993年至2026年，部分专题数据从2002年、2004年、2005年或2020年开始</w:t>
            </w:r>
          </w:p>
        </w:tc>
        <w:tc>
          <w:tcPr>
            <w:tcW w:type="dxa" w:w="3168"/>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7"/>
              </w:rPr>
              <w:t>水质、生物、气象、水文、遥感、地形、土地覆盖、湖区边界、现场样本和数据目录资料</w:t>
            </w:r>
          </w:p>
        </w:tc>
        <w:tc>
          <w:tcPr>
            <w:tcW w:type="dxa" w:w="2376"/>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7"/>
              </w:rPr>
              <w:t>历史分析、特征构建、模型输入、空间配准和系统展示</w:t>
            </w:r>
          </w:p>
        </w:tc>
      </w:tr>
      <w:tr>
        <w:tc>
          <w:tcPr>
            <w:tcW w:type="dxa" w:w="648"/>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7"/>
              </w:rPr>
              <w:t>2</w:t>
            </w:r>
          </w:p>
        </w:tc>
        <w:tc>
          <w:tcPr>
            <w:tcW w:type="dxa" w:w="1800"/>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7"/>
              </w:rPr>
              <w:t>MEE实时采集数据</w:t>
            </w:r>
          </w:p>
        </w:tc>
        <w:tc>
          <w:tcPr>
            <w:tcW w:type="dxa" w:w="1944"/>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7"/>
              </w:rPr>
              <w:t>2026年9月4日起持续采集</w:t>
            </w:r>
          </w:p>
        </w:tc>
        <w:tc>
          <w:tcPr>
            <w:tcW w:type="dxa" w:w="3168"/>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7"/>
              </w:rPr>
              <w:t>太湖流域国控断面水质类别及11项水质和藻类指标</w:t>
            </w:r>
          </w:p>
        </w:tc>
        <w:tc>
          <w:tcPr>
            <w:tcW w:type="dxa" w:w="2376"/>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7"/>
              </w:rPr>
              <w:t>实时监测、站点状态展示、动态风险分析和预警触发</w:t>
            </w:r>
          </w:p>
        </w:tc>
      </w:tr>
      <w:tr>
        <w:tc>
          <w:tcPr>
            <w:tcW w:type="dxa" w:w="648"/>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7"/>
              </w:rPr>
              <w:t>3</w:t>
            </w:r>
          </w:p>
        </w:tc>
        <w:tc>
          <w:tcPr>
            <w:tcW w:type="dxa" w:w="1800"/>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7"/>
              </w:rPr>
              <w:t>项目模拟数据</w:t>
            </w:r>
          </w:p>
        </w:tc>
        <w:tc>
          <w:tcPr>
            <w:tcW w:type="dxa" w:w="1944"/>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7"/>
              </w:rPr>
              <w:t>2024年1月1日至2024年12月31日</w:t>
            </w:r>
          </w:p>
        </w:tc>
        <w:tc>
          <w:tcPr>
            <w:tcW w:type="dxa" w:w="3168"/>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7"/>
              </w:rPr>
              <w:t>气象、水文、营养盐、藻类生长、空间输运和水华状态的日尺度模拟数据</w:t>
            </w:r>
          </w:p>
        </w:tc>
        <w:tc>
          <w:tcPr>
            <w:tcW w:type="dxa" w:w="2376"/>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7"/>
              </w:rPr>
              <w:t>算法开发、训练样本生成、融合模型联调和预测流程测试</w:t>
            </w:r>
          </w:p>
        </w:tc>
      </w:tr>
    </w:tbl>
    <w:p>
      <w:pPr>
        <w:spacing w:after="40"/>
      </w:pPr>
    </w:p>
    <w:p>
      <w:pPr>
        <w:pStyle w:val="Heading1"/>
        <w:keepNext/>
      </w:pPr>
      <w:r>
        <w:t>二 项目全部原始数据</w:t>
      </w:r>
    </w:p>
    <w:p>
      <w:pPr>
        <w:spacing w:line="348" w:lineRule="auto" w:after="140"/>
        <w:ind w:firstLine="440"/>
      </w:pPr>
      <w:r>
        <w:rPr>
          <w:rFonts w:ascii="Calibri" w:hAnsi="Calibri" w:eastAsia="宋体"/>
          <w:color w:val="000000"/>
          <w:sz w:val="22"/>
        </w:rPr>
        <w:t>项目原始数据集中保留了团队收集、下载和整理的全部数据文件，共覆盖水质、生物、气象、水文、遥感和空间地理信息等专题。原始数据目录包括当前主原始数据、历史补充数据、THQBCA V2原始数据集、公开数据目录响应、历史整理区、采集来源清单和采集过程资料。</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87"/>
        <w:gridCol w:w="1987"/>
        <w:gridCol w:w="1987"/>
        <w:gridCol w:w="1987"/>
        <w:gridCol w:w="1987"/>
      </w:tblGrid>
      <w:tr>
        <w:trPr>
          <w:tblHeader w:val="true"/>
        </w:trPr>
        <w:tc>
          <w:tcPr>
            <w:tcW w:type="dxa" w:w="1512"/>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6"/>
              </w:rPr>
              <w:t>数据类别</w:t>
            </w:r>
          </w:p>
        </w:tc>
        <w:tc>
          <w:tcPr>
            <w:tcW w:type="dxa" w:w="1944"/>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6"/>
              </w:rPr>
              <w:t>来源</w:t>
            </w:r>
          </w:p>
        </w:tc>
        <w:tc>
          <w:tcPr>
            <w:tcW w:type="dxa" w:w="1512"/>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6"/>
              </w:rPr>
              <w:t>时间范围</w:t>
            </w:r>
          </w:p>
        </w:tc>
        <w:tc>
          <w:tcPr>
            <w:tcW w:type="dxa" w:w="3240"/>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6"/>
              </w:rPr>
              <w:t>数据内容</w:t>
            </w:r>
          </w:p>
        </w:tc>
        <w:tc>
          <w:tcPr>
            <w:tcW w:type="dxa" w:w="1872"/>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6"/>
              </w:rPr>
              <w:t>用途</w:t>
            </w:r>
          </w:p>
        </w:tc>
      </w:tr>
      <w:tr>
        <w:tc>
          <w:tcPr>
            <w:tcW w:type="dxa" w:w="151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6"/>
              </w:rPr>
              <w:t>C3S季节气象</w:t>
            </w:r>
          </w:p>
        </w:tc>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6"/>
              </w:rPr>
              <w:t>Copernicus Climate Change Service</w:t>
            </w:r>
          </w:p>
        </w:tc>
        <w:tc>
          <w:tcPr>
            <w:tcW w:type="dxa" w:w="1512"/>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1993-01至2026-10</w:t>
            </w:r>
          </w:p>
        </w:tc>
        <w:tc>
          <w:tcPr>
            <w:tcW w:type="dxa" w:w="3240"/>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气温、降水、短波辐射、风场</w:t>
            </w:r>
          </w:p>
        </w:tc>
        <w:tc>
          <w:tcPr>
            <w:tcW w:type="dxa" w:w="1872"/>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中长期气象驱动和集合情景输入</w:t>
            </w:r>
          </w:p>
        </w:tc>
      </w:tr>
      <w:tr>
        <w:tc>
          <w:tcPr>
            <w:tcW w:type="dxa" w:w="1512"/>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6"/>
              </w:rPr>
              <w:t>ERA5湖面温度</w:t>
            </w:r>
          </w:p>
        </w:tc>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6"/>
              </w:rPr>
              <w:t>ECMWF ERA5产品</w:t>
            </w:r>
          </w:p>
        </w:tc>
        <w:tc>
          <w:tcPr>
            <w:tcW w:type="dxa" w:w="1512"/>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2020-01至2026-08</w:t>
            </w:r>
          </w:p>
        </w:tc>
        <w:tc>
          <w:tcPr>
            <w:tcW w:type="dxa" w:w="3240"/>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湖面温度</w:t>
            </w:r>
          </w:p>
        </w:tc>
        <w:tc>
          <w:tcPr>
            <w:tcW w:type="dxa" w:w="1872"/>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温度特征和湖面热状况分析</w:t>
            </w:r>
          </w:p>
        </w:tc>
      </w:tr>
      <w:tr>
        <w:tc>
          <w:tcPr>
            <w:tcW w:type="dxa" w:w="151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6"/>
              </w:rPr>
              <w:t>太湖水质与生物</w:t>
            </w:r>
          </w:p>
        </w:tc>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6"/>
              </w:rPr>
              <w:t>THQBCA V2及项目整理资料</w:t>
            </w:r>
          </w:p>
        </w:tc>
        <w:tc>
          <w:tcPr>
            <w:tcW w:type="dxa" w:w="1512"/>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2005-01至2026-08</w:t>
            </w:r>
          </w:p>
        </w:tc>
        <w:tc>
          <w:tcPr>
            <w:tcW w:type="dxa" w:w="3240"/>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叶绿素a、总氮、总磷、氨氮、溶解氧、pH和生物量等</w:t>
            </w:r>
          </w:p>
        </w:tc>
        <w:tc>
          <w:tcPr>
            <w:tcW w:type="dxa" w:w="1872"/>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水质分析、机理参数构建和模型特征输入</w:t>
            </w:r>
          </w:p>
        </w:tc>
      </w:tr>
      <w:tr>
        <w:tc>
          <w:tcPr>
            <w:tcW w:type="dxa" w:w="1512"/>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6"/>
              </w:rPr>
              <w:t>太湖水文</w:t>
            </w:r>
          </w:p>
        </w:tc>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6"/>
              </w:rPr>
              <w:t>太湖流域水文资料</w:t>
            </w:r>
          </w:p>
        </w:tc>
        <w:tc>
          <w:tcPr>
            <w:tcW w:type="dxa" w:w="1512"/>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2004-01至2026-08</w:t>
            </w:r>
          </w:p>
        </w:tc>
        <w:tc>
          <w:tcPr>
            <w:tcW w:type="dxa" w:w="3240"/>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水位和雨量</w:t>
            </w:r>
          </w:p>
        </w:tc>
        <w:tc>
          <w:tcPr>
            <w:tcW w:type="dxa" w:w="1872"/>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水文驱动和时序关联分析</w:t>
            </w:r>
          </w:p>
        </w:tc>
      </w:tr>
      <w:tr>
        <w:tc>
          <w:tcPr>
            <w:tcW w:type="dxa" w:w="151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6"/>
              </w:rPr>
              <w:t>现场样本</w:t>
            </w:r>
          </w:p>
        </w:tc>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6"/>
              </w:rPr>
              <w:t>Zenodo太湖现场样本数据</w:t>
            </w:r>
          </w:p>
        </w:tc>
        <w:tc>
          <w:tcPr>
            <w:tcW w:type="dxa" w:w="1512"/>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2020-12至2023-10</w:t>
            </w:r>
          </w:p>
        </w:tc>
        <w:tc>
          <w:tcPr>
            <w:tcW w:type="dxa" w:w="3240"/>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叶绿素a、透明度、悬浮物和水温</w:t>
            </w:r>
          </w:p>
        </w:tc>
        <w:tc>
          <w:tcPr>
            <w:tcW w:type="dxa" w:w="1872"/>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样点分析和遥感产品配准</w:t>
            </w:r>
          </w:p>
        </w:tc>
      </w:tr>
      <w:tr>
        <w:tc>
          <w:tcPr>
            <w:tcW w:type="dxa" w:w="1512"/>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6"/>
              </w:rPr>
              <w:t>Sentinel 2</w:t>
            </w:r>
          </w:p>
        </w:tc>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6"/>
              </w:rPr>
              <w:t>Copernicus Sentinel 2 L2A</w:t>
            </w:r>
          </w:p>
        </w:tc>
        <w:tc>
          <w:tcPr>
            <w:tcW w:type="dxa" w:w="1512"/>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2022-01至2026-08</w:t>
            </w:r>
          </w:p>
        </w:tc>
        <w:tc>
          <w:tcPr>
            <w:tcW w:type="dxa" w:w="3240"/>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多光谱波段及FAI、MCI、NDCI、NDWI</w:t>
            </w:r>
          </w:p>
        </w:tc>
        <w:tc>
          <w:tcPr>
            <w:tcW w:type="dxa" w:w="1872"/>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水体识别、水华空间特征和月度遥感分析</w:t>
            </w:r>
          </w:p>
        </w:tc>
      </w:tr>
      <w:tr>
        <w:tc>
          <w:tcPr>
            <w:tcW w:type="dxa" w:w="151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6"/>
              </w:rPr>
              <w:t>MODIS Aqua</w:t>
            </w:r>
          </w:p>
        </w:tc>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6"/>
              </w:rPr>
              <w:t>NASA MODIS Aqua</w:t>
            </w:r>
          </w:p>
        </w:tc>
        <w:tc>
          <w:tcPr>
            <w:tcW w:type="dxa" w:w="1512"/>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2002-07至2026-05</w:t>
            </w:r>
          </w:p>
        </w:tc>
        <w:tc>
          <w:tcPr>
            <w:tcW w:type="dxa" w:w="3240"/>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日尺度和月尺度叶绿素产品</w:t>
            </w:r>
          </w:p>
        </w:tc>
        <w:tc>
          <w:tcPr>
            <w:tcW w:type="dxa" w:w="1872"/>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长时间序列遥感特征和变化分析</w:t>
            </w:r>
          </w:p>
        </w:tc>
      </w:tr>
      <w:tr>
        <w:tc>
          <w:tcPr>
            <w:tcW w:type="dxa" w:w="1512"/>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6"/>
              </w:rPr>
              <w:t>CLMS水质产品</w:t>
            </w:r>
          </w:p>
        </w:tc>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6"/>
              </w:rPr>
              <w:t>Copernicus Land Monitoring Service</w:t>
            </w:r>
          </w:p>
        </w:tc>
        <w:tc>
          <w:tcPr>
            <w:tcW w:type="dxa" w:w="1512"/>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2024-09至2026-08</w:t>
            </w:r>
          </w:p>
        </w:tc>
        <w:tc>
          <w:tcPr>
            <w:tcW w:type="dxa" w:w="3240"/>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叶绿素、叶绿素不确定性和浮游蓝藻概率</w:t>
            </w:r>
          </w:p>
        </w:tc>
        <w:tc>
          <w:tcPr>
            <w:tcW w:type="dxa" w:w="1872"/>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区域水质特征和风险分析</w:t>
            </w:r>
          </w:p>
        </w:tc>
      </w:tr>
      <w:tr>
        <w:tc>
          <w:tcPr>
            <w:tcW w:type="dxa" w:w="151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6"/>
              </w:rPr>
              <w:t>NOAA GFS</w:t>
            </w:r>
          </w:p>
        </w:tc>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6"/>
              </w:rPr>
              <w:t>NOAA Global Forecast System</w:t>
            </w:r>
          </w:p>
        </w:tc>
        <w:tc>
          <w:tcPr>
            <w:tcW w:type="dxa" w:w="1512"/>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2026-08-18至2026-08-30</w:t>
            </w:r>
          </w:p>
        </w:tc>
        <w:tc>
          <w:tcPr>
            <w:tcW w:type="dxa" w:w="3240"/>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气温、气压、云量、降水、辐射和风场</w:t>
            </w:r>
          </w:p>
        </w:tc>
        <w:tc>
          <w:tcPr>
            <w:tcW w:type="dxa" w:w="1872"/>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短期气象驱动输入</w:t>
            </w:r>
          </w:p>
        </w:tc>
      </w:tr>
      <w:tr>
        <w:tc>
          <w:tcPr>
            <w:tcW w:type="dxa" w:w="1512"/>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6"/>
              </w:rPr>
              <w:t>静态空间数据</w:t>
            </w:r>
          </w:p>
        </w:tc>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6"/>
              </w:rPr>
              <w:t>Copernicus DEM、ESA WorldCover、HydroLAKES和HydroBASINS</w:t>
            </w:r>
          </w:p>
        </w:tc>
        <w:tc>
          <w:tcPr>
            <w:tcW w:type="dxa" w:w="1512"/>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静态数据及2021年土地覆盖</w:t>
            </w:r>
          </w:p>
        </w:tc>
        <w:tc>
          <w:tcPr>
            <w:tcW w:type="dxa" w:w="3240"/>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高程、土地覆盖、湖区边界、流域边界和空间关系</w:t>
            </w:r>
          </w:p>
        </w:tc>
        <w:tc>
          <w:tcPr>
            <w:tcW w:type="dxa" w:w="1872"/>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6"/>
              </w:rPr>
              <w:t>湖区网格构建、空间配准和地理背景特征</w:t>
            </w:r>
          </w:p>
        </w:tc>
      </w:tr>
      <w:tr>
        <w:tc>
          <w:tcPr>
            <w:tcW w:type="dxa" w:w="151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6"/>
              </w:rPr>
              <w:t>MEE地表水月报</w:t>
            </w:r>
          </w:p>
        </w:tc>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6"/>
              </w:rPr>
              <w:t>中华人民共和国生态环境部</w:t>
            </w:r>
          </w:p>
        </w:tc>
        <w:tc>
          <w:tcPr>
            <w:tcW w:type="dxa" w:w="1512"/>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2022-01至2026-06</w:t>
            </w:r>
          </w:p>
        </w:tc>
        <w:tc>
          <w:tcPr>
            <w:tcW w:type="dxa" w:w="3240"/>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太湖流域地表水水质月报文件</w:t>
            </w:r>
          </w:p>
        </w:tc>
        <w:tc>
          <w:tcPr>
            <w:tcW w:type="dxa" w:w="1872"/>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6"/>
              </w:rPr>
              <w:t>历史水质资料归档和时段查询</w:t>
            </w:r>
          </w:p>
        </w:tc>
      </w:tr>
    </w:tbl>
    <w:p>
      <w:pPr>
        <w:spacing w:after="40"/>
      </w:pPr>
    </w:p>
    <w:p>
      <w:pPr>
        <w:pStyle w:val="Heading2"/>
        <w:keepNext/>
      </w:pPr>
      <w:r>
        <w:t>原始数据专题内容</w:t>
      </w:r>
    </w:p>
    <w:p>
      <w:pPr>
        <w:spacing w:line="348" w:lineRule="auto" w:after="140"/>
        <w:ind w:firstLine="440"/>
      </w:pPr>
      <w:r>
        <w:rPr>
          <w:rFonts w:ascii="Calibri" w:hAnsi="Calibri" w:eastAsia="宋体"/>
          <w:color w:val="000000"/>
          <w:sz w:val="22"/>
        </w:rPr>
        <w:t>水质与生物数据记录太湖水体中叶绿素a、总氮、总磷、氨氮、亚硝酸盐氮、硝酸盐氮、磷酸盐磷、高锰酸盐指数、溶解氧、pH、浮游植物和浮游动物等指标，用于描述营养盐条件、水体理化状态和藻类变化。</w:t>
      </w:r>
    </w:p>
    <w:p>
      <w:pPr>
        <w:spacing w:line="348" w:lineRule="auto" w:after="140"/>
        <w:ind w:firstLine="440"/>
      </w:pPr>
      <w:r>
        <w:rPr>
          <w:rFonts w:ascii="Calibri" w:hAnsi="Calibri" w:eastAsia="宋体"/>
          <w:color w:val="000000"/>
          <w:sz w:val="22"/>
        </w:rPr>
        <w:t>气象与水文数据记录气温、降水、辐射、风速、风向、气压、云量、水位和雨量等指标，用于形成蓝藻生长、聚集和迁移过程的外部驱动特征。</w:t>
      </w:r>
    </w:p>
    <w:p>
      <w:pPr>
        <w:spacing w:line="348" w:lineRule="auto" w:after="140"/>
        <w:ind w:firstLine="440"/>
      </w:pPr>
      <w:r>
        <w:rPr>
          <w:rFonts w:ascii="Calibri" w:hAnsi="Calibri" w:eastAsia="宋体"/>
          <w:color w:val="000000"/>
          <w:sz w:val="22"/>
        </w:rPr>
        <w:t>遥感数据包含Sentinel 2多光谱影像、MODIS Aqua叶绿素产品和CLMS湖泊水质产品，用于构建太湖水体光谱特征、叶绿素时空特征和水华空间分布特征。</w:t>
      </w:r>
    </w:p>
    <w:p>
      <w:pPr>
        <w:spacing w:line="348" w:lineRule="auto" w:after="140"/>
        <w:ind w:firstLine="440"/>
      </w:pPr>
      <w:r>
        <w:rPr>
          <w:rFonts w:ascii="Calibri" w:hAnsi="Calibri" w:eastAsia="宋体"/>
          <w:color w:val="000000"/>
          <w:sz w:val="22"/>
        </w:rPr>
        <w:t>空间地理数据包含太湖湖区边界、流域边界、数字高程、土地覆盖和站点空间关系，用于建立湖区网格、站点映射和空间统计单元。</w:t>
      </w:r>
    </w:p>
    <w:p>
      <w:pPr>
        <w:pStyle w:val="Heading1"/>
        <w:keepNext/>
      </w:pPr>
      <w:r>
        <w:t>三 MEE实时采集数据</w:t>
      </w:r>
    </w:p>
    <w:p>
      <w:pPr>
        <w:spacing w:line="348" w:lineRule="auto" w:after="140"/>
        <w:ind w:firstLine="440"/>
      </w:pPr>
      <w:r>
        <w:rPr>
          <w:rFonts w:ascii="Calibri" w:hAnsi="Calibri" w:eastAsia="宋体"/>
          <w:color w:val="000000"/>
          <w:sz w:val="22"/>
        </w:rPr>
        <w:t>MEE实时采集数据来源于中华人民共和国生态环境部地表水水质公开数据服务。项目以太湖流域为采集范围，按照固定周期自动获取最新断面数据，并将每次采集结果保存为带时间标识的快照。</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1944"/>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9"/>
              </w:rPr>
              <w:t>项目</w:t>
            </w:r>
          </w:p>
        </w:tc>
        <w:tc>
          <w:tcPr>
            <w:tcW w:type="dxa" w:w="8136"/>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9"/>
              </w:rPr>
              <w:t>说明</w:t>
            </w:r>
          </w:p>
        </w:tc>
      </w:tr>
      <w:tr>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数据来源</w:t>
            </w:r>
          </w:p>
        </w:tc>
        <w:tc>
          <w:tcPr>
            <w:tcW w:type="dxa" w:w="8136"/>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中华人民共和国生态环境部地表水水质公开数据服务</w:t>
            </w:r>
          </w:p>
        </w:tc>
      </w:tr>
      <w:tr>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采集范围</w:t>
            </w:r>
          </w:p>
        </w:tc>
        <w:tc>
          <w:tcPr>
            <w:tcW w:type="dxa" w:w="8136"/>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太湖流域国控地表水监测断面</w:t>
            </w:r>
          </w:p>
        </w:tc>
      </w:tr>
      <w:tr>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采集时间</w:t>
            </w:r>
          </w:p>
        </w:tc>
        <w:tc>
          <w:tcPr>
            <w:tcW w:type="dxa" w:w="8136"/>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自2026年9月4日起持续采集；本文档统计截至2026年9月8日09时</w:t>
            </w:r>
          </w:p>
        </w:tc>
      </w:tr>
      <w:tr>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采集频率</w:t>
            </w:r>
          </w:p>
        </w:tc>
        <w:tc>
          <w:tcPr>
            <w:tcW w:type="dxa" w:w="8136"/>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计划任务每30分钟执行一次，并按上游数据时间保存观测记录</w:t>
            </w:r>
          </w:p>
        </w:tc>
      </w:tr>
      <w:tr>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当前规模</w:t>
            </w:r>
          </w:p>
        </w:tc>
        <w:tc>
          <w:tcPr>
            <w:tcW w:type="dxa" w:w="8136"/>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45个完整快照，79个活动监测站点，39072条标准化观测记录</w:t>
            </w:r>
          </w:p>
        </w:tc>
      </w:tr>
      <w:tr>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存储形式</w:t>
            </w:r>
          </w:p>
        </w:tc>
        <w:tc>
          <w:tcPr>
            <w:tcW w:type="dxa" w:w="8136"/>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原始JSON快照、标准化Parquet观测表、站点表、快照表和状态文件</w:t>
            </w:r>
          </w:p>
        </w:tc>
      </w:tr>
    </w:tbl>
    <w:p>
      <w:pPr>
        <w:spacing w:after="40"/>
      </w:pPr>
    </w:p>
    <w:p>
      <w:pPr>
        <w:pStyle w:val="Heading2"/>
        <w:keepNext/>
      </w:pPr>
      <w:r>
        <w:t>实时数据内容</w:t>
      </w:r>
    </w:p>
    <w:p>
      <w:pPr>
        <w:pStyle w:val="ListBullet"/>
        <w:spacing w:line="300" w:lineRule="auto" w:after="80"/>
        <w:ind w:left="403" w:hanging="259"/>
      </w:pPr>
      <w:r>
        <w:rPr>
          <w:rFonts w:ascii="Calibri" w:hAnsi="Calibri" w:eastAsia="宋体"/>
          <w:color w:val="000000"/>
          <w:sz w:val="22"/>
        </w:rPr>
        <w:t>断面基本信息：省份、流域、断面名称和监测时间。</w:t>
      </w:r>
    </w:p>
    <w:p>
      <w:pPr>
        <w:pStyle w:val="ListBullet"/>
        <w:spacing w:line="300" w:lineRule="auto" w:after="80"/>
        <w:ind w:left="403" w:hanging="259"/>
      </w:pPr>
      <w:r>
        <w:rPr>
          <w:rFonts w:ascii="Calibri" w:hAnsi="Calibri" w:eastAsia="宋体"/>
          <w:color w:val="000000"/>
          <w:sz w:val="22"/>
        </w:rPr>
        <w:t>水质状态信息：水质类别。</w:t>
      </w:r>
    </w:p>
    <w:p>
      <w:pPr>
        <w:pStyle w:val="ListBullet"/>
        <w:spacing w:line="300" w:lineRule="auto" w:after="80"/>
        <w:ind w:left="403" w:hanging="259"/>
      </w:pPr>
      <w:r>
        <w:rPr>
          <w:rFonts w:ascii="Calibri" w:hAnsi="Calibri" w:eastAsia="宋体"/>
          <w:color w:val="000000"/>
          <w:sz w:val="22"/>
        </w:rPr>
        <w:t>理化指标：水温、pH、溶解氧、电导率和浊度。</w:t>
      </w:r>
    </w:p>
    <w:p>
      <w:pPr>
        <w:pStyle w:val="ListBullet"/>
        <w:spacing w:line="300" w:lineRule="auto" w:after="80"/>
        <w:ind w:left="403" w:hanging="259"/>
      </w:pPr>
      <w:r>
        <w:rPr>
          <w:rFonts w:ascii="Calibri" w:hAnsi="Calibri" w:eastAsia="宋体"/>
          <w:color w:val="000000"/>
          <w:sz w:val="22"/>
        </w:rPr>
        <w:t>营养盐与有机物指标：高锰酸盐指数、氨氮、总磷和总氮。</w:t>
      </w:r>
    </w:p>
    <w:p>
      <w:pPr>
        <w:pStyle w:val="ListBullet"/>
        <w:spacing w:line="300" w:lineRule="auto" w:after="80"/>
        <w:ind w:left="403" w:hanging="259"/>
      </w:pPr>
      <w:r>
        <w:rPr>
          <w:rFonts w:ascii="Calibri" w:hAnsi="Calibri" w:eastAsia="宋体"/>
          <w:color w:val="000000"/>
          <w:sz w:val="22"/>
        </w:rPr>
        <w:t>藻类指标：叶绿素a和藻密度。</w:t>
      </w:r>
    </w:p>
    <w:p>
      <w:pPr>
        <w:pStyle w:val="Heading2"/>
        <w:keepNext/>
      </w:pPr>
      <w:r>
        <w:t>实时数据用途</w:t>
      </w:r>
    </w:p>
    <w:p>
      <w:pPr>
        <w:spacing w:line="348" w:lineRule="auto" w:after="140"/>
        <w:ind w:firstLine="440"/>
      </w:pPr>
      <w:r>
        <w:rPr>
          <w:rFonts w:ascii="Calibri" w:hAnsi="Calibri" w:eastAsia="宋体"/>
          <w:color w:val="000000"/>
          <w:sz w:val="22"/>
        </w:rPr>
        <w:t>实时采集数据用于系统首页、站点监测、空间热力图和历史回放页面的数据更新，也用于计算太湖流域当前水质分布、重点站点变化和区域风险状态。实时数据通过统一接口向前端提供站点列表、最新观测、时间序列、区域汇总和采集状态。</w:t>
      </w:r>
    </w:p>
    <w:p>
      <w:pPr>
        <w:pStyle w:val="Heading1"/>
        <w:keepNext/>
      </w:pPr>
      <w:r>
        <w:t>四 项目模拟数据</w:t>
      </w:r>
    </w:p>
    <w:p>
      <w:pPr>
        <w:spacing w:line="348" w:lineRule="auto" w:after="140"/>
        <w:ind w:firstLine="440"/>
      </w:pPr>
      <w:r>
        <w:rPr>
          <w:rFonts w:ascii="Calibri" w:hAnsi="Calibri" w:eastAsia="宋体"/>
          <w:color w:val="000000"/>
          <w:sz w:val="22"/>
        </w:rPr>
        <w:t>项目模拟数据由数据工厂按照太湖蓝藻机理变量、历史统计特征和空间网格生成。当前模拟数据集版本为mvp_meiliangwan_2024，情景标识为baseline，随机种子为20260904，生成器版本为df 0.3.0。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1944"/>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9"/>
              </w:rPr>
              <w:t>项目</w:t>
            </w:r>
          </w:p>
        </w:tc>
        <w:tc>
          <w:tcPr>
            <w:tcW w:type="dxa" w:w="8136"/>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9"/>
              </w:rPr>
              <w:t>说明</w:t>
            </w:r>
          </w:p>
        </w:tc>
      </w:tr>
      <w:tr>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空间范围</w:t>
            </w:r>
          </w:p>
        </w:tc>
        <w:tc>
          <w:tcPr>
            <w:tcW w:type="dxa" w:w="8136"/>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梅梁湾区域 TAIHU ML，共536个湖区网格单元</w:t>
            </w:r>
          </w:p>
        </w:tc>
      </w:tr>
      <w:tr>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时间范围</w:t>
            </w:r>
          </w:p>
        </w:tc>
        <w:tc>
          <w:tcPr>
            <w:tcW w:type="dxa" w:w="8136"/>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2024年1月1日至2024年12月31日，共366天</w:t>
            </w:r>
          </w:p>
        </w:tc>
      </w:tr>
      <w:tr>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时间粒度</w:t>
            </w:r>
          </w:p>
        </w:tc>
        <w:tc>
          <w:tcPr>
            <w:tcW w:type="dxa" w:w="8136"/>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日尺度</w:t>
            </w:r>
          </w:p>
        </w:tc>
      </w:tr>
      <w:tr>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模拟过程</w:t>
            </w:r>
          </w:p>
        </w:tc>
        <w:tc>
          <w:tcPr>
            <w:tcW w:type="dxa" w:w="8136"/>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气象、水文、营养盐、藻类生长、空间输运、水华形成和观测采样</w:t>
            </w:r>
          </w:p>
        </w:tc>
      </w:tr>
      <w:tr>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核心产物</w:t>
            </w:r>
          </w:p>
        </w:tc>
        <w:tc>
          <w:tcPr>
            <w:tcW w:type="dxa" w:w="8136"/>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网格日尺度水华表、湖区日尺度水华表、潜在状态表、模拟观测表和任务标签表</w:t>
            </w:r>
          </w:p>
        </w:tc>
      </w:tr>
      <w:tr>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数据规模</w:t>
            </w:r>
          </w:p>
        </w:tc>
        <w:tc>
          <w:tcPr>
            <w:tcW w:type="dxa" w:w="8136"/>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196908条网格及湖区日尺度模拟结果，322378条模型训练样本</w:t>
            </w:r>
          </w:p>
        </w:tc>
      </w:tr>
      <w:tr>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预测时距</w:t>
            </w:r>
          </w:p>
        </w:tc>
        <w:tc>
          <w:tcPr>
            <w:tcW w:type="dxa" w:w="8136"/>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1天、3天、7天、15天和30天</w:t>
            </w:r>
          </w:p>
        </w:tc>
      </w:tr>
    </w:tbl>
    <w:p>
      <w:pPr>
        <w:spacing w:after="40"/>
      </w:pPr>
    </w:p>
    <w:p>
      <w:pPr>
        <w:pStyle w:val="Heading2"/>
        <w:keepNext/>
      </w:pPr>
      <w:r>
        <w:t>模拟变量</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1944"/>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9"/>
              </w:rPr>
              <w:t>变量组</w:t>
            </w:r>
          </w:p>
        </w:tc>
        <w:tc>
          <w:tcPr>
            <w:tcW w:type="dxa" w:w="8136"/>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9"/>
              </w:rPr>
              <w:t>主要变量</w:t>
            </w:r>
          </w:p>
        </w:tc>
      </w:tr>
      <w:tr>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气象</w:t>
            </w:r>
          </w:p>
        </w:tc>
        <w:tc>
          <w:tcPr>
            <w:tcW w:type="dxa" w:w="8136"/>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气温、太阳辐射、风速、风向、降雨</w:t>
            </w:r>
          </w:p>
        </w:tc>
      </w:tr>
      <w:tr>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水文</w:t>
            </w:r>
          </w:p>
        </w:tc>
        <w:tc>
          <w:tcPr>
            <w:tcW w:type="dxa" w:w="8136"/>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水位、水动力和空间输运相关状态</w:t>
            </w:r>
          </w:p>
        </w:tc>
      </w:tr>
      <w:tr>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营养盐</w:t>
            </w:r>
          </w:p>
        </w:tc>
        <w:tc>
          <w:tcPr>
            <w:tcW w:type="dxa" w:w="8136"/>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总氮、总磷、氨氮、磷酸盐、硝酸盐和亚硝酸盐</w:t>
            </w:r>
          </w:p>
        </w:tc>
      </w:tr>
      <w:tr>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水体环境</w:t>
            </w:r>
          </w:p>
        </w:tc>
        <w:tc>
          <w:tcPr>
            <w:tcW w:type="dxa" w:w="8136"/>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水温、溶解氧、pH、浊度、透明度和高锰酸盐指数</w:t>
            </w:r>
          </w:p>
        </w:tc>
      </w:tr>
      <w:tr>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藻类</w:t>
            </w:r>
          </w:p>
        </w:tc>
        <w:tc>
          <w:tcPr>
            <w:tcW w:type="dxa" w:w="8136"/>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9"/>
              </w:rPr>
              <w:t>叶绿素a、蓝藻密度、浮游植物生物量和表层生物量</w:t>
            </w:r>
          </w:p>
        </w:tc>
      </w:tr>
      <w:tr>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水华</w:t>
            </w:r>
          </w:p>
        </w:tc>
        <w:tc>
          <w:tcPr>
            <w:tcW w:type="dxa" w:w="8136"/>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9"/>
              </w:rPr>
              <w:t>水华比例、水华面积、空间范围和风险等级</w:t>
            </w:r>
          </w:p>
        </w:tc>
      </w:tr>
    </w:tbl>
    <w:p>
      <w:pPr>
        <w:spacing w:after="40"/>
      </w:pPr>
    </w:p>
    <w:p>
      <w:pPr>
        <w:pStyle w:val="Heading2"/>
        <w:keepNext/>
      </w:pPr>
      <w:r>
        <w:t>模拟数据用途</w:t>
      </w:r>
    </w:p>
    <w:p>
      <w:pPr>
        <w:spacing w:line="348" w:lineRule="auto" w:after="140"/>
        <w:ind w:firstLine="440"/>
      </w:pPr>
      <w:r>
        <w:rPr>
          <w:rFonts w:ascii="Calibri" w:hAnsi="Calibri" w:eastAsia="宋体"/>
          <w:color w:val="000000"/>
          <w:sz w:val="22"/>
        </w:rPr>
        <w:t>模拟数据用于机理模型和AI模型的算法开发、训练数据接口验证、不同预测时距的样本生成、融合策略联调、后端模型调用测试以及前端预测结果展示。固定的情景标识、随机种子、参数集和网格版本支持重复生成同一批次数据。</w:t>
      </w:r>
    </w:p>
    <w:p>
      <w:pPr>
        <w:pStyle w:val="Heading1"/>
        <w:keepNext/>
      </w:pPr>
      <w:r>
        <w:t>五 数据预处理与样本组织</w:t>
      </w:r>
    </w:p>
    <w:p>
      <w:pPr>
        <w:spacing w:line="348" w:lineRule="auto" w:after="140"/>
        <w:ind w:firstLine="440"/>
      </w:pPr>
      <w:r>
        <w:rPr>
          <w:rFonts w:ascii="Calibri" w:hAnsi="Calibri" w:eastAsia="宋体"/>
          <w:color w:val="000000"/>
          <w:sz w:val="22"/>
        </w:rPr>
        <w:t>三类数据进入项目后采用统一的数据处理流程。原始文件和实时快照首先按来源和采集时间归档，然后完成格式解析、字段映射、时间标准化、单位标准化、重复记录处理和质量检查。处理后的记录按照站点、网格、湖区和时间建立空间时间索引，再生成水质、气象、水文、遥感和静态空间特征。</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792"/>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8"/>
              </w:rPr>
              <w:t>步骤</w:t>
            </w:r>
          </w:p>
        </w:tc>
        <w:tc>
          <w:tcPr>
            <w:tcW w:type="dxa" w:w="1944"/>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8"/>
              </w:rPr>
              <w:t>处理环节</w:t>
            </w:r>
          </w:p>
        </w:tc>
        <w:tc>
          <w:tcPr>
            <w:tcW w:type="dxa" w:w="7344"/>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8"/>
              </w:rPr>
              <w:t>主要内容</w:t>
            </w:r>
          </w:p>
        </w:tc>
      </w:tr>
      <w:tr>
        <w:tc>
          <w:tcPr>
            <w:tcW w:type="dxa" w:w="79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1</w:t>
            </w:r>
          </w:p>
        </w:tc>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来源登记</w:t>
            </w:r>
          </w:p>
        </w:tc>
        <w:tc>
          <w:tcPr>
            <w:tcW w:type="dxa" w:w="7344"/>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8"/>
              </w:rPr>
              <w:t>记录数据来源、文件名称、采集时间和文件标识</w:t>
            </w:r>
          </w:p>
        </w:tc>
      </w:tr>
      <w:tr>
        <w:tc>
          <w:tcPr>
            <w:tcW w:type="dxa" w:w="792"/>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2</w:t>
            </w:r>
          </w:p>
        </w:tc>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格式解析</w:t>
            </w:r>
          </w:p>
        </w:tc>
        <w:tc>
          <w:tcPr>
            <w:tcW w:type="dxa" w:w="7344"/>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8"/>
              </w:rPr>
              <w:t>读取CSV、Excel、JSON、GRIB、NetCDF、GeoTIFF和Parquet等格式</w:t>
            </w:r>
          </w:p>
        </w:tc>
      </w:tr>
      <w:tr>
        <w:tc>
          <w:tcPr>
            <w:tcW w:type="dxa" w:w="79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3</w:t>
            </w:r>
          </w:p>
        </w:tc>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字段标准化</w:t>
            </w:r>
          </w:p>
        </w:tc>
        <w:tc>
          <w:tcPr>
            <w:tcW w:type="dxa" w:w="7344"/>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8"/>
              </w:rPr>
              <w:t>统一变量代码、时间格式、坐标、单位和空间标识</w:t>
            </w:r>
          </w:p>
        </w:tc>
      </w:tr>
      <w:tr>
        <w:tc>
          <w:tcPr>
            <w:tcW w:type="dxa" w:w="792"/>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4</w:t>
            </w:r>
          </w:p>
        </w:tc>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质量处理</w:t>
            </w:r>
          </w:p>
        </w:tc>
        <w:tc>
          <w:tcPr>
            <w:tcW w:type="dxa" w:w="7344"/>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8"/>
              </w:rPr>
              <w:t>完成完整性、重复性、数值范围和时空一致性检查</w:t>
            </w:r>
          </w:p>
        </w:tc>
      </w:tr>
      <w:tr>
        <w:tc>
          <w:tcPr>
            <w:tcW w:type="dxa" w:w="79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5</w:t>
            </w:r>
          </w:p>
        </w:tc>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时空组织</w:t>
            </w:r>
          </w:p>
        </w:tc>
        <w:tc>
          <w:tcPr>
            <w:tcW w:type="dxa" w:w="7344"/>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8"/>
              </w:rPr>
              <w:t>按站点、网格、湖区和日尺度组织多源记录</w:t>
            </w:r>
          </w:p>
        </w:tc>
      </w:tr>
      <w:tr>
        <w:tc>
          <w:tcPr>
            <w:tcW w:type="dxa" w:w="792"/>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6</w:t>
            </w:r>
          </w:p>
        </w:tc>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特征生成</w:t>
            </w:r>
          </w:p>
        </w:tc>
        <w:tc>
          <w:tcPr>
            <w:tcW w:type="dxa" w:w="7344"/>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8"/>
              </w:rPr>
              <w:t>形成水质、气象、水文、遥感、时间和空间特征</w:t>
            </w:r>
          </w:p>
        </w:tc>
      </w:tr>
      <w:tr>
        <w:tc>
          <w:tcPr>
            <w:tcW w:type="dxa" w:w="79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7</w:t>
            </w:r>
          </w:p>
        </w:tc>
        <w:tc>
          <w:tcPr>
            <w:tcW w:type="dxa" w:w="1944"/>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样本装配</w:t>
            </w:r>
          </w:p>
        </w:tc>
        <w:tc>
          <w:tcPr>
            <w:tcW w:type="dxa" w:w="7344"/>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8"/>
              </w:rPr>
              <w:t>按预测任务和预测时距生成模型训练与调用样本</w:t>
            </w:r>
          </w:p>
        </w:tc>
      </w:tr>
      <w:tr>
        <w:tc>
          <w:tcPr>
            <w:tcW w:type="dxa" w:w="792"/>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8</w:t>
            </w:r>
          </w:p>
        </w:tc>
        <w:tc>
          <w:tcPr>
            <w:tcW w:type="dxa" w:w="1944"/>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版本管理</w:t>
            </w:r>
          </w:p>
        </w:tc>
        <w:tc>
          <w:tcPr>
            <w:tcW w:type="dxa" w:w="7344"/>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8"/>
              </w:rPr>
              <w:t>保存数据版本、运行批次、处理程序版本和数据血缘</w:t>
            </w:r>
          </w:p>
        </w:tc>
      </w:tr>
    </w:tbl>
    <w:p>
      <w:pPr>
        <w:spacing w:after="40"/>
      </w:pPr>
    </w:p>
    <w:p>
      <w:pPr>
        <w:pStyle w:val="Heading1"/>
        <w:keepNext/>
      </w:pPr>
      <w:r>
        <w:t>六 特征清单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088"/>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8"/>
              </w:rPr>
              <w:t>特征类别</w:t>
            </w:r>
          </w:p>
        </w:tc>
        <w:tc>
          <w:tcPr>
            <w:tcW w:type="dxa" w:w="7992"/>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8"/>
              </w:rPr>
              <w:t>主要字段和内容</w:t>
            </w:r>
          </w:p>
        </w:tc>
      </w:tr>
      <w:tr>
        <w:tc>
          <w:tcPr>
            <w:tcW w:type="dxa" w:w="2088"/>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水质特征</w:t>
            </w:r>
          </w:p>
        </w:tc>
        <w:tc>
          <w:tcPr>
            <w:tcW w:type="dxa" w:w="799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水温、pH、溶解氧、电导率、浊度、高锰酸盐指数、氨氮、总磷、总氮、叶绿素a和藻密度</w:t>
            </w:r>
          </w:p>
        </w:tc>
      </w:tr>
      <w:tr>
        <w:tc>
          <w:tcPr>
            <w:tcW w:type="dxa" w:w="2088"/>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气象特征</w:t>
            </w:r>
          </w:p>
        </w:tc>
        <w:tc>
          <w:tcPr>
            <w:tcW w:type="dxa" w:w="7992"/>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气温、降雨、风速、风向、太阳辐射、气压、云量</w:t>
            </w:r>
          </w:p>
        </w:tc>
      </w:tr>
      <w:tr>
        <w:tc>
          <w:tcPr>
            <w:tcW w:type="dxa" w:w="2088"/>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水文特征</w:t>
            </w:r>
          </w:p>
        </w:tc>
        <w:tc>
          <w:tcPr>
            <w:tcW w:type="dxa" w:w="799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水位、雨量、水动力和空间输运状态</w:t>
            </w:r>
          </w:p>
        </w:tc>
      </w:tr>
      <w:tr>
        <w:tc>
          <w:tcPr>
            <w:tcW w:type="dxa" w:w="2088"/>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遥感特征</w:t>
            </w:r>
          </w:p>
        </w:tc>
        <w:tc>
          <w:tcPr>
            <w:tcW w:type="dxa" w:w="7992"/>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Sentinel 2波段、FAI、MCI、NDCI、NDWI、MODIS叶绿素、CLMS叶绿素和浮游蓝藻概率</w:t>
            </w:r>
          </w:p>
        </w:tc>
      </w:tr>
      <w:tr>
        <w:tc>
          <w:tcPr>
            <w:tcW w:type="dxa" w:w="2088"/>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空间特征</w:t>
            </w:r>
          </w:p>
        </w:tc>
        <w:tc>
          <w:tcPr>
            <w:tcW w:type="dxa" w:w="799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经纬度、湖区网格、湖区边界、流域边界、高程、土地覆盖、面积和距离</w:t>
            </w:r>
          </w:p>
        </w:tc>
      </w:tr>
      <w:tr>
        <w:tc>
          <w:tcPr>
            <w:tcW w:type="dxa" w:w="2088"/>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时间特征</w:t>
            </w:r>
          </w:p>
        </w:tc>
        <w:tc>
          <w:tcPr>
            <w:tcW w:type="dxa" w:w="7992"/>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观测日期、月份、季节、预测起报日和预测时距</w:t>
            </w:r>
          </w:p>
        </w:tc>
      </w:tr>
      <w:tr>
        <w:tc>
          <w:tcPr>
            <w:tcW w:type="dxa" w:w="2088"/>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任务输出</w:t>
            </w:r>
          </w:p>
        </w:tc>
        <w:tc>
          <w:tcPr>
            <w:tcW w:type="dxa" w:w="7992"/>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叶绿素a、蓝藻密度、蓝藻生物量、水华面积、水华空间范围、水华标签和风险等级</w:t>
            </w:r>
          </w:p>
        </w:tc>
      </w:tr>
    </w:tbl>
    <w:p>
      <w:pPr>
        <w:spacing w:after="40"/>
      </w:pPr>
    </w:p>
    <w:p>
      <w:pPr>
        <w:pStyle w:val="Heading1"/>
        <w:keepNext/>
        <w:pageBreakBefore/>
      </w:pPr>
      <w:r>
        <w:t>七 数据存储与使用方式</w:t>
      </w:r>
    </w:p>
    <w:p>
      <w:pPr>
        <w:spacing w:line="348" w:lineRule="auto" w:after="140"/>
        <w:ind w:firstLine="440"/>
      </w:pPr>
      <w:r>
        <w:rPr>
          <w:rFonts w:ascii="Calibri" w:hAnsi="Calibri" w:eastAsia="宋体"/>
          <w:color w:val="000000"/>
          <w:sz w:val="22"/>
        </w:rPr>
        <w:t>项目按照原始层、标准层、样本层和服务层组织数据。原始层保存下载文件和MEE实时快照；标准层保存清洗后的水质、气象水文、遥感、静态空间和实时观测表；样本层保存模型训练样本、任务标签、数据切分和参数集；服务层通过后端接口向系统页面和模型模块提供数据。</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440"/>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8"/>
              </w:rPr>
              <w:t>层级</w:t>
            </w:r>
          </w:p>
        </w:tc>
        <w:tc>
          <w:tcPr>
            <w:tcW w:type="dxa" w:w="3960"/>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8"/>
              </w:rPr>
              <w:t>位置</w:t>
            </w:r>
          </w:p>
        </w:tc>
        <w:tc>
          <w:tcPr>
            <w:tcW w:type="dxa" w:w="4680"/>
            <w:shd w:fill="17365D"/>
            <w:tcMar>
              <w:top w:w="110" w:type="dxa"/>
              <w:start w:w="120" w:type="dxa"/>
              <w:bottom w:w="110" w:type="dxa"/>
              <w:end w:w="120" w:type="dxa"/>
            </w:tcMar>
            <w:vAlign w:val="center"/>
          </w:tcPr>
          <w:p>
            <w:pPr>
              <w:spacing w:after="0"/>
              <w:jc w:val="center"/>
            </w:pPr>
            <w:r/>
            <w:r>
              <w:rPr>
                <w:rFonts w:ascii="Calibri" w:hAnsi="Calibri" w:eastAsia="微软雅黑"/>
                <w:b/>
                <w:color w:val="FFFFFF"/>
                <w:sz w:val="18"/>
              </w:rPr>
              <w:t>内容</w:t>
            </w:r>
          </w:p>
        </w:tc>
      </w:tr>
      <w:tr>
        <w:tc>
          <w:tcPr>
            <w:tcW w:type="dxa" w:w="1440"/>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原始层</w:t>
            </w:r>
          </w:p>
        </w:tc>
        <w:tc>
          <w:tcPr>
            <w:tcW w:type="dxa" w:w="3960"/>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02_全部原始数据及data-cleaning storage raw</w:t>
            </w:r>
          </w:p>
        </w:tc>
        <w:tc>
          <w:tcPr>
            <w:tcW w:type="dxa" w:w="4680"/>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8"/>
              </w:rPr>
              <w:t>源文件、下载响应、实时快照和来源清单</w:t>
            </w:r>
          </w:p>
        </w:tc>
      </w:tr>
      <w:tr>
        <w:tc>
          <w:tcPr>
            <w:tcW w:type="dxa" w:w="1440"/>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标准层</w:t>
            </w:r>
          </w:p>
        </w:tc>
        <w:tc>
          <w:tcPr>
            <w:tcW w:type="dxa" w:w="3960"/>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data-cleaning storage final_cleaned和silver</w:t>
            </w:r>
          </w:p>
        </w:tc>
        <w:tc>
          <w:tcPr>
            <w:tcW w:type="dxa" w:w="4680"/>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8"/>
              </w:rPr>
              <w:t>统一长表、专题Parquet表、站点表和实时观测表</w:t>
            </w:r>
          </w:p>
        </w:tc>
      </w:tr>
      <w:tr>
        <w:tc>
          <w:tcPr>
            <w:tcW w:type="dxa" w:w="1440"/>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样本层</w:t>
            </w:r>
          </w:p>
        </w:tc>
        <w:tc>
          <w:tcPr>
            <w:tcW w:type="dxa" w:w="3960"/>
            <w:tcMar>
              <w:top w:w="110" w:type="dxa"/>
              <w:start w:w="120" w:type="dxa"/>
              <w:bottom w:w="110" w:type="dxa"/>
              <w:end w:w="120" w:type="dxa"/>
            </w:tcMar>
            <w:vAlign w:val="center"/>
          </w:tcPr>
          <w:p>
            <w:pPr>
              <w:spacing w:line="283" w:lineRule="auto" w:after="0"/>
              <w:jc w:val="center"/>
            </w:pPr>
            <w:r/>
            <w:r>
              <w:rPr>
                <w:rFonts w:ascii="Calibri" w:hAnsi="Calibri" w:eastAsia="宋体"/>
                <w:color w:val="000000"/>
                <w:sz w:val="18"/>
              </w:rPr>
              <w:t>data-cleaning storage runs data_factory</w:t>
            </w:r>
          </w:p>
        </w:tc>
        <w:tc>
          <w:tcPr>
            <w:tcW w:type="dxa" w:w="4680"/>
            <w:tcMar>
              <w:top w:w="110" w:type="dxa"/>
              <w:start w:w="120" w:type="dxa"/>
              <w:bottom w:w="110" w:type="dxa"/>
              <w:end w:w="120" w:type="dxa"/>
            </w:tcMar>
            <w:vAlign w:val="center"/>
          </w:tcPr>
          <w:p>
            <w:pPr>
              <w:spacing w:line="283" w:lineRule="auto" w:after="0"/>
              <w:jc w:val="left"/>
            </w:pPr>
            <w:r/>
            <w:r>
              <w:rPr>
                <w:rFonts w:ascii="Calibri" w:hAnsi="Calibri" w:eastAsia="宋体"/>
                <w:color w:val="000000"/>
                <w:sz w:val="18"/>
              </w:rPr>
              <w:t>模型样本、标签、数据切分、参数集和质量结果</w:t>
            </w:r>
          </w:p>
        </w:tc>
      </w:tr>
      <w:tr>
        <w:tc>
          <w:tcPr>
            <w:tcW w:type="dxa" w:w="1440"/>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服务层</w:t>
            </w:r>
          </w:p>
        </w:tc>
        <w:tc>
          <w:tcPr>
            <w:tcW w:type="dxa" w:w="3960"/>
            <w:tcMar>
              <w:top w:w="110" w:type="dxa"/>
              <w:start w:w="120" w:type="dxa"/>
              <w:bottom w:w="110" w:type="dxa"/>
              <w:end w:w="120" w:type="dxa"/>
            </w:tcMar>
            <w:vAlign w:val="center"/>
            <w:shd w:fill="F5F7F9"/>
          </w:tcPr>
          <w:p>
            <w:pPr>
              <w:spacing w:line="283" w:lineRule="auto" w:after="0"/>
              <w:jc w:val="center"/>
            </w:pPr>
            <w:r/>
            <w:r>
              <w:rPr>
                <w:rFonts w:ascii="Calibri" w:hAnsi="Calibri" w:eastAsia="宋体"/>
                <w:color w:val="000000"/>
                <w:sz w:val="18"/>
              </w:rPr>
              <w:t>backend API</w:t>
            </w:r>
          </w:p>
        </w:tc>
        <w:tc>
          <w:tcPr>
            <w:tcW w:type="dxa" w:w="4680"/>
            <w:tcMar>
              <w:top w:w="110" w:type="dxa"/>
              <w:start w:w="120" w:type="dxa"/>
              <w:bottom w:w="110" w:type="dxa"/>
              <w:end w:w="120" w:type="dxa"/>
            </w:tcMar>
            <w:vAlign w:val="center"/>
            <w:shd w:fill="F5F7F9"/>
          </w:tcPr>
          <w:p>
            <w:pPr>
              <w:spacing w:line="283" w:lineRule="auto" w:after="0"/>
              <w:jc w:val="left"/>
            </w:pPr>
            <w:r/>
            <w:r>
              <w:rPr>
                <w:rFonts w:ascii="Calibri" w:hAnsi="Calibri" w:eastAsia="宋体"/>
                <w:color w:val="000000"/>
                <w:sz w:val="18"/>
              </w:rPr>
              <w:t>站点、观测、时间序列、区域汇总、预测输入和页面数据</w:t>
            </w:r>
          </w:p>
        </w:tc>
      </w:tr>
    </w:tbl>
    <w:p>
      <w:pPr>
        <w:spacing w:after="40"/>
      </w:pPr>
    </w:p>
    <w:p>
      <w:pPr>
        <w:spacing w:line="348" w:lineRule="auto" w:after="140"/>
        <w:ind w:firstLine="440"/>
      </w:pPr>
      <w:r>
        <w:rPr>
          <w:rFonts w:ascii="Calibri" w:hAnsi="Calibri" w:eastAsia="宋体"/>
          <w:color w:val="000000"/>
          <w:sz w:val="22"/>
        </w:rPr>
        <w:t>数据文件采用JSON、CSV、Excel、Parquet、SQLite、GeoJSON、GRIB、NetCDF和GeoTIFF等格式保存。分析和模型训练优先使用Parquet与CSV样本表，数据查询和系统服务使用SQLite、JSON及后端API。</w:t>
      </w:r>
    </w:p>
    <w:sectPr w:rsidR="00FC693F" w:rsidRPr="0006063C" w:rsidSect="00034616">
      <w:pgSz w:w="12240" w:h="15840"/>
      <w:pgMar w:top="1123"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color w:val="5A5A5A"/>
        <w:sz w:val="18"/>
      </w:rPr>
      <w:t xml:space="preserve">第 </w:t>
    </w:r>
    <w:fldSimple w:instr="PAGE"/>
    <w:r>
      <w:rPr>
        <w:rFonts w:ascii="Calibri" w:hAnsi="Calibri" w:eastAsia="宋体"/>
        <w:color w:val="5A5A5A"/>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微软雅黑"/>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A23 太湖蓝藻水华监测预警项目 多源数据样本集说明</dc:title>
  <dc:subject>企业提交材料</dc:subject>
  <dc:creator>A23项目组</dc:creator>
  <cp:keywords>太湖,蓝藻,多源数据,MEE,模拟数据</cp:keywords>
  <dc:description>generated by python-docx</dc:description>
  <cp:lastModifiedBy/>
  <cp:revision>1</cp:revision>
  <dcterms:created xsi:type="dcterms:W3CDTF">2013-12-23T23:15:00Z</dcterms:created>
  <dcterms:modified xsi:type="dcterms:W3CDTF">2013-12-23T23:15:00Z</dcterms:modified>
  <cp:category/>
</cp:coreProperties>
</file>