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C1F1A" w:val="clear"/>
          </w:tcPr>
          <w:p>
            <w:pPr>
              <w:spacing w:before="4596"/>
            </w:pPr>
          </w:p>
          <w:p>
            <w:pPr>
              <w:pBdr>
                <w:bottom w:val="single" w:color="3DDBB5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DDBB5"/>
                <w:spacing w:val="40"/>
                <w:sz w:val="18"/>
                <w:szCs w:val="18"/>
              </w:rPr>
              <w:t xml:space="preserve">M  U  L  T  I  -  S  O  U  R  C  E     D  A  T  A     S  A  M  P  L  E     S  E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多源数据样本集说明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太湖蓝藻水华监测预警系统 · 训练样本集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样本集版本：TAIHU_CLEAN_FINAL_V1_20260831（验收门禁 G1-G10 全过）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训练面板：model_dataset · 914 行 × 71 列 · 月 × 空间实体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适用模型：V0.2 机理链 / V0.3 主链路（特征契约 v2.0 冻结）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整理日期：2026 年 9 月 13 日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>版本 V1.2（2026-09-13）：新增第 19 数据源·江苏省控入湖河流（7 断面×56 月静态档案）；修正时间跨度笔误。取代 V1.1。</w:t>
            </w:r>
          </w:p>
          <w:p>
            <w:pPr>
              <w:spacing w:before="4596"/>
            </w:pPr>
          </w:p>
          <w:p>
            <w:pPr>
              <w:pBdr>
                <w:top w:val="single" w:color="3DDBB5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太湖蓝藻水华监测预警系统项目组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2026-09-13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一、样本集概览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二、数据来源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三、预处理流程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管线阶段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标准化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质量控制（双质控码 + 拒绝留痕）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 时空对齐与特征衍生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3.5 标签构建（含代理标签公示口径）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3.6 无泄漏拆分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3.7 发布验收（G1 至 G10 全过，2026-09-01 复核）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四、特征清单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冻结特征契约 v2.0（78 列 / 8 组，SHA256 锁定）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推理可信子契约 v2.1（serving-8col）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 标签列与辅助列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五、新增样本：江苏省控入湖河流数据（2026-09-13）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六、已知限制与诚实披露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注：本目录由域代码生成。文档编辑后如需刷新页码，请在目录上点击右键并选择「更新域」。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360" w:line="380" w:lineRule="atLeast"/>
      </w:pPr>
      <w:bookmarkStart w:id="100000" w:name="_Toc100000"/>
      <w:r>
        <w:rPr>
          <w:rFonts w:ascii="Times New Roman" w:eastAsia="SimHei"/>
          <w:b/>
          <w:bCs/>
          <w:color w:val="2A7A65"/>
          <w:sz w:val="32"/>
          <w:szCs w:val="32"/>
        </w:rPr>
        <w:t xml:space="preserve">一、样本集概览</w:t>
      </w:r>
      <w:bookmarkEnd w:id="10000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本说明描述太湖蓝藻水华监测预警系统训练所用多源数据样本集。样本集由公开遥感、气象、水文再分析数据，权威实测数据集（THQBCA-V2、Zenodo 野外航次），生态环境部月报，授权水站数据，以及江苏省提供的入湖河流监测数据（2026 年 9 月 13 日新增）等 19 个来源汇入统一 30 字段长表，再经统一清洗管线加工为「月 × 空间实体」训练面板。全部清洗、聚合、标签构建与拆分规则可重复运行，发布版本经 10 项验收门禁复核全过。</w:t>
      </w:r>
    </w:p>
    <w:p>
      <w:pPr>
        <w:keepNext/>
        <w:spacing w:after="80" w:before="160" w:line="312"/>
        <w:jc w:val="left"/>
      </w:pPr>
      <w:r>
        <w:rPr>
          <w:rFonts w:ascii="Times New Roman" w:eastAsia="SimHei"/>
          <w:b/>
          <w:bCs/>
          <w:color w:val="2A7A65"/>
          <w:sz w:val="21"/>
          <w:szCs w:val="21"/>
        </w:rPr>
        <w:t xml:space="preserve">表 1-1 样本集核心口径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7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口径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统一长表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152,780 条记录 × 30 个统一字段（血缘 / 质控 / 溯源字段全带），来源 19 个 source_id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训练面板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model_dataset：914 行 × 71 列；粒度 = 月 × 空间实体；13 个实体覆盖 5 类（湖体全区与分区 9、网格点、野外采样组、人工水站、实时站）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时间跨度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>2005-01 至 2026-08（约 22 年，跨源不强行对齐覆盖）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预测任务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 个时效：T+1 / 3 / 7 / 15 / 30 / 60 / 90 天；月度粒度映射（1/3/7 天映射当月，15 天为半月近似，30/60/90 天映射 t+1/2/3 月，逐任务落盘披露）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基础拆分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train 882 / validation 23 / test 9（按采样日期分组，无泄漏拆分）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V0.3 监督任务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以 T1（水华）为例：657 行 = train 586 / val 31 / test 40，标签溯源为 proxy_derived（见 3.5 节）</w:t>
            </w:r>
          </w:p>
        </w:tc>
      </w:tr>
    </w:tbl>
    <w:p>
      <w:pPr>
        <w:pStyle w:val="Heading1"/>
        <w:keepNext/>
        <w:spacing w:after="160" w:before="360" w:line="380" w:lineRule="atLeast"/>
      </w:pPr>
      <w:bookmarkStart w:id="100001" w:name="_Toc100001"/>
      <w:r>
        <w:rPr>
          <w:rFonts w:ascii="Times New Roman" w:eastAsia="SimHei"/>
          <w:b/>
          <w:bCs/>
          <w:color w:val="2A7A65"/>
          <w:sz w:val="32"/>
          <w:szCs w:val="32"/>
        </w:rPr>
        <w:t xml:space="preserve">二、数据来源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样本集数据来源共 19 个 source_id，下表给出各来源的原始形态、获取方式、时间覆盖、入表记录数与其在样本集中的角色。</w:t>
      </w:r>
    </w:p>
    <w:p>
      <w:pPr>
        <w:keepNext/>
        <w:spacing w:after="80" w:before="160" w:line="312"/>
        <w:jc w:val="left"/>
      </w:pPr>
      <w:r>
        <w:rPr>
          <w:rFonts w:ascii="Times New Roman" w:eastAsia="SimHei"/>
          <w:b/>
          <w:bCs/>
          <w:color w:val="2A7A65"/>
          <w:sz w:val="21"/>
          <w:szCs w:val="21"/>
        </w:rPr>
        <w:t xml:space="preserve">表 2-1 多源数据来源清单（记录数为统一长表实际入表条数）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数据源（source_id）</w:t>
            </w:r>
          </w:p>
        </w:tc>
        <w:tc>
          <w:tcPr>
            <w:tcW w:type="pct" w:w="2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原始形态 / 获取方式</w:t>
            </w:r>
          </w:p>
        </w:tc>
        <w:tc>
          <w:tcPr>
            <w:tcW w:type="pct" w:w="1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时间覆盖</w:t>
            </w:r>
          </w:p>
        </w:tc>
        <w:tc>
          <w:tcPr>
            <w:tcW w:type="pct" w:w="1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记录数</w:t>
            </w:r>
          </w:p>
        </w:tc>
        <w:tc>
          <w:tcPr>
            <w:tcW w:type="pct" w:w="24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在样本集中的角色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Copernicus C3S 季节预报（c3s_seasonal）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逐月集合预报，公开 API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2016-2026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127,740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气象驱动 / 30-90 天情景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ERA5 湖表温度（era5_lake_temp）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逐时再分析，聚合至日 / 月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2005-2026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9,704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水温驱动特征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太湖水质实测（taihu_water_quality）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THQBCA-V2 季度水质（Zenodo）+ 授权水站批量 xlsx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2005-2026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6,551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TP/TN/DO/CODMn/藻类生物量等标签主源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太湖水文（taihu_hydrology）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公开水文站水位逐日序列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2005-2026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6,162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水文驱动特征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静态地理特征（taihu_static_features）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站点坐标 / 湖面积 / 高程 / DEM 有效占比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静态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1,107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静态特征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Sentinel-2 月度合成（sentinel2_cdse_monthly_30m）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CDSE L2A 波段，月度 30m 合成 + FAI/MCI/NDCI/NDWI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2022-2026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504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高分辨率遥感特征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MODIS Aqua 叶绿素（modis_aqua_chla 及 _l2）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NASA Ocean Color L3m 逐日 4km（2002-07 起 6,032 个 nc）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2002-2026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247（L2 另 14）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叶绿素遥感观测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CLMS 湖泊水质（clms_lwq_300m_10daily_v2 / v2）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 日尺度 300m 湖水质产品（chla 均值 / 不确定度 / 蓝藻概率）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2019-2026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142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遥感 chla 特征 / 代理标签底料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野外航次实测（taihu_field_samples）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Zenodo 太湖实测数据集（2020-12 / 2022-12 / 2023-10 航次等）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2020-2023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226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chla 真值锚点（锚定月 n=1）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NOAA GFS（noaa_gfs）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逐 6 小时预报格点，太湖子集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2021-2026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178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短时效气象特征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生态环境部水环境月报（mee_surface_water_monthly）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扫描件 PDF（OCR 抽取）+ 实时 API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2022-2026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水质类别 / 营养状态 / 分区状态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Sentinel-3 OLCI（sentinel3_olci）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WFR 清单（候选，未量产）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2016 起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候选高频遥感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水华事件档案（bloom_archive）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2019 水华档案样例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2019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事件佐证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THQBCA 归档索引（thqbca_archive）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远程产品索引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血缘追溯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公开数据目录检索（data_portal_catalog）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各产品目录检索原始响应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可接入性证据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历史中间件留存（legacy_intermediate / legacy_unclassified）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旧版整理区甄别入表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57 / 46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历史留存（标记隔离）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实验性反演（并入 Sentinel-2 变量 chla_retrieval 等）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本地 NDCI/MCI/FAI + 实验性 Chl-a 反演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2026-08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331（按变量计）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实验特征（禁作业务真值）</w:t>
            </w:r>
          </w:p>
        </w:tc>
      </w:tr>
      <w:tr>
        <w:trPr>
          <w:cantSplit/>
        </w:trPr>
        <w:tc>
          <w:tcPr>
            <w:tcW w:type="pct" w:w="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2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>★江苏省控入湖河流（JIANGSU_INFLOW_RIVERS_V1_20260913，2026-09-13 新增）</w:t>
            </w:r>
          </w:p>
        </w:tc>
        <w:tc>
          <w:tcPr>
            <w:tcW w:type="pct" w:w="28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省提供的 7 断面逐月水质 xlsx，原始件归档</w:t>
            </w:r>
          </w:p>
        </w:tc>
        <w:tc>
          <w:tcPr>
            <w:tcW w:type="pct" w:w="12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2022-01 至 2026-08</w:t>
            </w:r>
          </w:p>
        </w:tc>
        <w:tc>
          <w:tcPr>
            <w:tcW w:type="pct" w:w="10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392</w:t>
            </w:r>
          </w:p>
        </w:tc>
        <w:tc>
          <w:tcPr>
            <w:tcW w:type="pct" w:w="24%"/>
            <w:shd w:fill="ED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外源负荷（服务层已接入；特征挂接待训练专项，见第五节）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C3S 季节预报历史回报（未授权部分）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C3S 历史回报资料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历史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不计入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30-90 天时效暂不标记为正式训练集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授权与合规：公开数据均来自权威开放平台，并保留目录检索原始响应作为可接入性证据；授权水站与江苏省数据经线下投递进入固定投递区，逐文件登记 SHA-256（raw_data_inventory.csv 全量台账）。</w:t>
      </w:r>
    </w:p>
    <w:p>
      <w:pPr>
        <w:pStyle w:val="Heading1"/>
        <w:keepNext/>
        <w:spacing w:after="160" w:before="360" w:line="380" w:lineRule="atLeast"/>
      </w:pPr>
      <w:bookmarkStart w:id="100002" w:name="_Toc100002"/>
      <w:r>
        <w:rPr>
          <w:rFonts w:ascii="Times New Roman" w:eastAsia="SimHei"/>
          <w:b/>
          <w:bCs/>
          <w:color w:val="2A7A65"/>
          <w:sz w:val="32"/>
          <w:szCs w:val="32"/>
        </w:rPr>
        <w:t xml:space="preserve">三、预处理流程</w:t>
      </w:r>
      <w:bookmarkEnd w:id="100002"/>
    </w:p>
    <w:p>
      <w:pPr>
        <w:pStyle w:val="Heading2"/>
        <w:keepNext/>
        <w:spacing w:after="120" w:before="260" w:line="340" w:lineRule="atLeast"/>
      </w:pPr>
      <w:bookmarkStart w:id="100003" w:name="_Toc100003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3.1 管线阶段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清洗管线为配置驱动、可重复运行，共十个阶段依次执行：ingestion（接入）、cleaning（清洗）、quality（质量）、resample（重采样）、align（时空对齐）、features（特征衍生）、coverage（覆盖率）、labels（标签）、split（拆分）、gate（验收门禁）。一次 run-batch 贯通后产出：标准化表格、被拒绝记录及原因、缺失 / 重复 / 异常 / 一致性 / 时效性报告、重采样结果、时空对齐结果、特征表、多时间尺度标签、拆分结果，以及带逐文件 SHA-256 的 SQLite 与 Parquet 存档。</w:t>
      </w:r>
    </w:p>
    <w:p>
      <w:pPr>
        <w:pStyle w:val="Heading2"/>
        <w:keepNext/>
        <w:spacing w:after="120" w:before="260" w:line="340" w:lineRule="atLeast"/>
      </w:pPr>
      <w:bookmarkStart w:id="100004" w:name="_Toc100004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3.2 标准化</w:t>
      </w:r>
      <w:bookmarkEnd w:id="10000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文件编码、时间（统一 UTC 时区与可解析格式）、坐标（WGS84）、单位与缺失标记全部标准化；水质自动站、人工采样、气象、水文、遥感反演各自映射到统一 30 字段模式；站点身份以 station_type 显式区分湖体分区、网格点、采样点、水站与实时站五类。</w:t>
      </w:r>
    </w:p>
    <w:p>
      <w:pPr>
        <w:pStyle w:val="Heading2"/>
        <w:keepNext/>
        <w:spacing w:after="120" w:before="260" w:line="340" w:lineRule="atLeast"/>
      </w:pPr>
      <w:bookmarkStart w:id="100005" w:name="_Toc100005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3.3 质量控制（双质控码 + 拒绝留痕）</w:t>
      </w:r>
      <w:bookmarkEnd w:id="10000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执行完整性、唯一性、有效性、一致性、时效性、空间合理性六类检查；采用双质控码体系，观测值永不插补——插补仅允许出现在显式标记列（is_interpolated），插补前后对照落盘；被拒记录全量留痕于 rejections.csv。</w:t>
      </w:r>
    </w:p>
    <w:p>
      <w:pPr>
        <w:keepNext/>
        <w:spacing w:after="80" w:before="160" w:line="312"/>
        <w:jc w:val="left"/>
      </w:pPr>
      <w:r>
        <w:rPr>
          <w:rFonts w:ascii="Times New Roman" w:eastAsia="SimHei"/>
          <w:b/>
          <w:bCs/>
          <w:color w:val="2A7A65"/>
          <w:sz w:val="21"/>
          <w:szCs w:val="21"/>
        </w:rPr>
        <w:t xml:space="preserve">表 3-1 双质控码实测分布（152,780 条）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质控维度</w:t>
            </w:r>
          </w:p>
        </w:tc>
        <w:tc>
          <w:tcPr>
            <w:tcW w:type="pct" w:w="70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取值与分布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quality_flag（Q 码，可叠加）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Q00 正常 146,646；Q12 4,933；Q12+Q13 744；Q10 217；Q05+Q12 188；Q05 52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quality_status（状态码）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valid 150,623；static 1,107；aggregate 646；metadata_only 203；review 199；blocked_auth 2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文件级终态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种合法终态；零字节 / 不可读文件不得泄漏记录进有效样本；同哈希重复文件去重（415 重复组不重复计入）</w:t>
            </w:r>
          </w:p>
        </w:tc>
      </w:tr>
    </w:tbl>
    <w:p>
      <w:pPr>
        <w:pStyle w:val="Heading2"/>
        <w:keepNext/>
        <w:spacing w:after="120" w:before="260" w:line="340" w:lineRule="atLeast"/>
      </w:pPr>
      <w:bookmarkStart w:id="100006" w:name="_Toc100006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3.4 时空对齐与特征衍生</w:t>
      </w:r>
      <w:bookmarkEnd w:id="10000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全部来源统一到「月 × 空间实体」面板：气象与水文按月聚合（均值、累计、风向分解为 u/v 分量），遥感按月合成，水质按月聚合观测数 n_wq_obs。在面板上衍生滞后与滚动特征：9 个基变量 × { lag1m, lag2m, roll3m_mean } 共 27 列滞后状态特征；并由温度、光照、磷、氮推导机理生长限制因子与净增长率（mech_ 前缀 6 列），供机理链与融合特征共用。</w:t>
      </w:r>
    </w:p>
    <w:p>
      <w:pPr>
        <w:pStyle w:val="Heading2"/>
        <w:keepNext/>
        <w:spacing w:after="120" w:before="260" w:line="340" w:lineRule="atLeast"/>
      </w:pPr>
      <w:bookmarkStart w:id="100007" w:name="_Toc100007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3.5 标签构建（含代理标签公示口径）</w:t>
      </w:r>
      <w:bookmarkEnd w:id="10000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目标列 target_chla / target_tp / target_tn / target_do / target_bloom 均逐列携带来源列（*_source）。实测标签方面：TP / TN / DO 各 576 行（THQBCA-V2 季度到月映射）；chla 实测 42 行（野外航次 + 水站），真值锚点月稀缺为已知限制。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站点 chla 代理标签采用公示可复核口径（chla_station_proxy_v1）：ln(chla) = a + 0.74·ln(TP/0.0671) + 0.25·ln(TN/1.012) + 0.35·cos(2π(month-8)/12) + ε，其中残差 ε 服从 N(0, σ)、随机种子 seed=20260911；截距 a 由 2020-12 航次实测 chla 均值与 2020-11 分区站 TP/TN 实测中位数唯一锚定（锚点数 n=1，航次为月内混合样、水质取相邻月，披露为 1 个月滞后口径）；斜率与季节振幅取公开文献常用口径。站点差异来自实测营养盐经公示响应曲线的传导，不是独立观测，消费方必须按 proxy_derived 口径披露。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水华标签阈值为 20 μg/L，由上述 chla 代理派生，label_provenance=proxy_derived 逐行落盘；真值水华 0/1 标签在现有数据中不存在，26 条 CLMS 代理标签仅作参考（remote_sensing_proxy_not_ground_truth）。</w:t>
      </w:r>
    </w:p>
    <w:p>
      <w:pPr>
        <w:pStyle w:val="Heading2"/>
        <w:keepNext/>
        <w:spacing w:after="120" w:before="260" w:line="340" w:lineRule="atLeast"/>
      </w:pPr>
      <w:bookmarkStart w:id="100008" w:name="_Toc100008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3.6 无泄漏拆分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按采样日期分组切分，禁止同月样本跨 train / test；目标同源特征按显式剔除表逐任务剔除（如 TP 任务剔除当月 wq_tp）；wq_chla 不入冻结 78 列特征契约（仅其滞后列入约）；month_offset 不小于 1 的任务才允许当月 wq_chla 入约（目标月在未来，当月实测相对目标月为历史量，无同月泄漏）。</w:t>
      </w:r>
    </w:p>
    <w:p>
      <w:pPr>
        <w:pStyle w:val="Heading2"/>
        <w:keepNext/>
        <w:spacing w:after="120" w:before="260" w:line="340" w:lineRule="atLeast"/>
      </w:pPr>
      <w:bookmarkStart w:id="100009" w:name="_Toc100009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3.7 发布验收（G1 至 G10 全过，2026-09-01 复核）</w:t>
      </w:r>
      <w:bookmarkEnd w:id="100009"/>
    </w:p>
    <w:p>
      <w:pPr>
        <w:keepNext/>
        <w:spacing w:after="80" w:before="160" w:line="312"/>
        <w:jc w:val="left"/>
      </w:pPr>
      <w:r>
        <w:rPr>
          <w:rFonts w:ascii="Times New Roman" w:eastAsia="SimHei"/>
          <w:b/>
          <w:bCs/>
          <w:color w:val="2A7A65"/>
          <w:sz w:val="21"/>
          <w:szCs w:val="21"/>
        </w:rPr>
        <w:t xml:space="preserve">表 3-2 发布验收门禁结果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门禁</w:t>
            </w:r>
          </w:p>
        </w:tc>
        <w:tc>
          <w:tcPr>
            <w:tcW w:type="pct" w:w="72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1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G1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文件清单覆盖率 100%（11,794 文件）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G2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每文件结论属 6 种合法终态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零字节 / 不可读文件泄漏记录 = 0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同哈希重复文件不重复计入（415 组）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G5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provenance 合法、真值标识一致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G6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有效记录时间可解析率 100%（151,468 条）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G7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校验和逐个复核不一致 = 0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G8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record_id 唯一非空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G9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主表无失效旧绝对路径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G10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source_file_sha256 语义正确（直接 / 聚合 / 收割三类对账）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发布物包含 SHA256SUMS.txt 与 RELEASE_ATTESTATION_SHA256.txt（发布认证），任何下游使用以该指纹链核对一致性。</w:t>
      </w:r>
    </w:p>
    <w:p>
      <w:pPr>
        <w:pStyle w:val="Heading1"/>
        <w:keepNext/>
        <w:spacing w:after="160" w:before="360" w:line="380" w:lineRule="atLeast"/>
      </w:pPr>
      <w:bookmarkStart w:id="100010" w:name="_Toc100010"/>
      <w:r>
        <w:rPr>
          <w:rFonts w:ascii="Times New Roman" w:eastAsia="SimHei"/>
          <w:b/>
          <w:bCs/>
          <w:color w:val="2A7A65"/>
          <w:sz w:val="32"/>
          <w:szCs w:val="32"/>
        </w:rPr>
        <w:t xml:space="preserve">四、特征清单</w:t>
      </w:r>
      <w:bookmarkEnd w:id="100010"/>
    </w:p>
    <w:p>
      <w:pPr>
        <w:pStyle w:val="Heading2"/>
        <w:keepNext/>
        <w:spacing w:after="120" w:before="260" w:line="340" w:lineRule="atLeast"/>
      </w:pPr>
      <w:bookmarkStart w:id="100011" w:name="_Toc100011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4.1 冻结特征契约 v2.0（78 列 / 8 组，SHA256 锁定）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V0.3 主链路训练特征采用冻结契约（v2.0-78col-frozen），契约内容的 SHA256 随模型清单落盘，任何变更即版本变更。8 组特征全列名如下。</w:t>
      </w:r>
    </w:p>
    <w:p>
      <w:pPr>
        <w:keepNext/>
        <w:spacing w:after="80" w:before="160" w:line="312"/>
        <w:jc w:val="left"/>
      </w:pPr>
      <w:r>
        <w:rPr>
          <w:rFonts w:ascii="Times New Roman" w:eastAsia="SimHei"/>
          <w:b/>
          <w:bCs/>
          <w:color w:val="2A7A65"/>
          <w:sz w:val="21"/>
          <w:szCs w:val="21"/>
        </w:rPr>
        <w:t xml:space="preserve">表 4-1 冻结特征契约 v2.0 全列清单</w:t>
      </w:r>
    </w:p>
    <w:tbl>
      <w:tblPr>
        <w:tblW w:type="pct" w:w="100%"/>
        <w:tblBorders>
          <w:top w:val="single" w:color="2A7A65" w:sz="6"/>
          <w:left w:val="none"/>
          <w:bottom w:val="single" w:color="2A7A65" w:sz="6"/>
          <w:right w:val="none"/>
          <w:insideH w:val="single" w:color="C5D8D0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特征组</w:t>
            </w:r>
          </w:p>
        </w:tc>
        <w:tc>
          <w:tcPr>
            <w:tcW w:type="pct" w:w="8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列数</w:t>
            </w:r>
          </w:p>
        </w:tc>
        <w:tc>
          <w:tcPr>
            <w:tcW w:type="pct" w:w="76%"/>
            <w:shd w:fill="2A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列名（全列）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水质（wq_）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wq_codmn（高锰酸盐指数）、wq_do（溶解氧）、wq_nh4_n（氨氮）、wq_no2_n（亚硝氮）、wq_no3_n（硝态氮）、wq_ph、wq_phyto_biomass（藻类生物量）、wq_po4_p（磷酸盐磷）、wq_tn（总氮）、wq_tp（总磷）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气象（met_）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met_air_temperature_c（气温）、met_precipitation_mm（降水量）、met_wind_speed_ms（风速）、met_wind_direction_deg（风向）、met_shortwave_radiation_wm2（短波辐射）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水文（hydro_）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hydro_water_level_m（水位均值）、hydro_water_level_std（水位标准差）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遥感（rs_）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>CLMS 300m 十日产品 3 列：rs_clms_lwq_300m_10daily_chla_mean / chla_uncertainty / fcb_prob；Sentinel-2 CDSE 月度 30m 9 列：B03 / B04 / B05 / B08 / B11 / FAI / MCI / NDCI / NDWI；Sentinel-2 月度 20m 3 列：B03 / B04 / B05；本地实验性反演 5 列（rs_sentinel2_retrieval_20260802_ 前缀）：chlorophyll_a（实验，禁作业务真值）/ fai / mci / ndci / ndwi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静态（static_）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static_station_inside_lake、static_station_latitude、static_station_longitude、static_lake_area_km2、static_lake_elevation_mean_m、static_dem_valid_frac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日历（calendar）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calendar_month_sin、calendar_month_cos（月份周期编码）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机理（mech_）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mech_temperature_factor（温度因子）、mech_light_factor（光照因子）、mech_phosphorus_factor（磷因子）、mech_nitrogen_factor（氮因子）、mech_nutrient_factor（营养因子）、mech_net_growth_rate_d（净增长率）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滞后状态（lag_state）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 个基变量（wq_chla、wq_tp、wq_tn、wq_do、wq_nh4_n、met_air_temperature_c、met_shortwave_radiation_wm2、hydro_water_level_m、rs_clms_lwq_300m_10daily_chla_mean）× { lag1m, lag2m, roll3m_mean }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面板内另有质量标记列 rs_month_low_quality 与 n_wq_obs（当月水质观测数），不入 78 列契约。</w:t>
      </w:r>
    </w:p>
    <w:p>
      <w:pPr>
        <w:pStyle w:val="Heading2"/>
        <w:keepNext/>
        <w:spacing w:after="120" w:before="260" w:line="340" w:lineRule="atLeast"/>
      </w:pPr>
      <w:bookmarkStart w:id="100012" w:name="_Toc100012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4.2 推理可信子契约 v2.1（serving-8col）</w:t>
      </w:r>
      <w:bookmarkEnd w:id="1000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服务对象为 MEE 79 站：推理时逐站真实可变的输入只有站点实测水质与日历，其余契约特征在推理时为全湖上下文常量（用其训练的模型对站点输入无响应，为实测教训后的诚实收缩）。因此 serving 子契约仅 8 列：wq_tp、wq_tn、wq_do、wq_nh4_n、wq_ph、wq_water_temp，加 calendar_month_sin / calendar_month_cos；month_offset 不小于 1 的任务再追加历史观测特征 wq_chla。</w:t>
      </w:r>
    </w:p>
    <w:p>
      <w:pPr>
        <w:pStyle w:val="Heading2"/>
        <w:keepNext/>
        <w:spacing w:after="120" w:before="260" w:line="340" w:lineRule="atLeast"/>
      </w:pPr>
      <w:bookmarkStart w:id="100013" w:name="_Toc100013"/>
      <w:r>
        <w:rPr>
          <w:rFonts w:ascii="Times New Roman" w:eastAsia="SimHei"/>
          <w:b/>
          <w:bCs/>
          <w:color w:val="2A7A65"/>
          <w:sz w:val="28"/>
          <w:szCs w:val="28"/>
        </w:rPr>
        <w:t xml:space="preserve">4.3 标签列与辅助列</w:t>
      </w:r>
      <w:bookmarkEnd w:id="10001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标签列：target_chla / target_tp / target_tn / target_do / target_bloom，各带 *_source 来源列；其中 target_chla 非空 42 行（zenodo_taihu_insitu 41 + 水站 1），target_tp / tn / do 各 576 行（taihu_thqbca_v2），target_bloom 由 chla 代理阈值派生。辅助列：wq_chla（实测共位行）、target_chla_in_lake、dataset_split（train / validation / test）。身份列：station_id、station_name、station_type、month、longitude、latitude。</w:t>
      </w:r>
    </w:p>
    <w:p>
      <w:pPr>
        <w:pStyle w:val="Heading1"/>
        <w:keepNext/>
        <w:spacing w:after="160" w:before="360" w:line="380" w:lineRule="atLeast"/>
      </w:pPr>
      <w:bookmarkStart w:id="100014" w:name="_Toc100014"/>
      <w:r>
        <w:rPr>
          <w:rFonts w:ascii="Times New Roman" w:eastAsia="SimHei"/>
          <w:b/>
          <w:bCs/>
          <w:color w:val="2A7A65"/>
          <w:sz w:val="32"/>
          <w:szCs w:val="32"/>
        </w:rPr>
        <w:t xml:space="preserve">五、新增样本：江苏省控入湖河流数据（2026-09-13）</w:t>
      </w:r>
      <w:bookmarkEnd w:id="1000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来源为江苏省提供的《太湖 7 个省控主要入湖河流 2022 年以来逐月数据》。覆盖 7 个省控入湖断面：大溪港、陈东桥（城东港）、官渎桥（官渎港）、洪巷桥（洪巷港）、社渎港桥（东湛渎港）、湖山桥（新沟河-直湖港段）、分水（黄埝桥）（新孟河-太滆运河段）；无锡市 6 断面、常州市 1 断面。时间为 2022 年 1 月至 2026 年 8 月逐月，共 56 个月 × 7 断面 = 392 行，8 项参数（水温、pH、溶解氧、高锰酸盐指数、化学需氧量、五日生化需氧量、氨氮、总磷）加水质类别零缺失。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水质类别分布：Ⅱ 类 128 行、Ⅲ 类 223 行、Ⅳ 类 37 行、Ⅴ 类 4 行（Ⅳ 类及以上共 41 月次）。数据源分两段口径并逐行保留：「省内例行监测」231 行（约至 2024-09）与「省控融合终审」161 行（2024-10 起）。关键数值域：总磷 0.005 至 0.2 mg/L（均值 0.089）、氨氮 0.01 至 1.1 mg/L、化学需氧量 6 至 25 mg/L、溶解氧 2.2 至 14.0 mg/L。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接入状态：原始件归档至原始数据区，经幂等解析脚本转为程序内档案，并通过 GET /api/v1/inflow/rivers/summary 与 /monthly 两个端点对外服务，驾驶舱新增「入湖负荷」卡展示（契约测试 6 项与全量回归 239 项通过）。待完成（诚实标注）：按月聚合（如 7 断面 TP / 氨氮均值）作为外源负荷驱动特征挂入训练面板，需训练专项完成挂接与重训评估；当前训练面板不含入湖特征列。</w:t>
      </w:r>
    </w:p>
    <w:p>
      <w:pPr>
        <w:pStyle w:val="Heading1"/>
        <w:keepNext/>
        <w:spacing w:after="160" w:before="360" w:line="380" w:lineRule="atLeast"/>
      </w:pPr>
      <w:bookmarkStart w:id="100015" w:name="_Toc100015"/>
      <w:r>
        <w:rPr>
          <w:rFonts w:ascii="Times New Roman" w:eastAsia="SimHei"/>
          <w:b/>
          <w:bCs/>
          <w:color w:val="2A7A65"/>
          <w:sz w:val="32"/>
          <w:szCs w:val="32"/>
        </w:rPr>
        <w:t xml:space="preserve">六、已知限制与诚实披露</w:t>
      </w:r>
      <w:bookmarkEnd w:id="100015"/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站点级 chla 与水华标签为公示代理标签（proxy_derived），不是独立观测；真值 chla 仅 4 个航次月加 S1 单样本。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真值水华 0/1 逐日标签不存在；26 条 CLMS 代理标签仅为参考（remote_sensing_proxy_not_ground_truth）。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MODIS 逐日叶绿素云掩膜严重（约 95% 天数太湖范围无有效像元），逐日文件齐全但逐日有效特征不齐全。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Sentinel-2 实验性 Chl-a 反演校准 R² 为负且 100% 超出训练域，禁止作为业务真值。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30-90 天时效依赖 C3S 集合预报，历史回报资料未授权部分不标记为正式训练集。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生态环境部月报为扫描件，数值经 OCR 抽取，存在 OCR 误差。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遥感图层 2020 年后的延长段为推演延展产物（真实归档止于 2019），本说明如实披露。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入湖河流数据截至 2026 年 8 月，之后月份不存在、不推演、不插补；两段数据源口径差异逐行保留。</w:t>
      </w:r>
    </w:p>
    <w:p>
      <w:pPr>
        <w:spacing w:before="200" w:line="312"/>
        <w:ind w:firstLine="480"/>
      </w:pPr>
      <w:r>
        <w:rPr>
          <w:rFonts w:ascii="Times New Roman" w:eastAsia="SimSun"/>
          <w:i/>
          <w:iCs/>
          <w:color w:val="555555"/>
          <w:sz w:val="21"/>
          <w:szCs w:val="21"/>
        </w:rPr>
        <w:t xml:space="preserve">配套材料：全量资产盘点见《数据资产总览与介绍（2026-09-13）》；血缘台账 raw_data_inventory.csv；清洗管线文档见 data-cleaning 目录 README 与 docs 系列。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8D0" w:sz="2" w:space="4"/>
      </w:pBdr>
      <w:jc w:val="right"/>
    </w:pPr>
    <w:r>
      <w:rPr>
        <w:rFonts w:ascii="Times New Roman" w:eastAsia="SimSun"/>
        <w:color w:val="999999"/>
        <w:sz w:val="16"/>
        <w:szCs w:val="16"/>
      </w:rPr>
      <w:t xml:space="preserve">多源数据样本集说明 · TAIHU_CLEAN_FINAL_V1_20260831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eastAsia="SimHei"/>
      <w:b/>
      <w:bCs/>
      <w:color w:val="2A7A6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eastAsia="SimHei"/>
      <w:b/>
      <w:bCs/>
      <w:color w:val="2A7A65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A23 太湖蓝藻水华项目组</dc:creator>
  <cp:lastModifiedBy>Un-named</cp:lastModifiedBy>
  <cp:revision>1</cp:revision>
  <dcterms:created xsi:type="dcterms:W3CDTF">2026-09-13T07:30:04.102Z</dcterms:created>
  <dcterms:modified xsi:type="dcterms:W3CDTF">2026-09-13T07:30:04.104Z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