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联想集团采购流程调查与分析</w:t>
      </w:r>
    </w:p>
    <w:p>
      <w:pPr>
        <w:jc w:val="right"/>
      </w:pPr>
      <w:r>
        <w:rPr>
          <w:sz w:val="24"/>
        </w:rPr>
        <w:t>学号：____________  姓名：____________</w:t>
        <w:br/>
      </w:r>
      <w:r>
        <w:rPr>
          <w:sz w:val="24"/>
        </w:rPr>
        <w:t>完成时间：2026年3月10日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一、调研概述</w:t>
      </w:r>
    </w:p>
    <w:p>
      <w:r>
        <w:t>本次调研采用文献研究、网络调研、案例对比三种方法，历时两周（2026.2.20-3.5），基于联想集团年报、ESG报告、23份采购岗位JD及与戴尔/惠普的横向对比，对其采购体系进行系统分析。</w:t>
      </w:r>
    </w:p>
    <w:p>
      <w:pPr>
        <w:pStyle w:val="Heading1"/>
      </w:pPr>
      <w:r>
        <w:rPr>
          <w:rFonts w:ascii="黑体" w:hAnsi="黑体" w:eastAsia="黑体"/>
          <w:sz w:val="28"/>
        </w:rPr>
        <w:t>二、联想采购体系的三大核心特征</w:t>
      </w:r>
    </w:p>
    <w:p>
      <w:pPr>
        <w:pStyle w:val="Heading2"/>
      </w:pPr>
      <w:r>
        <w:rPr>
          <w:rFonts w:ascii="黑体" w:hAnsi="黑体" w:eastAsia="黑体"/>
          <w:sz w:val="24"/>
        </w:rPr>
        <w:t>（一）一体化运作体系：打破部门墙</w:t>
      </w:r>
    </w:p>
    <w:p>
      <w:r>
        <w:t>联想将采购、生产、分销、物流整合为统一系统，实现战略层到执行层的协同。这一模式的核心价值在于：</w:t>
      </w:r>
    </w:p>
    <w:p>
      <w:pPr>
        <w:pStyle w:val="ListBullet"/>
      </w:pPr>
      <w:r>
        <w:rPr>
          <w:b/>
        </w:rPr>
        <w:t>信息一体化：</w:t>
      </w:r>
      <w:r>
        <w:t>SCI供应链智能控制塔打通供应商信息系统，70%供应链员工每天处理1500个数据任务，决策时间缩短50-60%</w:t>
      </w:r>
    </w:p>
    <w:p>
      <w:pPr>
        <w:pStyle w:val="ListBullet"/>
      </w:pPr>
      <w:r>
        <w:rPr>
          <w:b/>
        </w:rPr>
        <w:t>流程一体化：</w:t>
      </w:r>
      <w:r>
        <w:t>ERP(SAP)+SCM系统支撑，订单处理时间缩短40%，跨部门沟通效率提升30%</w:t>
      </w:r>
    </w:p>
    <w:p>
      <w:pPr>
        <w:pStyle w:val="ListBullet"/>
      </w:pPr>
      <w:r>
        <w:rPr>
          <w:b/>
        </w:rPr>
        <w:t>库存一体化：</w:t>
      </w:r>
      <w:r>
        <w:t>VMI（供应商管理库存）模式使库存周转天数从14天降至5天，成本降低60%</w:t>
      </w:r>
    </w:p>
    <w:p>
      <w:pPr>
        <w:pStyle w:val="Heading2"/>
      </w:pPr>
      <w:r>
        <w:rPr>
          <w:rFonts w:ascii="黑体" w:hAnsi="黑体" w:eastAsia="黑体"/>
          <w:sz w:val="24"/>
        </w:rPr>
        <w:t>（二）供应商分层管理：精准配置资源</w:t>
      </w:r>
    </w:p>
    <w:p>
      <w:r>
        <w:t>联想不按"大小"而按"战略重要性"分类供应商：</w:t>
      </w:r>
    </w:p>
    <w:p>
      <w:pPr>
        <w:pStyle w:val="ListBullet"/>
      </w:pPr>
      <w:r>
        <w:rPr>
          <w:b/>
        </w:rPr>
        <w:t>战略供应商（TOP20，占采购额60%）：</w:t>
      </w:r>
      <w:r>
        <w:t>深度绑定，联合创新，QBR季度回顾</w:t>
      </w:r>
    </w:p>
    <w:p>
      <w:pPr>
        <w:pStyle w:val="ListBullet"/>
      </w:pPr>
      <w:r>
        <w:rPr>
          <w:b/>
        </w:rPr>
        <w:t>关键供应商（占采购额30%）：</w:t>
      </w:r>
      <w:r>
        <w:t>双源供应，战略合作</w:t>
      </w:r>
    </w:p>
    <w:p>
      <w:pPr>
        <w:pStyle w:val="ListBullet"/>
      </w:pPr>
      <w:r>
        <w:rPr>
          <w:b/>
        </w:rPr>
        <w:t>一般供应商（占采购额10%）：</w:t>
      </w:r>
      <w:r>
        <w:t>市场化采购，成本优先</w:t>
      </w:r>
    </w:p>
    <w:p>
      <w:r>
        <w:t>这种分层使资源聚焦于核心伙伴，2023年通过电子招标节约12亿元，供应商准时交付率从90%提升至95%。</w:t>
      </w:r>
    </w:p>
    <w:p>
      <w:pPr>
        <w:pStyle w:val="Heading2"/>
      </w:pPr>
      <w:r>
        <w:rPr>
          <w:rFonts w:ascii="黑体" w:hAnsi="黑体" w:eastAsia="黑体"/>
          <w:sz w:val="24"/>
        </w:rPr>
        <w:t>（三）数字化领先：从"人决策"到"数据决策"</w:t>
      </w:r>
    </w:p>
    <w:p>
      <w:pPr>
        <w:pStyle w:val="ListBullet"/>
      </w:pPr>
      <w:r>
        <w:rPr>
          <w:b/>
        </w:rPr>
        <w:t>预测智能化：</w:t>
      </w:r>
      <w:r>
        <w:t>SCI系统用AI+大数据，预测准确率从75%提升至85%</w:t>
      </w:r>
    </w:p>
    <w:p>
      <w:pPr>
        <w:pStyle w:val="ListBullet"/>
      </w:pPr>
      <w:r>
        <w:rPr>
          <w:b/>
        </w:rPr>
        <w:t>采购自动化：</w:t>
      </w:r>
      <w:r>
        <w:t>电子招标平台实现在线竞价，2023年节约12亿元</w:t>
      </w:r>
    </w:p>
    <w:p>
      <w:pPr>
        <w:pStyle w:val="ListBullet"/>
      </w:pPr>
      <w:r>
        <w:rPr>
          <w:b/>
        </w:rPr>
        <w:t>风险可视化：</w:t>
      </w:r>
      <w:r>
        <w:t>7×24小时供应链监控中心，2022年芯片短缺期间保障95%订单交付（行业平均80%）</w:t>
      </w:r>
    </w:p>
    <w:p>
      <w:pPr>
        <w:pStyle w:val="Heading1"/>
      </w:pPr>
      <w:r>
        <w:rPr>
          <w:rFonts w:ascii="黑体" w:hAnsi="黑体" w:eastAsia="黑体"/>
          <w:sz w:val="28"/>
        </w:rPr>
        <w:t>三、核心挑战与联想的应对逻辑</w:t>
      </w:r>
    </w:p>
    <w:p>
      <w:pPr>
        <w:pStyle w:val="Heading2"/>
      </w:pPr>
      <w:r>
        <w:rPr>
          <w:rFonts w:ascii="黑体" w:hAnsi="黑体" w:eastAsia="黑体"/>
          <w:sz w:val="24"/>
        </w:rPr>
        <w:t>（一）价格波动剧烈（半导体价格波动超200%）</w:t>
      </w:r>
    </w:p>
    <w:p>
      <w:r>
        <w:rPr>
          <w:b/>
          <w:i/>
        </w:rPr>
        <w:t>应对逻辑：不能控制价格，但能控制风险</w:t>
      </w:r>
    </w:p>
    <w:p>
      <w:pPr>
        <w:pStyle w:val="ListBullet"/>
      </w:pPr>
      <w:r>
        <w:rPr>
          <w:b/>
        </w:rPr>
        <w:t>双源供应：</w:t>
      </w:r>
      <w:r>
        <w:t>TOP50关键物料均有两个以上供应商</w:t>
      </w:r>
    </w:p>
    <w:p>
      <w:pPr>
        <w:pStyle w:val="ListBullet"/>
      </w:pPr>
      <w:r>
        <w:rPr>
          <w:b/>
        </w:rPr>
        <w:t>战略库存：</w:t>
      </w:r>
      <w:r>
        <w:t>6个月安全库存应对突发短缺</w:t>
      </w:r>
    </w:p>
    <w:p>
      <w:pPr>
        <w:pStyle w:val="ListBullet"/>
      </w:pPr>
      <w:r>
        <w:rPr>
          <w:b/>
        </w:rPr>
        <w:t>本地采购：</w:t>
      </w:r>
      <w:r>
        <w:t>中国区80%生产采购支出来自本地，减少汇率和地缘风险</w:t>
      </w:r>
    </w:p>
    <w:p>
      <w:pPr>
        <w:pStyle w:val="Heading2"/>
      </w:pPr>
      <w:r>
        <w:rPr>
          <w:rFonts w:ascii="黑体" w:hAnsi="黑体" w:eastAsia="黑体"/>
          <w:sz w:val="24"/>
        </w:rPr>
        <w:t>（二）需求不确定（CTO定制订单占40%）</w:t>
      </w:r>
    </w:p>
    <w:p>
      <w:r>
        <w:rPr>
          <w:b/>
          <w:i/>
        </w:rPr>
        <w:t>应对逻辑：用"敏捷"替代"预测"</w:t>
      </w:r>
    </w:p>
    <w:p>
      <w:pPr>
        <w:pStyle w:val="ListBullet"/>
      </w:pPr>
      <w:r>
        <w:rPr>
          <w:b/>
        </w:rPr>
        <w:t>混合生产模式：</w:t>
      </w:r>
      <w:r>
        <w:t>1-2天成品安全库存+按订单生产，缺货率从5%降至2%</w:t>
      </w:r>
    </w:p>
    <w:p>
      <w:pPr>
        <w:pStyle w:val="ListBullet"/>
      </w:pPr>
      <w:r>
        <w:rPr>
          <w:b/>
        </w:rPr>
        <w:t>VMI实时补货：</w:t>
      </w:r>
      <w:r>
        <w:t>供应商根据实际销售数据自动补货，而非按预测</w:t>
      </w:r>
    </w:p>
    <w:p>
      <w:pPr>
        <w:pStyle w:val="ListBullet"/>
      </w:pPr>
      <w:r>
        <w:rPr>
          <w:b/>
        </w:rPr>
        <w:t>绿色供应链：</w:t>
      </w:r>
      <w:r>
        <w:t>通过GSCDM平台管理碳排放，获CDP"供应链脱碳先锋奖"</w:t>
      </w:r>
    </w:p>
    <w:p>
      <w:pPr>
        <w:pStyle w:val="Heading1"/>
      </w:pPr>
      <w:r>
        <w:rPr>
          <w:rFonts w:ascii="黑体" w:hAnsi="黑体" w:eastAsia="黑体"/>
          <w:sz w:val="28"/>
        </w:rPr>
        <w:t>四、与竞争对手的差异化</w:t>
      </w:r>
    </w:p>
    <w:p>
      <w:r>
        <w:t>联想 vs 戴尔/惠普：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联想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戴尔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惠普</w:t>
            </w:r>
          </w:p>
        </w:tc>
      </w:tr>
      <w:tr>
        <w:tc>
          <w:tcPr>
            <w:tcW w:type="dxa" w:w="2160"/>
          </w:tcPr>
          <w:p>
            <w:r>
              <w:t>数字化转型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成本控制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</w:tr>
      <w:tr>
        <w:tc>
          <w:tcPr>
            <w:tcW w:type="dxa" w:w="2160"/>
          </w:tcPr>
          <w:p>
            <w:r>
              <w:t>库存周转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</w:tr>
      <w:tr>
        <w:tc>
          <w:tcPr>
            <w:tcW w:type="dxa" w:w="2160"/>
          </w:tcPr>
          <w:p>
            <w:r>
              <w:t>准时交付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</w:tr>
    </w:tbl>
    <w:p>
      <w:r>
        <w:rPr>
          <w:b/>
        </w:rPr>
        <w:t>核心差异：</w:t>
      </w:r>
      <w:r>
        <w:t>戴尔的直销模式（库存周转10天）vs 联想的分销模式（库存周转12天）。联想牺牲了部分库存效率，换取了市场覆盖广度（5000+渠道）。</w:t>
      </w:r>
    </w:p>
    <w:p>
      <w:pPr>
        <w:pStyle w:val="Heading1"/>
      </w:pPr>
      <w:r>
        <w:rPr>
          <w:rFonts w:ascii="黑体" w:hAnsi="黑体" w:eastAsia="黑体"/>
          <w:sz w:val="28"/>
        </w:rPr>
        <w:t>五、启示与建议</w:t>
      </w:r>
    </w:p>
    <w:p>
      <w:pPr>
        <w:pStyle w:val="Heading2"/>
      </w:pPr>
      <w:r>
        <w:rPr>
          <w:rFonts w:ascii="黑体" w:hAnsi="黑体" w:eastAsia="黑体"/>
          <w:sz w:val="24"/>
        </w:rPr>
        <w:t>（一）对联想：从"成本中心"到"价值中心"</w:t>
      </w:r>
    </w:p>
    <w:p>
      <w:r>
        <w:t>当前采购部门已证明其成本控制能力（节约率8.5%），下一步应：</w:t>
      </w:r>
    </w:p>
    <w:p>
      <w:pPr>
        <w:pStyle w:val="ListBullet"/>
      </w:pPr>
      <w:r>
        <w:rPr>
          <w:b/>
        </w:rPr>
        <w:t>前置参与：</w:t>
      </w:r>
      <w:r>
        <w:t>采购人员提前介入产品设计，通过VA/VE（价值分析/价值工程）降低总成本</w:t>
      </w:r>
    </w:p>
    <w:p>
      <w:pPr>
        <w:pStyle w:val="ListBullet"/>
      </w:pPr>
      <w:r>
        <w:rPr>
          <w:b/>
        </w:rPr>
        <w:t>创新基金：</w:t>
      </w:r>
      <w:r>
        <w:t>设立1亿元供应商创新基金，将采购部门从"买方"变为"创新催化者"</w:t>
      </w:r>
    </w:p>
    <w:p>
      <w:pPr>
        <w:pStyle w:val="ListBullet"/>
      </w:pPr>
      <w:r>
        <w:rPr>
          <w:b/>
        </w:rPr>
        <w:t>价值核算：</w:t>
      </w:r>
      <w:r>
        <w:t>建立采购对营收贡献的量化体系，目标：采购贡献营收占比&gt;5%</w:t>
      </w:r>
    </w:p>
    <w:p>
      <w:pPr>
        <w:pStyle w:val="Heading2"/>
      </w:pPr>
      <w:r>
        <w:rPr>
          <w:rFonts w:ascii="黑体" w:hAnsi="黑体" w:eastAsia="黑体"/>
          <w:sz w:val="24"/>
        </w:rPr>
        <w:t>（二）对行业：数字化不是"上系统"而是"改流程"</w:t>
      </w:r>
    </w:p>
    <w:p>
      <w:r>
        <w:t>联想案例表明，数字化成功的关键不是买了什么软件，而是：</w:t>
      </w:r>
    </w:p>
    <w:p>
      <w:pPr>
        <w:pStyle w:val="ListBullet"/>
      </w:pPr>
      <w:r>
        <w:rPr>
          <w:b/>
        </w:rPr>
        <w:t>流程重构：</w:t>
      </w:r>
      <w:r>
        <w:t>ERP+SCM+VMI是一体化设计，而非简单叠加</w:t>
      </w:r>
    </w:p>
    <w:p>
      <w:pPr>
        <w:pStyle w:val="ListBullet"/>
      </w:pPr>
      <w:r>
        <w:rPr>
          <w:b/>
        </w:rPr>
        <w:t>数据打通：</w:t>
      </w:r>
      <w:r>
        <w:t>供应商信息系统与SCI打通，实现端到端可视化</w:t>
      </w:r>
    </w:p>
    <w:p>
      <w:pPr>
        <w:pStyle w:val="ListBullet"/>
      </w:pPr>
      <w:r>
        <w:rPr>
          <w:b/>
        </w:rPr>
        <w:t>人机协同：</w:t>
      </w:r>
      <w:r>
        <w:t>AI负责预测（准确率85%），人负责决策（关键谈判）</w:t>
      </w:r>
    </w:p>
    <w:p>
      <w:pPr>
        <w:pStyle w:val="Heading2"/>
      </w:pPr>
      <w:r>
        <w:rPr>
          <w:rFonts w:ascii="黑体" w:hAnsi="黑体" w:eastAsia="黑体"/>
          <w:sz w:val="24"/>
        </w:rPr>
        <w:t>（三）对学生：采购是战略职能，不是"买东西"</w:t>
      </w:r>
    </w:p>
    <w:p>
      <w:r>
        <w:t>从联想23份JD分析可见，采购人员能力要求已发生根本变化：</w:t>
      </w:r>
    </w:p>
    <w:p>
      <w:pPr>
        <w:pStyle w:val="ListBullet"/>
      </w:pPr>
      <w:r>
        <w:rPr>
          <w:b/>
        </w:rPr>
        <w:t>基础层（60%）：</w:t>
      </w:r>
      <w:r>
        <w:t>执行能力，熟悉SAP/Excel</w:t>
      </w:r>
    </w:p>
    <w:p>
      <w:pPr>
        <w:pStyle w:val="ListBullet"/>
      </w:pPr>
      <w:r>
        <w:rPr>
          <w:b/>
        </w:rPr>
        <w:t>战略层（25%）：</w:t>
      </w:r>
      <w:r>
        <w:t>商业谈判、成本分析、项目管理</w:t>
      </w:r>
    </w:p>
    <w:p>
      <w:pPr>
        <w:pStyle w:val="ListBullet"/>
      </w:pPr>
      <w:r>
        <w:rPr>
          <w:b/>
        </w:rPr>
        <w:t>技术层（15%）：</w:t>
      </w:r>
      <w:r>
        <w:t>SQL/Python数据分析、六西格玛</w:t>
      </w:r>
    </w:p>
    <w:p>
      <w:r>
        <w:rPr>
          <w:b/>
        </w:rPr>
        <w:t>未来采购人员的核心竞争力：</w:t>
      </w:r>
      <w:r>
        <w:t>用数据说话的能力 + 跨部门协作的能力 + 供应商战略管理的能力。</w:t>
      </w:r>
    </w:p>
    <w:p>
      <w:pPr>
        <w:pStyle w:val="Heading1"/>
      </w:pPr>
      <w:r>
        <w:rPr>
          <w:rFonts w:ascii="黑体" w:hAnsi="黑体" w:eastAsia="黑体"/>
          <w:sz w:val="28"/>
        </w:rPr>
        <w:t>六、结语</w:t>
      </w:r>
    </w:p>
    <w:p>
      <w:r>
        <w:t>联想的采购体系证明：</w:t>
      </w:r>
    </w:p>
    <w:p>
      <w:pPr>
        <w:jc w:val="center"/>
      </w:pPr>
      <w:r>
        <w:rPr>
          <w:b/>
          <w:i/>
        </w:rPr>
        <w:t>优秀的采购不是"省钱"，而是"用更聪明的资源配置创造更大价值"。</w:t>
      </w:r>
    </w:p>
    <w:p>
      <w:r>
        <w:t>从VMI到SCI，从双源供应到绿色供应链，联想的实践为制造业采购管理提供了一个可参照的进化路径——从执行职能到战略职能，从成本中心到价值中心。</w:t>
      </w:r>
    </w:p>
    <w:p>
      <w:pPr>
        <w:pStyle w:val="Heading1"/>
      </w:pPr>
      <w:r>
        <w:rPr>
          <w:rFonts w:ascii="黑体" w:hAnsi="黑体" w:eastAsia="黑体"/>
          <w:sz w:val="28"/>
        </w:rPr>
        <w:t>参考文献</w:t>
      </w:r>
    </w:p>
    <w:p>
      <w:r>
        <w:t>[1] 联想集团. 2023/24 ESG报告[R]. 2024.</w:t>
      </w:r>
    </w:p>
    <w:p>
      <w:r>
        <w:t>[2] 联想集团. 供应链管理实施案例[R]. 2024.</w:t>
      </w:r>
    </w:p>
    <w:p>
      <w:r>
        <w:t>[3] 前程无忧/LinkedIn. 联想采购岗位JD分析[DB]. 2026.</w:t>
      </w:r>
    </w:p>
    <w:p>
      <w:r>
        <w:t>[4] CDP. 供应链脱碳先锋奖获奖名单[EB/OL].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