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720" w:lineRule="exact"/>
        <w:jc w:val="center"/>
      </w:pPr>
      <w:r>
        <w:rPr>
          <w:rFonts w:ascii="Times New Roman" w:hAnsi="Times New Roman" w:eastAsia="方正小标宋简体"/>
          <w:b/>
          <w:sz w:val="44"/>
        </w:rPr>
        <w:t>北京市公安局涉案财物智能化保管系统运行维护服务技术方案</w:t>
      </w:r>
    </w:p>
    <w:p>
      <w:pPr>
        <w:spacing w:before="0" w:after="0" w:line="560" w:lineRule="exact"/>
        <w:ind w:firstLine="420"/>
      </w:pPr>
      <w:r>
        <w:rPr>
          <w:rFonts w:ascii="Times New Roman" w:hAnsi="Times New Roman" w:eastAsia="方正仿宋_GBK"/>
          <w:b w:val="0"/>
          <w:sz w:val="28"/>
        </w:rPr>
        <w:t>&gt; 投标单位：北京宽和精英科技发展有限公司</w:t>
      </w:r>
    </w:p>
    <w:p>
      <w:pPr>
        <w:spacing w:before="0" w:after="0" w:line="560" w:lineRule="exact"/>
        <w:ind w:firstLine="420"/>
      </w:pPr>
      <w:r>
        <w:rPr>
          <w:rFonts w:ascii="Times New Roman" w:hAnsi="Times New Roman" w:eastAsia="方正仿宋_GBK"/>
          <w:b w:val="0"/>
          <w:sz w:val="28"/>
        </w:rPr>
        <w:t>&gt; 项目名称：北京市公安局涉案财物智能化保管系统运行维护服务项目</w:t>
      </w:r>
    </w:p>
    <w:p>
      <w:pPr>
        <w:spacing w:before="0" w:after="0" w:line="560" w:lineRule="exact"/>
        <w:ind w:firstLine="420"/>
      </w:pPr>
      <w:r>
        <w:rPr>
          <w:rFonts w:ascii="Times New Roman" w:hAnsi="Times New Roman" w:eastAsia="方正仿宋_GBK"/>
          <w:b w:val="0"/>
          <w:sz w:val="28"/>
        </w:rPr>
        <w:t>&gt; 编制依据：招标文件第四部分"项目需求"、第七部分"评分标准"</w:t>
      </w:r>
    </w:p>
    <w:p>
      <w:pPr>
        <w:spacing w:before="360" w:after="240" w:line="640" w:lineRule="exact"/>
        <w:jc w:val="left"/>
      </w:pPr>
      <w:r>
        <w:rPr>
          <w:rFonts w:ascii="Times New Roman" w:hAnsi="Times New Roman" w:eastAsia="方正黑体_GBK"/>
          <w:b/>
          <w:sz w:val="32"/>
        </w:rPr>
        <w:t>一、项目理解与需求分析</w:t>
      </w:r>
    </w:p>
    <w:p>
      <w:pPr>
        <w:spacing w:before="240" w:after="120" w:line="560" w:lineRule="exact"/>
        <w:jc w:val="left"/>
      </w:pPr>
      <w:r>
        <w:rPr>
          <w:rFonts w:ascii="Times New Roman" w:hAnsi="Times New Roman" w:eastAsia="方正楷体_GBK"/>
          <w:b/>
          <w:sz w:val="28"/>
        </w:rPr>
        <w:t>1.1 项目定位</w:t>
      </w:r>
    </w:p>
    <w:p>
      <w:pPr>
        <w:spacing w:before="0" w:after="0" w:line="560" w:lineRule="exact"/>
        <w:ind w:firstLine="420"/>
      </w:pPr>
      <w:r>
        <w:rPr>
          <w:rFonts w:ascii="Times New Roman" w:hAnsi="Times New Roman" w:eastAsia="方正仿宋_GBK"/>
          <w:b w:val="0"/>
          <w:sz w:val="28"/>
        </w:rPr>
        <w:t>北京市公安局涉案财物智能化保管系统承载涉案财物的智能化存取、身份识别、视频监控、门禁管控、RFID追踪及多平台数据对接等核心业务功能，是涉案财物依法规范管理的重要基础设施支撑。系统已完成软硬件建设部署，现进入持续运行维护阶段。本次采购旨在通过专业运维服务，保障系统在合同期内持续、稳定、安全运行。</w:t>
      </w:r>
    </w:p>
    <w:p>
      <w:pPr>
        <w:spacing w:before="240" w:after="120" w:line="560" w:lineRule="exact"/>
        <w:jc w:val="left"/>
      </w:pPr>
      <w:r>
        <w:rPr>
          <w:rFonts w:ascii="Times New Roman" w:hAnsi="Times New Roman" w:eastAsia="方正楷体_GBK"/>
          <w:b/>
          <w:sz w:val="28"/>
        </w:rPr>
        <w:t>1.2 运维对象构成</w:t>
      </w:r>
    </w:p>
    <w:p>
      <w:pPr>
        <w:spacing w:before="0" w:after="0" w:line="560" w:lineRule="exact"/>
        <w:ind w:firstLine="420"/>
      </w:pPr>
      <w:r>
        <w:rPr>
          <w:rFonts w:ascii="Times New Roman" w:hAnsi="Times New Roman" w:eastAsia="方正仿宋_GBK"/>
          <w:b w:val="0"/>
          <w:sz w:val="28"/>
        </w:rPr>
        <w:t>我方理解本项目运维对象涵盖以下三大类资产：</w:t>
      </w:r>
    </w:p>
    <w:p>
      <w:pPr>
        <w:spacing w:before="0" w:after="0" w:line="560" w:lineRule="exact"/>
        <w:ind w:firstLine="420"/>
      </w:pPr>
      <w:r>
        <w:rPr>
          <w:rFonts w:ascii="Times New Roman" w:hAnsi="Times New Roman" w:eastAsia="方正黑体_GBK"/>
          <w:b/>
          <w:sz w:val="28"/>
        </w:rPr>
        <w:t>硬件设备（23类）</w:t>
      </w:r>
    </w:p>
    <w:p>
      <w:pPr>
        <w:spacing w:before="0" w:after="0" w:line="560" w:lineRule="exact"/>
        <w:ind w:firstLine="420"/>
      </w:pPr>
      <w:r>
        <w:rPr>
          <w:rFonts w:ascii="Times New Roman" w:hAnsi="Times New Roman" w:eastAsia="方正仿宋_GBK"/>
          <w:b w:val="0"/>
          <w:sz w:val="28"/>
        </w:rPr>
        <w:t>视频监控：高清室内半球摄像机138个、室外摄像枪机7个、室外全景球机4个、室内全景球机2个，共151路；图像拼接处理器9套、高清矩阵1套、高清编码器1个、数据显示终端19套。安防与门禁：报警主机1个、虹膜识别2个、人脸识别一体机2个、门禁控制器2套、网络门禁控制器26个、键盘读卡器26个、电磁吸力锁26个、闭门器26个。定位与RFID：定位基站11个、定位器42个、基站电源2个、手持式RFID读写器2个、桌面式RFID读写器2个。服务器及存储：存储管理服务器1台、监控磁盘阵列机12台、监控硬盘408块、防火墙1个、高拍仪1个、电池32个、55寸液晶拼接单元9套。</w:t>
      </w:r>
    </w:p>
    <w:p>
      <w:pPr>
        <w:spacing w:before="0" w:after="0" w:line="560" w:lineRule="exact"/>
        <w:ind w:firstLine="420"/>
      </w:pPr>
      <w:r>
        <w:rPr>
          <w:rFonts w:ascii="Times New Roman" w:hAnsi="Times New Roman" w:eastAsia="方正黑体_GBK"/>
          <w:b/>
          <w:sz w:val="28"/>
        </w:rPr>
        <w:t>应用软件（26项功能模块）</w:t>
      </w:r>
    </w:p>
    <w:p>
      <w:pPr>
        <w:spacing w:before="0" w:after="0" w:line="560" w:lineRule="exact"/>
        <w:ind w:firstLine="420"/>
      </w:pPr>
      <w:r>
        <w:rPr>
          <w:rFonts w:ascii="Times New Roman" w:hAnsi="Times New Roman" w:eastAsia="方正仿宋_GBK"/>
          <w:b w:val="0"/>
          <w:sz w:val="28"/>
        </w:rPr>
        <w:t>平台管理软件、智能化库管系统，以及可视化管理、可视化分配、门禁权限综合管理、RFID防拆卸报警、CA认证、综合预警、物品综合台账、安防综合台账、轨迹与监控门禁联动等26项功能模块；系统涉及与执法办案平台、政法系统、远程示证等外部对接接口5项，及道路动态指引、物品信息实时互动显示、屏幕信息推送管理等业务应用功能。</w:t>
      </w:r>
    </w:p>
    <w:p>
      <w:pPr>
        <w:spacing w:before="0" w:after="0" w:line="560" w:lineRule="exact"/>
        <w:ind w:firstLine="420"/>
      </w:pPr>
      <w:r>
        <w:rPr>
          <w:rFonts w:ascii="Times New Roman" w:hAnsi="Times New Roman" w:eastAsia="方正黑体_GBK"/>
          <w:b/>
          <w:sz w:val="28"/>
        </w:rPr>
        <w:t>服务范围</w:t>
      </w:r>
    </w:p>
    <w:p>
      <w:pPr>
        <w:spacing w:before="0" w:after="0" w:line="560" w:lineRule="exact"/>
        <w:ind w:firstLine="420"/>
      </w:pPr>
      <w:r>
        <w:rPr>
          <w:rFonts w:ascii="Times New Roman" w:hAnsi="Times New Roman" w:eastAsia="方正仿宋_GBK"/>
          <w:b w:val="0"/>
          <w:sz w:val="28"/>
        </w:rPr>
        <w:t>运维巡检、勤务值班、故障排除、内容维护、安全服务、数据及安防接口维护，以及系统升级（法院判决文书PDF自动识别功能）。</w:t>
      </w:r>
    </w:p>
    <w:p>
      <w:pPr>
        <w:spacing w:before="240" w:after="120" w:line="560" w:lineRule="exact"/>
        <w:jc w:val="left"/>
      </w:pPr>
      <w:r>
        <w:rPr>
          <w:rFonts w:ascii="Times New Roman" w:hAnsi="Times New Roman" w:eastAsia="方正楷体_GBK"/>
          <w:b/>
          <w:sz w:val="28"/>
        </w:rPr>
        <w:t>1.3 需求特征分析</w:t>
      </w:r>
    </w:p>
    <w:p>
      <w:pPr>
        <w:spacing w:before="0" w:after="0" w:line="560" w:lineRule="exact"/>
        <w:ind w:firstLine="420"/>
      </w:pPr>
      <w:r>
        <w:rPr>
          <w:rFonts w:ascii="Times New Roman" w:hAnsi="Times New Roman" w:eastAsia="方正黑体_GBK"/>
          <w:b/>
          <w:sz w:val="28"/>
        </w:rPr>
        <w:t>公安专网特殊性</w:t>
      </w:r>
    </w:p>
    <w:p>
      <w:pPr>
        <w:spacing w:before="0" w:after="0" w:line="560" w:lineRule="exact"/>
        <w:ind w:firstLine="420"/>
      </w:pPr>
      <w:r>
        <w:rPr>
          <w:rFonts w:ascii="Times New Roman" w:hAnsi="Times New Roman" w:eastAsia="方正仿宋_GBK"/>
          <w:b w:val="0"/>
          <w:sz w:val="28"/>
        </w:rPr>
        <w:t>系统运行于公安内网环境，承载案件信息、人员信息、涉案财物信息，信息安全要求严格。所有运维操作须符合公安网保密规范，保障绝对安全。</w:t>
      </w:r>
    </w:p>
    <w:p>
      <w:pPr>
        <w:spacing w:before="0" w:after="0" w:line="560" w:lineRule="exact"/>
        <w:ind w:firstLine="420"/>
      </w:pPr>
      <w:r>
        <w:rPr>
          <w:rFonts w:ascii="Times New Roman" w:hAnsi="Times New Roman" w:eastAsia="方正黑体_GBK"/>
          <w:b/>
          <w:sz w:val="28"/>
        </w:rPr>
        <w:t>系统耦合复杂性</w:t>
      </w:r>
    </w:p>
    <w:p>
      <w:pPr>
        <w:spacing w:before="0" w:after="0" w:line="560" w:lineRule="exact"/>
        <w:ind w:firstLine="420"/>
      </w:pPr>
      <w:r>
        <w:rPr>
          <w:rFonts w:ascii="Times New Roman" w:hAnsi="Times New Roman" w:eastAsia="方正仿宋_GBK"/>
          <w:b w:val="0"/>
          <w:sz w:val="28"/>
        </w:rPr>
        <w:t>系统与执法办案平台、政法系统、远程示证等多个外部平台存在数据对接，并管理全市各分局的视频监控、门禁接入，运维工作需在整体联动框架下进行，局部变更可能产生跨系统影响。</w:t>
      </w:r>
    </w:p>
    <w:p>
      <w:pPr>
        <w:spacing w:before="0" w:after="0" w:line="560" w:lineRule="exact"/>
        <w:ind w:firstLine="420"/>
      </w:pPr>
      <w:r>
        <w:rPr>
          <w:rFonts w:ascii="Times New Roman" w:hAnsi="Times New Roman" w:eastAsia="方正黑体_GBK"/>
          <w:b/>
          <w:sz w:val="28"/>
        </w:rPr>
        <w:t>业务连续性要求</w:t>
      </w:r>
    </w:p>
    <w:p>
      <w:pPr>
        <w:spacing w:before="0" w:after="0" w:line="560" w:lineRule="exact"/>
        <w:ind w:firstLine="420"/>
      </w:pPr>
      <w:r>
        <w:rPr>
          <w:rFonts w:ascii="Times New Roman" w:hAnsi="Times New Roman" w:eastAsia="方正仿宋_GBK"/>
          <w:b w:val="0"/>
          <w:sz w:val="28"/>
        </w:rPr>
        <w:t>涉案财物管理系统直接服务于司法执法程序，系统中断影响正常执法业务。尤其在重大专项行动期间，系统须保持高可用状态，现场保障不可缺位。</w:t>
      </w:r>
    </w:p>
    <w:p>
      <w:pPr>
        <w:spacing w:before="0" w:after="0" w:line="560" w:lineRule="exact"/>
        <w:ind w:firstLine="420"/>
      </w:pPr>
      <w:r>
        <w:rPr>
          <w:rFonts w:ascii="Times New Roman" w:hAnsi="Times New Roman" w:eastAsia="方正黑体_GBK"/>
          <w:b/>
          <w:sz w:val="28"/>
        </w:rPr>
        <w:t>响应时效严格</w:t>
      </w:r>
    </w:p>
    <w:p>
      <w:pPr>
        <w:spacing w:before="0" w:after="0" w:line="560" w:lineRule="exact"/>
        <w:ind w:firstLine="420"/>
      </w:pPr>
      <w:r>
        <w:rPr>
          <w:rFonts w:ascii="Times New Roman" w:hAnsi="Times New Roman" w:eastAsia="方正仿宋_GBK"/>
          <w:b w:val="0"/>
          <w:sz w:val="28"/>
        </w:rPr>
        <w:t>招标文件明确规定：运维人员无法远程解决的，须在2.5小时内安排资深人员到现场，并在5小时内修复完成；硬件故障确认后立即更换。此要求对本地化响应能力和备件保障体系提出了明确标准。</w:t>
      </w:r>
    </w:p>
    <w:p>
      <w:pPr>
        <w:spacing w:before="240" w:after="120" w:line="560" w:lineRule="exact"/>
        <w:jc w:val="left"/>
      </w:pPr>
      <w:r>
        <w:rPr>
          <w:rFonts w:ascii="Times New Roman" w:hAnsi="Times New Roman" w:eastAsia="方正楷体_GBK"/>
          <w:b/>
          <w:sz w:val="28"/>
        </w:rPr>
        <w:t>1.4 工作量评估</w:t>
      </w:r>
    </w:p>
    <w:p>
      <w:pPr>
        <w:spacing w:before="0" w:after="0" w:line="560" w:lineRule="exact"/>
        <w:ind w:firstLine="420"/>
      </w:pPr>
      <w:r>
        <w:rPr>
          <w:rFonts w:ascii="Times New Roman" w:hAnsi="Times New Roman" w:eastAsia="方正仿宋_GBK"/>
          <w:b w:val="0"/>
          <w:sz w:val="28"/>
        </w:rPr>
        <w:t>合同期1年，主要工作量构成：周度现场巡检52次；7×24小时技术响应服务全年无休；系统升级（PDF识别功能）须在中标后30日历日内完成开发部署；各分局接口维护随需响应。运维工作量适中偏重，技术难度主要集中在多系统对接维护、公安网安全合规及硬件大量设备高可用保障三个方面。</w:t>
      </w:r>
    </w:p>
    <w:p>
      <w:pPr>
        <w:spacing w:before="360" w:after="240" w:line="640" w:lineRule="exact"/>
        <w:jc w:val="left"/>
      </w:pPr>
      <w:r>
        <w:rPr>
          <w:rFonts w:ascii="Times New Roman" w:hAnsi="Times New Roman" w:eastAsia="方正黑体_GBK"/>
          <w:b/>
          <w:sz w:val="32"/>
        </w:rPr>
        <w:t>二、系统运维维护方案</w:t>
      </w:r>
    </w:p>
    <w:p>
      <w:pPr>
        <w:spacing w:before="240" w:after="120" w:line="560" w:lineRule="exact"/>
        <w:jc w:val="left"/>
      </w:pPr>
      <w:r>
        <w:rPr>
          <w:rFonts w:ascii="Times New Roman" w:hAnsi="Times New Roman" w:eastAsia="方正楷体_GBK"/>
          <w:b/>
          <w:sz w:val="28"/>
        </w:rPr>
        <w:t>2.1 值班维护方案</w:t>
      </w:r>
    </w:p>
    <w:p>
      <w:pPr>
        <w:spacing w:before="160" w:after="80" w:line="560" w:lineRule="exact"/>
        <w:jc w:val="left"/>
      </w:pPr>
      <w:r>
        <w:rPr>
          <w:rFonts w:ascii="Times New Roman" w:hAnsi="Times New Roman" w:eastAsia="方正黑体_GBK"/>
          <w:b w:val="0"/>
          <w:sz w:val="28"/>
        </w:rPr>
        <w:t>2.1.1 值班体系设计</w:t>
      </w:r>
    </w:p>
    <w:p>
      <w:pPr>
        <w:spacing w:before="0" w:after="0" w:line="560" w:lineRule="exact"/>
        <w:ind w:firstLine="420"/>
      </w:pPr>
      <w:r>
        <w:rPr>
          <w:rFonts w:ascii="Times New Roman" w:hAnsi="Times New Roman" w:eastAsia="方正仿宋_GBK"/>
          <w:b w:val="0"/>
          <w:sz w:val="28"/>
        </w:rPr>
        <w:t>我方建立常态化值班与重大行动强化保障相结合的双层值班体系，确保日常运维与专项保障两种模式下均具备充足服务能力。</w:t>
      </w:r>
    </w:p>
    <w:p>
      <w:pPr>
        <w:spacing w:before="0" w:after="0" w:line="560" w:lineRule="exact"/>
        <w:ind w:firstLine="420"/>
      </w:pPr>
      <w:r>
        <w:rPr>
          <w:rFonts w:ascii="Times New Roman" w:hAnsi="Times New Roman" w:eastAsia="方正黑体_GBK"/>
          <w:b/>
          <w:sz w:val="28"/>
        </w:rPr>
        <w:t>常态化值班</w:t>
      </w:r>
    </w:p>
    <w:p>
      <w:pPr>
        <w:spacing w:before="0" w:after="0" w:line="560" w:lineRule="exact"/>
        <w:ind w:firstLine="420"/>
      </w:pPr>
      <w:r>
        <w:rPr>
          <w:rFonts w:ascii="Times New Roman" w:hAnsi="Times New Roman" w:eastAsia="方正仿宋_GBK"/>
          <w:b w:val="0"/>
          <w:sz w:val="28"/>
        </w:rPr>
        <w:t>设立7×24小时技术响应中心，通过电话和电子邮件双渠道受理报修与技术咨询，任何时间均可触达。运维团队由专职运维经理1名统筹协调，负责调度管理与进度跟踪；运维工程师不少于3名，承担日常技术支持与故障处理。值班排班采用轮班制，确保全时段均有具备现场处置能力的工程师处于响应待命状态。</w:t>
      </w:r>
    </w:p>
    <w:p>
      <w:pPr>
        <w:spacing w:before="0" w:after="0" w:line="560" w:lineRule="exact"/>
        <w:ind w:firstLine="420"/>
      </w:pPr>
      <w:r>
        <w:rPr>
          <w:rFonts w:ascii="Times New Roman" w:hAnsi="Times New Roman" w:eastAsia="方正仿宋_GBK"/>
          <w:b w:val="0"/>
          <w:sz w:val="28"/>
        </w:rPr>
        <w:t>排班计划在合同签订后7个工作日内提交采购人审核，人员变更须提前5个工作日告知采购人。</w:t>
      </w:r>
    </w:p>
    <w:p>
      <w:pPr>
        <w:spacing w:before="0" w:after="0" w:line="560" w:lineRule="exact"/>
        <w:ind w:firstLine="420"/>
      </w:pPr>
      <w:r>
        <w:rPr>
          <w:rFonts w:ascii="Times New Roman" w:hAnsi="Times New Roman" w:eastAsia="方正黑体_GBK"/>
          <w:b/>
          <w:sz w:val="28"/>
        </w:rPr>
        <w:t>重大专项行动保障</w:t>
      </w:r>
    </w:p>
    <w:p>
      <w:pPr>
        <w:spacing w:before="0" w:after="0" w:line="560" w:lineRule="exact"/>
        <w:ind w:firstLine="420"/>
      </w:pPr>
      <w:r>
        <w:rPr>
          <w:rFonts w:ascii="Times New Roman" w:hAnsi="Times New Roman" w:eastAsia="方正仿宋_GBK"/>
          <w:b w:val="0"/>
          <w:sz w:val="28"/>
        </w:rPr>
        <w:t>在重大专项行动期间，可按照采购人要求安排专职技术人员现场值班。现场值班人员不少于1名工程师，全程驻场提供技术支持，负责系统运行监控、突发故障处置及现场协调。具体值班时间及驻场安排在接到采购人通知后24小时内确认。</w:t>
      </w:r>
    </w:p>
    <w:p>
      <w:pPr>
        <w:spacing w:before="160" w:after="80" w:line="560" w:lineRule="exact"/>
        <w:jc w:val="left"/>
      </w:pPr>
      <w:r>
        <w:rPr>
          <w:rFonts w:ascii="Times New Roman" w:hAnsi="Times New Roman" w:eastAsia="方正黑体_GBK"/>
          <w:b w:val="0"/>
          <w:sz w:val="28"/>
        </w:rPr>
        <w:t>2.1.2 值班规程</w:t>
      </w:r>
    </w:p>
    <w:p>
      <w:pPr>
        <w:spacing w:before="0" w:after="0" w:line="560" w:lineRule="exact"/>
        <w:ind w:firstLine="420"/>
      </w:pPr>
      <w:r>
        <w:rPr>
          <w:rFonts w:ascii="Times New Roman" w:hAnsi="Times New Roman" w:eastAsia="方正黑体_GBK"/>
          <w:b/>
          <w:sz w:val="28"/>
        </w:rPr>
        <w:t>日常值班规程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每日开班时对系统运行状态进行例行检查，记录当日系统运行状况</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对报修工单实行优先级分类处理（紧急/一般）：紧急故障立即响应启动到场程序，一般故障当日处理或工单跟踪完成</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运维操作全程留痕，维护日志按月汇总提交采购人</w:t>
      </w:r>
    </w:p>
    <w:p>
      <w:pPr>
        <w:spacing w:before="0" w:after="0" w:line="560" w:lineRule="exact"/>
        <w:ind w:firstLine="420"/>
      </w:pPr>
      <w:r>
        <w:rPr>
          <w:rFonts w:ascii="Times New Roman" w:hAnsi="Times New Roman" w:eastAsia="方正黑体_GBK"/>
          <w:b/>
          <w:sz w:val="28"/>
        </w:rPr>
        <w:t>系统运行监控</w:t>
      </w:r>
    </w:p>
    <w:p>
      <w:pPr>
        <w:spacing w:before="0" w:after="0" w:line="560" w:lineRule="exact"/>
        <w:ind w:firstLine="420"/>
      </w:pPr>
      <w:r>
        <w:rPr>
          <w:rFonts w:ascii="Times New Roman" w:hAnsi="Times New Roman" w:eastAsia="方正仿宋_GBK"/>
          <w:b w:val="0"/>
          <w:sz w:val="28"/>
        </w:rPr>
        <w:t>值班期间对以下核心指标进行持续监控：</w:t>
      </w:r>
    </w:p>
    <w:tbl>
      <w:tblPr>
        <w:tblStyle w:val="TableGrid"/>
        <w:tblW w:type="auto" w:w="0"/>
        <w:jc w:val="center"/>
        <w:tblLook w:firstColumn="1" w:firstRow="1" w:lastColumn="0" w:lastRow="0" w:noHBand="0" w:noVBand="1" w:val="04A0"/>
      </w:tblPr>
      <w:tblGrid>
        <w:gridCol w:w="4422"/>
        <w:gridCol w:w="4422"/>
      </w:tblGrid>
      <w:tr>
        <w:tc>
          <w:tcPr>
            <w:tcW w:type="dxa" w:w="4422"/>
            <w:shd w:fill="D9E2F3"/>
          </w:tcPr>
          <w:p>
            <w:pPr>
              <w:spacing w:before="0" w:after="0" w:line="480" w:lineRule="exact"/>
              <w:jc w:val="center"/>
            </w:pPr>
            <w:r/>
            <w:r>
              <w:rPr>
                <w:rFonts w:ascii="Times New Roman" w:hAnsi="Times New Roman" w:eastAsia="方正黑体_GBK"/>
                <w:b/>
                <w:sz w:val="24"/>
              </w:rPr>
              <w:t>监控对象</w:t>
            </w:r>
          </w:p>
        </w:tc>
        <w:tc>
          <w:tcPr>
            <w:tcW w:type="dxa" w:w="4422"/>
            <w:shd w:fill="D9E2F3"/>
          </w:tcPr>
          <w:p>
            <w:pPr>
              <w:spacing w:before="0" w:after="0" w:line="480" w:lineRule="exact"/>
              <w:jc w:val="center"/>
            </w:pPr>
            <w:r/>
            <w:r>
              <w:rPr>
                <w:rFonts w:ascii="Times New Roman" w:hAnsi="Times New Roman" w:eastAsia="方正黑体_GBK"/>
                <w:b/>
                <w:sz w:val="24"/>
              </w:rPr>
              <w:t>监控内容</w:t>
            </w:r>
          </w:p>
        </w:tc>
      </w:tr>
      <w:tr>
        <w:tc>
          <w:tcPr>
            <w:tcW w:type="dxa" w:w="4422"/>
          </w:tcPr>
          <w:p>
            <w:pPr>
              <w:spacing w:before="0" w:after="0" w:line="480" w:lineRule="exact"/>
              <w:jc w:val="left"/>
            </w:pPr>
            <w:r/>
            <w:r>
              <w:rPr>
                <w:rFonts w:ascii="Times New Roman" w:hAnsi="Times New Roman" w:eastAsia="方正仿宋_GBK"/>
                <w:b w:val="0"/>
                <w:sz w:val="24"/>
              </w:rPr>
              <w:t>服务器及存储</w:t>
            </w:r>
          </w:p>
        </w:tc>
        <w:tc>
          <w:tcPr>
            <w:tcW w:type="dxa" w:w="4422"/>
          </w:tcPr>
          <w:p>
            <w:pPr>
              <w:spacing w:before="0" w:after="0" w:line="480" w:lineRule="exact"/>
              <w:jc w:val="left"/>
            </w:pPr>
            <w:r/>
            <w:r>
              <w:rPr>
                <w:rFonts w:ascii="Times New Roman" w:hAnsi="Times New Roman" w:eastAsia="方正仿宋_GBK"/>
                <w:b w:val="0"/>
                <w:sz w:val="24"/>
              </w:rPr>
              <w:t>存储管理服务器运行状态、磁盘阵列健康状态、硬盘剩余空间</w:t>
            </w:r>
          </w:p>
        </w:tc>
      </w:tr>
      <w:tr>
        <w:tc>
          <w:tcPr>
            <w:tcW w:type="dxa" w:w="4422"/>
          </w:tcPr>
          <w:p>
            <w:pPr>
              <w:spacing w:before="0" w:after="0" w:line="480" w:lineRule="exact"/>
              <w:jc w:val="left"/>
            </w:pPr>
            <w:r/>
            <w:r>
              <w:rPr>
                <w:rFonts w:ascii="Times New Roman" w:hAnsi="Times New Roman" w:eastAsia="方正仿宋_GBK"/>
                <w:b w:val="0"/>
                <w:sz w:val="24"/>
              </w:rPr>
              <w:t>应用软件</w:t>
            </w:r>
          </w:p>
        </w:tc>
        <w:tc>
          <w:tcPr>
            <w:tcW w:type="dxa" w:w="4422"/>
          </w:tcPr>
          <w:p>
            <w:pPr>
              <w:spacing w:before="0" w:after="0" w:line="480" w:lineRule="exact"/>
              <w:jc w:val="left"/>
            </w:pPr>
            <w:r/>
            <w:r>
              <w:rPr>
                <w:rFonts w:ascii="Times New Roman" w:hAnsi="Times New Roman" w:eastAsia="方正仿宋_GBK"/>
                <w:b w:val="0"/>
                <w:sz w:val="24"/>
              </w:rPr>
              <w:t>平台管理软件在线状态、库管系统运行状态</w:t>
            </w:r>
          </w:p>
        </w:tc>
      </w:tr>
      <w:tr>
        <w:tc>
          <w:tcPr>
            <w:tcW w:type="dxa" w:w="4422"/>
          </w:tcPr>
          <w:p>
            <w:pPr>
              <w:spacing w:before="0" w:after="0" w:line="480" w:lineRule="exact"/>
              <w:jc w:val="left"/>
            </w:pPr>
            <w:r/>
            <w:r>
              <w:rPr>
                <w:rFonts w:ascii="Times New Roman" w:hAnsi="Times New Roman" w:eastAsia="方正仿宋_GBK"/>
                <w:b w:val="0"/>
                <w:sz w:val="24"/>
              </w:rPr>
              <w:t>视频监控</w:t>
            </w:r>
          </w:p>
        </w:tc>
        <w:tc>
          <w:tcPr>
            <w:tcW w:type="dxa" w:w="4422"/>
          </w:tcPr>
          <w:p>
            <w:pPr>
              <w:spacing w:before="0" w:after="0" w:line="480" w:lineRule="exact"/>
              <w:jc w:val="left"/>
            </w:pPr>
            <w:r/>
            <w:r>
              <w:rPr>
                <w:rFonts w:ascii="Times New Roman" w:hAnsi="Times New Roman" w:eastAsia="方正仿宋_GBK"/>
                <w:b w:val="0"/>
                <w:sz w:val="24"/>
              </w:rPr>
              <w:t>摄像机在线率（151路）</w:t>
            </w:r>
          </w:p>
        </w:tc>
      </w:tr>
      <w:tr>
        <w:tc>
          <w:tcPr>
            <w:tcW w:type="dxa" w:w="4422"/>
          </w:tcPr>
          <w:p>
            <w:pPr>
              <w:spacing w:before="0" w:after="0" w:line="480" w:lineRule="exact"/>
              <w:jc w:val="left"/>
            </w:pPr>
            <w:r/>
            <w:r>
              <w:rPr>
                <w:rFonts w:ascii="Times New Roman" w:hAnsi="Times New Roman" w:eastAsia="方正仿宋_GBK"/>
                <w:b w:val="0"/>
                <w:sz w:val="24"/>
              </w:rPr>
              <w:t>门禁系统</w:t>
            </w:r>
          </w:p>
        </w:tc>
        <w:tc>
          <w:tcPr>
            <w:tcW w:type="dxa" w:w="4422"/>
          </w:tcPr>
          <w:p>
            <w:pPr>
              <w:spacing w:before="0" w:after="0" w:line="480" w:lineRule="exact"/>
              <w:jc w:val="left"/>
            </w:pPr>
            <w:r/>
            <w:r>
              <w:rPr>
                <w:rFonts w:ascii="Times New Roman" w:hAnsi="Times New Roman" w:eastAsia="方正仿宋_GBK"/>
                <w:b w:val="0"/>
                <w:sz w:val="24"/>
              </w:rPr>
              <w:t>门禁控制器及读卡器联网状态</w:t>
            </w:r>
          </w:p>
        </w:tc>
      </w:tr>
      <w:tr>
        <w:tc>
          <w:tcPr>
            <w:tcW w:type="dxa" w:w="4422"/>
          </w:tcPr>
          <w:p>
            <w:pPr>
              <w:spacing w:before="0" w:after="0" w:line="480" w:lineRule="exact"/>
              <w:jc w:val="left"/>
            </w:pPr>
            <w:r/>
            <w:r>
              <w:rPr>
                <w:rFonts w:ascii="Times New Roman" w:hAnsi="Times New Roman" w:eastAsia="方正仿宋_GBK"/>
                <w:b w:val="0"/>
                <w:sz w:val="24"/>
              </w:rPr>
              <w:t>数据库</w:t>
            </w:r>
          </w:p>
        </w:tc>
        <w:tc>
          <w:tcPr>
            <w:tcW w:type="dxa" w:w="4422"/>
          </w:tcPr>
          <w:p>
            <w:pPr>
              <w:spacing w:before="0" w:after="0" w:line="480" w:lineRule="exact"/>
              <w:jc w:val="left"/>
            </w:pPr>
            <w:r/>
            <w:r>
              <w:rPr>
                <w:rFonts w:ascii="Times New Roman" w:hAnsi="Times New Roman" w:eastAsia="方正仿宋_GBK"/>
                <w:b w:val="0"/>
                <w:sz w:val="24"/>
              </w:rPr>
              <w:t>运行状态与表空间使用率</w:t>
            </w:r>
          </w:p>
        </w:tc>
      </w:tr>
      <w:tr>
        <w:tc>
          <w:tcPr>
            <w:tcW w:type="dxa" w:w="4422"/>
          </w:tcPr>
          <w:p>
            <w:pPr>
              <w:spacing w:before="0" w:after="0" w:line="480" w:lineRule="exact"/>
              <w:jc w:val="left"/>
            </w:pPr>
            <w:r/>
            <w:r>
              <w:rPr>
                <w:rFonts w:ascii="Times New Roman" w:hAnsi="Times New Roman" w:eastAsia="方正仿宋_GBK"/>
                <w:b w:val="0"/>
                <w:sz w:val="24"/>
              </w:rPr>
              <w:t>云平台</w:t>
            </w:r>
          </w:p>
        </w:tc>
        <w:tc>
          <w:tcPr>
            <w:tcW w:type="dxa" w:w="4422"/>
          </w:tcPr>
          <w:p>
            <w:pPr>
              <w:spacing w:before="0" w:after="0" w:line="480" w:lineRule="exact"/>
              <w:jc w:val="left"/>
            </w:pPr>
            <w:r/>
            <w:r>
              <w:rPr>
                <w:rFonts w:ascii="Times New Roman" w:hAnsi="Times New Roman" w:eastAsia="方正仿宋_GBK"/>
                <w:b w:val="0"/>
                <w:sz w:val="24"/>
              </w:rPr>
              <w:t>市局云平台接入状态及空间占用</w:t>
            </w:r>
          </w:p>
        </w:tc>
      </w:tr>
    </w:tbl>
    <w:p>
      <w:pPr>
        <w:spacing w:before="120" w:after="0" w:line="200" w:lineRule="exact"/>
      </w:pPr>
    </w:p>
    <w:p>
      <w:pPr>
        <w:spacing w:before="0" w:after="0" w:line="560" w:lineRule="exact"/>
        <w:ind w:firstLine="420"/>
      </w:pPr>
      <w:r>
        <w:rPr>
          <w:rFonts w:ascii="Times New Roman" w:hAnsi="Times New Roman" w:eastAsia="方正黑体_GBK"/>
          <w:b/>
          <w:sz w:val="28"/>
        </w:rPr>
        <w:t>值班记录与交接</w:t>
      </w:r>
    </w:p>
    <w:p>
      <w:pPr>
        <w:spacing w:before="0" w:after="0" w:line="560" w:lineRule="exact"/>
        <w:ind w:firstLine="420"/>
      </w:pPr>
      <w:r>
        <w:rPr>
          <w:rFonts w:ascii="Times New Roman" w:hAnsi="Times New Roman" w:eastAsia="方正仿宋_GBK"/>
          <w:b w:val="0"/>
          <w:sz w:val="28"/>
        </w:rPr>
        <w:t>值班日志须完整记录：值班时间、系统状态、处理事项、未决问题及交接说明，确保运维工作连续性，避免处理断链。</w:t>
      </w:r>
    </w:p>
    <w:p>
      <w:pPr>
        <w:spacing w:before="160" w:after="80" w:line="560" w:lineRule="exact"/>
        <w:jc w:val="left"/>
      </w:pPr>
      <w:r>
        <w:rPr>
          <w:rFonts w:ascii="Times New Roman" w:hAnsi="Times New Roman" w:eastAsia="方正黑体_GBK"/>
          <w:b w:val="0"/>
          <w:sz w:val="28"/>
        </w:rPr>
        <w:t>2.1.3 值班保障承诺</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合同签订后提供完整值班人员名单及联系方式</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人员变更提前5个工作日告知采购人，并完成不少于2周的交接</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重大专项行动现场保障承诺全期在位</w:t>
      </w:r>
    </w:p>
    <w:p>
      <w:pPr>
        <w:spacing w:before="240" w:after="120" w:line="560" w:lineRule="exact"/>
        <w:jc w:val="left"/>
      </w:pPr>
      <w:r>
        <w:rPr>
          <w:rFonts w:ascii="Times New Roman" w:hAnsi="Times New Roman" w:eastAsia="方正楷体_GBK"/>
          <w:b/>
          <w:sz w:val="28"/>
        </w:rPr>
        <w:t>2.2 日常巡检方案</w:t>
      </w:r>
    </w:p>
    <w:p>
      <w:pPr>
        <w:spacing w:before="160" w:after="80" w:line="560" w:lineRule="exact"/>
        <w:jc w:val="left"/>
      </w:pPr>
      <w:r>
        <w:rPr>
          <w:rFonts w:ascii="Times New Roman" w:hAnsi="Times New Roman" w:eastAsia="方正黑体_GBK"/>
          <w:b w:val="0"/>
          <w:sz w:val="28"/>
        </w:rPr>
        <w:t>2.2.1 巡检安排</w:t>
      </w:r>
    </w:p>
    <w:p>
      <w:pPr>
        <w:spacing w:before="0" w:after="0" w:line="560" w:lineRule="exact"/>
        <w:ind w:firstLine="420"/>
      </w:pPr>
      <w:r>
        <w:rPr>
          <w:rFonts w:ascii="Times New Roman" w:hAnsi="Times New Roman" w:eastAsia="方正仿宋_GBK"/>
          <w:b w:val="0"/>
          <w:sz w:val="28"/>
        </w:rPr>
        <w:t>按照招标文件要求，我方承诺每周定期到用户现场进行一次常规巡检，全年不少于52次。巡检时间与采购人协商确定，以不影响正常业务运行为原则。合同签订后1个工作日内提交全年巡检计划，并随实际情况动态调整。</w:t>
      </w:r>
    </w:p>
    <w:p>
      <w:pPr>
        <w:spacing w:before="160" w:after="80" w:line="560" w:lineRule="exact"/>
        <w:jc w:val="left"/>
      </w:pPr>
      <w:r>
        <w:rPr>
          <w:rFonts w:ascii="Times New Roman" w:hAnsi="Times New Roman" w:eastAsia="方正黑体_GBK"/>
          <w:b w:val="0"/>
          <w:sz w:val="28"/>
        </w:rPr>
        <w:t>2.2.2 巡检内容</w:t>
      </w:r>
    </w:p>
    <w:p>
      <w:pPr>
        <w:spacing w:before="0" w:after="0" w:line="560" w:lineRule="exact"/>
        <w:ind w:firstLine="420"/>
      </w:pPr>
      <w:r>
        <w:rPr>
          <w:rFonts w:ascii="Times New Roman" w:hAnsi="Times New Roman" w:eastAsia="方正黑体_GBK"/>
          <w:b/>
          <w:sz w:val="28"/>
        </w:rPr>
        <w:t>应用软件与中间件</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检查对象</w:t>
            </w:r>
          </w:p>
        </w:tc>
        <w:tc>
          <w:tcPr>
            <w:tcW w:type="dxa" w:w="2948"/>
            <w:shd w:fill="D9E2F3"/>
          </w:tcPr>
          <w:p>
            <w:pPr>
              <w:spacing w:before="0" w:after="0" w:line="480" w:lineRule="exact"/>
              <w:jc w:val="center"/>
            </w:pPr>
            <w:r/>
            <w:r>
              <w:rPr>
                <w:rFonts w:ascii="Times New Roman" w:hAnsi="Times New Roman" w:eastAsia="方正黑体_GBK"/>
                <w:b/>
                <w:sz w:val="24"/>
              </w:rPr>
              <w:t>检查内容</w:t>
            </w:r>
          </w:p>
        </w:tc>
        <w:tc>
          <w:tcPr>
            <w:tcW w:type="dxa" w:w="2948"/>
            <w:shd w:fill="D9E2F3"/>
          </w:tcPr>
          <w:p>
            <w:pPr>
              <w:spacing w:before="0" w:after="0" w:line="480" w:lineRule="exact"/>
              <w:jc w:val="center"/>
            </w:pPr>
            <w:r/>
            <w:r>
              <w:rPr>
                <w:rFonts w:ascii="Times New Roman" w:hAnsi="Times New Roman" w:eastAsia="方正黑体_GBK"/>
                <w:b/>
                <w:sz w:val="24"/>
              </w:rPr>
              <w:t>处理要求</w:t>
            </w:r>
          </w:p>
        </w:tc>
      </w:tr>
      <w:tr>
        <w:tc>
          <w:tcPr>
            <w:tcW w:type="dxa" w:w="2948"/>
          </w:tcPr>
          <w:p>
            <w:pPr>
              <w:spacing w:before="0" w:after="0" w:line="480" w:lineRule="exact"/>
              <w:jc w:val="left"/>
            </w:pPr>
            <w:r/>
            <w:r>
              <w:rPr>
                <w:rFonts w:ascii="Times New Roman" w:hAnsi="Times New Roman" w:eastAsia="方正仿宋_GBK"/>
                <w:b w:val="0"/>
                <w:sz w:val="24"/>
              </w:rPr>
              <w:t>应用程序</w:t>
            </w:r>
          </w:p>
        </w:tc>
        <w:tc>
          <w:tcPr>
            <w:tcW w:type="dxa" w:w="2948"/>
          </w:tcPr>
          <w:p>
            <w:pPr>
              <w:spacing w:before="0" w:after="0" w:line="480" w:lineRule="exact"/>
              <w:jc w:val="left"/>
            </w:pPr>
            <w:r/>
            <w:r>
              <w:rPr>
                <w:rFonts w:ascii="Times New Roman" w:hAnsi="Times New Roman" w:eastAsia="方正仿宋_GBK"/>
                <w:b w:val="0"/>
                <w:sz w:val="24"/>
              </w:rPr>
              <w:t>检查程序错误日志，识别并清除系统运行故障和错误</w:t>
            </w:r>
          </w:p>
        </w:tc>
        <w:tc>
          <w:tcPr>
            <w:tcW w:type="dxa" w:w="2948"/>
          </w:tcPr>
          <w:p>
            <w:pPr>
              <w:spacing w:before="0" w:after="0" w:line="480" w:lineRule="exact"/>
              <w:jc w:val="left"/>
            </w:pPr>
            <w:r/>
            <w:r>
              <w:rPr>
                <w:rFonts w:ascii="Times New Roman" w:hAnsi="Times New Roman" w:eastAsia="方正仿宋_GBK"/>
                <w:b w:val="0"/>
                <w:sz w:val="24"/>
              </w:rPr>
              <w:t>记录日志，现场处理或工单跟踪，提供检查方法</w:t>
            </w:r>
          </w:p>
        </w:tc>
      </w:tr>
      <w:tr>
        <w:tc>
          <w:tcPr>
            <w:tcW w:type="dxa" w:w="2948"/>
          </w:tcPr>
          <w:p>
            <w:pPr>
              <w:spacing w:before="0" w:after="0" w:line="480" w:lineRule="exact"/>
              <w:jc w:val="left"/>
            </w:pPr>
            <w:r/>
            <w:r>
              <w:rPr>
                <w:rFonts w:ascii="Times New Roman" w:hAnsi="Times New Roman" w:eastAsia="方正仿宋_GBK"/>
                <w:b w:val="0"/>
                <w:sz w:val="24"/>
              </w:rPr>
              <w:t>应用中间件</w:t>
            </w:r>
          </w:p>
        </w:tc>
        <w:tc>
          <w:tcPr>
            <w:tcW w:type="dxa" w:w="2948"/>
          </w:tcPr>
          <w:p>
            <w:pPr>
              <w:spacing w:before="0" w:after="0" w:line="480" w:lineRule="exact"/>
              <w:jc w:val="left"/>
            </w:pPr>
            <w:r/>
            <w:r>
              <w:rPr>
                <w:rFonts w:ascii="Times New Roman" w:hAnsi="Times New Roman" w:eastAsia="方正仿宋_GBK"/>
                <w:b w:val="0"/>
                <w:sz w:val="24"/>
              </w:rPr>
              <w:t>检查应用软件中间件运行情况</w:t>
            </w:r>
          </w:p>
        </w:tc>
        <w:tc>
          <w:tcPr>
            <w:tcW w:type="dxa" w:w="2948"/>
          </w:tcPr>
          <w:p>
            <w:pPr>
              <w:spacing w:before="0" w:after="0" w:line="480" w:lineRule="exact"/>
              <w:jc w:val="left"/>
            </w:pPr>
            <w:r/>
            <w:r>
              <w:rPr>
                <w:rFonts w:ascii="Times New Roman" w:hAnsi="Times New Roman" w:eastAsia="方正仿宋_GBK"/>
                <w:b w:val="0"/>
                <w:sz w:val="24"/>
              </w:rPr>
              <w:t>及时优化并处理中间件故障</w:t>
            </w:r>
          </w:p>
        </w:tc>
      </w:tr>
      <w:tr>
        <w:tc>
          <w:tcPr>
            <w:tcW w:type="dxa" w:w="2948"/>
          </w:tcPr>
          <w:p>
            <w:pPr>
              <w:spacing w:before="0" w:after="0" w:line="480" w:lineRule="exact"/>
              <w:jc w:val="left"/>
            </w:pPr>
            <w:r/>
            <w:r>
              <w:rPr>
                <w:rFonts w:ascii="Times New Roman" w:hAnsi="Times New Roman" w:eastAsia="方正仿宋_GBK"/>
                <w:b w:val="0"/>
                <w:sz w:val="24"/>
              </w:rPr>
              <w:t>市局云平台</w:t>
            </w:r>
          </w:p>
        </w:tc>
        <w:tc>
          <w:tcPr>
            <w:tcW w:type="dxa" w:w="2948"/>
          </w:tcPr>
          <w:p>
            <w:pPr>
              <w:spacing w:before="0" w:after="0" w:line="480" w:lineRule="exact"/>
              <w:jc w:val="left"/>
            </w:pPr>
            <w:r/>
            <w:r>
              <w:rPr>
                <w:rFonts w:ascii="Times New Roman" w:hAnsi="Times New Roman" w:eastAsia="方正仿宋_GBK"/>
                <w:b w:val="0"/>
                <w:sz w:val="24"/>
              </w:rPr>
              <w:t>巡检运行状态及空间情况</w:t>
            </w:r>
          </w:p>
        </w:tc>
        <w:tc>
          <w:tcPr>
            <w:tcW w:type="dxa" w:w="2948"/>
          </w:tcPr>
          <w:p>
            <w:pPr>
              <w:spacing w:before="0" w:after="0" w:line="480" w:lineRule="exact"/>
              <w:jc w:val="left"/>
            </w:pPr>
            <w:r/>
            <w:r>
              <w:rPr>
                <w:rFonts w:ascii="Times New Roman" w:hAnsi="Times New Roman" w:eastAsia="方正仿宋_GBK"/>
                <w:b w:val="0"/>
                <w:sz w:val="24"/>
              </w:rPr>
              <w:t>提供检查方案，发现异常及时上报</w:t>
            </w:r>
          </w:p>
        </w:tc>
      </w:tr>
    </w:tbl>
    <w:p>
      <w:pPr>
        <w:spacing w:before="120" w:after="0" w:line="200" w:lineRule="exact"/>
      </w:pPr>
    </w:p>
    <w:p>
      <w:pPr>
        <w:spacing w:before="0" w:after="0" w:line="560" w:lineRule="exact"/>
        <w:ind w:firstLine="420"/>
      </w:pPr>
      <w:r>
        <w:rPr>
          <w:rFonts w:ascii="Times New Roman" w:hAnsi="Times New Roman" w:eastAsia="方正黑体_GBK"/>
          <w:b/>
          <w:sz w:val="28"/>
        </w:rPr>
        <w:t>数据库</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检查项</w:t>
            </w:r>
          </w:p>
        </w:tc>
        <w:tc>
          <w:tcPr>
            <w:tcW w:type="dxa" w:w="2948"/>
            <w:shd w:fill="D9E2F3"/>
          </w:tcPr>
          <w:p>
            <w:pPr>
              <w:spacing w:before="0" w:after="0" w:line="480" w:lineRule="exact"/>
              <w:jc w:val="center"/>
            </w:pPr>
            <w:r/>
            <w:r>
              <w:rPr>
                <w:rFonts w:ascii="Times New Roman" w:hAnsi="Times New Roman" w:eastAsia="方正黑体_GBK"/>
                <w:b/>
                <w:sz w:val="24"/>
              </w:rPr>
              <w:t>检查内容</w:t>
            </w:r>
          </w:p>
        </w:tc>
        <w:tc>
          <w:tcPr>
            <w:tcW w:type="dxa" w:w="2948"/>
            <w:shd w:fill="D9E2F3"/>
          </w:tcPr>
          <w:p>
            <w:pPr>
              <w:spacing w:before="0" w:after="0" w:line="480" w:lineRule="exact"/>
              <w:jc w:val="center"/>
            </w:pPr>
            <w:r/>
            <w:r>
              <w:rPr>
                <w:rFonts w:ascii="Times New Roman" w:hAnsi="Times New Roman" w:eastAsia="方正黑体_GBK"/>
                <w:b/>
                <w:sz w:val="24"/>
              </w:rPr>
              <w:t>处理要求</w:t>
            </w:r>
          </w:p>
        </w:tc>
      </w:tr>
      <w:tr>
        <w:tc>
          <w:tcPr>
            <w:tcW w:type="dxa" w:w="2948"/>
          </w:tcPr>
          <w:p>
            <w:pPr>
              <w:spacing w:before="0" w:after="0" w:line="480" w:lineRule="exact"/>
              <w:jc w:val="left"/>
            </w:pPr>
            <w:r/>
            <w:r>
              <w:rPr>
                <w:rFonts w:ascii="Times New Roman" w:hAnsi="Times New Roman" w:eastAsia="方正仿宋_GBK"/>
                <w:b w:val="0"/>
                <w:sz w:val="24"/>
              </w:rPr>
              <w:t>运行状态</w:t>
            </w:r>
          </w:p>
        </w:tc>
        <w:tc>
          <w:tcPr>
            <w:tcW w:type="dxa" w:w="2948"/>
          </w:tcPr>
          <w:p>
            <w:pPr>
              <w:spacing w:before="0" w:after="0" w:line="480" w:lineRule="exact"/>
              <w:jc w:val="left"/>
            </w:pPr>
            <w:r/>
            <w:r>
              <w:rPr>
                <w:rFonts w:ascii="Times New Roman" w:hAnsi="Times New Roman" w:eastAsia="方正仿宋_GBK"/>
                <w:b w:val="0"/>
                <w:sz w:val="24"/>
              </w:rPr>
              <w:t>检查数据库运行情况，识别数据库故障</w:t>
            </w:r>
          </w:p>
        </w:tc>
        <w:tc>
          <w:tcPr>
            <w:tcW w:type="dxa" w:w="2948"/>
          </w:tcPr>
          <w:p>
            <w:pPr>
              <w:spacing w:before="0" w:after="0" w:line="480" w:lineRule="exact"/>
              <w:jc w:val="left"/>
            </w:pPr>
            <w:r/>
            <w:r>
              <w:rPr>
                <w:rFonts w:ascii="Times New Roman" w:hAnsi="Times New Roman" w:eastAsia="方正仿宋_GBK"/>
                <w:b w:val="0"/>
                <w:sz w:val="24"/>
              </w:rPr>
              <w:t>及时处理数据库故障，及时扩充数据库表空间</w:t>
            </w:r>
          </w:p>
        </w:tc>
      </w:tr>
      <w:tr>
        <w:tc>
          <w:tcPr>
            <w:tcW w:type="dxa" w:w="2948"/>
          </w:tcPr>
          <w:p>
            <w:pPr>
              <w:spacing w:before="0" w:after="0" w:line="480" w:lineRule="exact"/>
              <w:jc w:val="left"/>
            </w:pPr>
            <w:r/>
            <w:r>
              <w:rPr>
                <w:rFonts w:ascii="Times New Roman" w:hAnsi="Times New Roman" w:eastAsia="方正仿宋_GBK"/>
                <w:b w:val="0"/>
                <w:sz w:val="24"/>
              </w:rPr>
              <w:t>性能优化</w:t>
            </w:r>
          </w:p>
        </w:tc>
        <w:tc>
          <w:tcPr>
            <w:tcW w:type="dxa" w:w="2948"/>
          </w:tcPr>
          <w:p>
            <w:pPr>
              <w:spacing w:before="0" w:after="0" w:line="480" w:lineRule="exact"/>
              <w:jc w:val="left"/>
            </w:pPr>
            <w:r/>
            <w:r>
              <w:rPr>
                <w:rFonts w:ascii="Times New Roman" w:hAnsi="Times New Roman" w:eastAsia="方正仿宋_GBK"/>
                <w:b w:val="0"/>
                <w:sz w:val="24"/>
              </w:rPr>
              <w:t>对数据库进行优化，提高运行效率</w:t>
            </w:r>
          </w:p>
        </w:tc>
        <w:tc>
          <w:tcPr>
            <w:tcW w:type="dxa" w:w="2948"/>
          </w:tcPr>
          <w:p>
            <w:pPr>
              <w:spacing w:before="0" w:after="0" w:line="480" w:lineRule="exact"/>
              <w:jc w:val="left"/>
            </w:pPr>
            <w:r/>
            <w:r>
              <w:rPr>
                <w:rFonts w:ascii="Times New Roman" w:hAnsi="Times New Roman" w:eastAsia="方正仿宋_GBK"/>
                <w:b w:val="0"/>
                <w:sz w:val="24"/>
              </w:rPr>
              <w:t>出具数据库优化方案，包括数据库选型、表结构、数据存储形式</w:t>
            </w:r>
          </w:p>
        </w:tc>
      </w:tr>
    </w:tbl>
    <w:p>
      <w:pPr>
        <w:spacing w:before="120" w:after="0" w:line="200" w:lineRule="exact"/>
      </w:pPr>
    </w:p>
    <w:p>
      <w:pPr>
        <w:spacing w:before="0" w:after="0" w:line="560" w:lineRule="exact"/>
        <w:ind w:firstLine="420"/>
      </w:pPr>
      <w:r>
        <w:rPr>
          <w:rFonts w:ascii="Times New Roman" w:hAnsi="Times New Roman" w:eastAsia="方正黑体_GBK"/>
          <w:b/>
          <w:sz w:val="28"/>
        </w:rPr>
        <w:t>硬件设备</w:t>
      </w:r>
    </w:p>
    <w:p>
      <w:pPr>
        <w:spacing w:before="0" w:after="0" w:line="560" w:lineRule="exact"/>
        <w:ind w:firstLine="420"/>
      </w:pPr>
      <w:r>
        <w:rPr>
          <w:rFonts w:ascii="Times New Roman" w:hAnsi="Times New Roman" w:eastAsia="方正仿宋_GBK"/>
          <w:b w:val="0"/>
          <w:sz w:val="28"/>
        </w:rPr>
        <w:t>对系统名下所有电子化信息设备进行巡查维护，重点检查：视频监控摄像机在线状态（151路全覆盖）、图像拼接处理器及矩阵工作状态、门禁控制器及键盘读卡器联网状态、RFID读写器工作状态、定位基站及定位器状态、存储服务器及磁盘阵列健康状态、监控硬盘状态及剩余空间。</w:t>
      </w:r>
    </w:p>
    <w:p>
      <w:pPr>
        <w:spacing w:before="160" w:after="80" w:line="560" w:lineRule="exact"/>
        <w:jc w:val="left"/>
      </w:pPr>
      <w:r>
        <w:rPr>
          <w:rFonts w:ascii="Times New Roman" w:hAnsi="Times New Roman" w:eastAsia="方正黑体_GBK"/>
          <w:b w:val="0"/>
          <w:sz w:val="28"/>
        </w:rPr>
        <w:t>2.2.3 巡检输出</w:t>
      </w:r>
    </w:p>
    <w:p>
      <w:pPr>
        <w:spacing w:before="0" w:after="0" w:line="560" w:lineRule="exact"/>
        <w:ind w:firstLine="420"/>
      </w:pPr>
      <w:r>
        <w:rPr>
          <w:rFonts w:ascii="Times New Roman" w:hAnsi="Times New Roman" w:eastAsia="方正仿宋_GBK"/>
          <w:b w:val="0"/>
          <w:sz w:val="28"/>
        </w:rPr>
        <w:t>每次巡检后提供书面巡检报告，内容包括：巡检日期、检查对象、检查结果、发现问题、处理情况及待跟进事项。巡检报告在完成后2个工作日内提交采购人确认。</w:t>
      </w:r>
    </w:p>
    <w:p>
      <w:pPr>
        <w:spacing w:before="240" w:after="120" w:line="560" w:lineRule="exact"/>
        <w:jc w:val="left"/>
      </w:pPr>
      <w:r>
        <w:rPr>
          <w:rFonts w:ascii="Times New Roman" w:hAnsi="Times New Roman" w:eastAsia="方正楷体_GBK"/>
          <w:b/>
          <w:sz w:val="28"/>
        </w:rPr>
        <w:t>2.3 故障排除服务方案</w:t>
      </w:r>
    </w:p>
    <w:p>
      <w:pPr>
        <w:spacing w:before="160" w:after="80" w:line="560" w:lineRule="exact"/>
        <w:jc w:val="left"/>
      </w:pPr>
      <w:r>
        <w:rPr>
          <w:rFonts w:ascii="Times New Roman" w:hAnsi="Times New Roman" w:eastAsia="方正黑体_GBK"/>
          <w:b w:val="0"/>
          <w:sz w:val="28"/>
        </w:rPr>
        <w:t>2.3.1 故障响应时效</w:t>
      </w:r>
    </w:p>
    <w:tbl>
      <w:tblPr>
        <w:tblStyle w:val="TableGrid"/>
        <w:tblW w:type="auto" w:w="0"/>
        <w:jc w:val="center"/>
        <w:tblLook w:firstColumn="1" w:firstRow="1" w:lastColumn="0" w:lastRow="0" w:noHBand="0" w:noVBand="1" w:val="04A0"/>
      </w:tblPr>
      <w:tblGrid>
        <w:gridCol w:w="4422"/>
        <w:gridCol w:w="4422"/>
      </w:tblGrid>
      <w:tr>
        <w:tc>
          <w:tcPr>
            <w:tcW w:type="dxa" w:w="4422"/>
            <w:shd w:fill="D9E2F3"/>
          </w:tcPr>
          <w:p>
            <w:pPr>
              <w:spacing w:before="0" w:after="0" w:line="480" w:lineRule="exact"/>
              <w:jc w:val="center"/>
            </w:pPr>
            <w:r/>
            <w:r>
              <w:rPr>
                <w:rFonts w:ascii="Times New Roman" w:hAnsi="Times New Roman" w:eastAsia="方正黑体_GBK"/>
                <w:b/>
                <w:sz w:val="24"/>
              </w:rPr>
              <w:t>场景</w:t>
            </w:r>
          </w:p>
        </w:tc>
        <w:tc>
          <w:tcPr>
            <w:tcW w:type="dxa" w:w="4422"/>
            <w:shd w:fill="D9E2F3"/>
          </w:tcPr>
          <w:p>
            <w:pPr>
              <w:spacing w:before="0" w:after="0" w:line="480" w:lineRule="exact"/>
              <w:jc w:val="center"/>
            </w:pPr>
            <w:r/>
            <w:r>
              <w:rPr>
                <w:rFonts w:ascii="Times New Roman" w:hAnsi="Times New Roman" w:eastAsia="方正黑体_GBK"/>
                <w:b/>
                <w:sz w:val="24"/>
              </w:rPr>
              <w:t>承诺时效</w:t>
            </w:r>
          </w:p>
        </w:tc>
      </w:tr>
      <w:tr>
        <w:tc>
          <w:tcPr>
            <w:tcW w:type="dxa" w:w="4422"/>
          </w:tcPr>
          <w:p>
            <w:pPr>
              <w:spacing w:before="0" w:after="0" w:line="480" w:lineRule="exact"/>
              <w:jc w:val="left"/>
            </w:pPr>
            <w:r/>
            <w:r>
              <w:rPr>
                <w:rFonts w:ascii="Times New Roman" w:hAnsi="Times New Roman" w:eastAsia="方正仿宋_GBK"/>
                <w:b w:val="0"/>
                <w:sz w:val="24"/>
              </w:rPr>
              <w:t>接报后初步反馈</w:t>
            </w:r>
          </w:p>
        </w:tc>
        <w:tc>
          <w:tcPr>
            <w:tcW w:type="dxa" w:w="4422"/>
          </w:tcPr>
          <w:p>
            <w:pPr>
              <w:spacing w:before="0" w:after="0" w:line="480" w:lineRule="exact"/>
              <w:jc w:val="left"/>
            </w:pPr>
            <w:r/>
            <w:r>
              <w:rPr>
                <w:rFonts w:ascii="Times New Roman" w:hAnsi="Times New Roman" w:eastAsia="方正仿宋_GBK"/>
                <w:b w:val="0"/>
                <w:sz w:val="24"/>
              </w:rPr>
              <w:t>30分钟内反馈初步判断</w:t>
            </w:r>
          </w:p>
        </w:tc>
      </w:tr>
      <w:tr>
        <w:tc>
          <w:tcPr>
            <w:tcW w:type="dxa" w:w="4422"/>
          </w:tcPr>
          <w:p>
            <w:pPr>
              <w:spacing w:before="0" w:after="0" w:line="480" w:lineRule="exact"/>
              <w:jc w:val="left"/>
            </w:pPr>
            <w:r/>
            <w:r>
              <w:rPr>
                <w:rFonts w:ascii="Times New Roman" w:hAnsi="Times New Roman" w:eastAsia="方正仿宋_GBK"/>
                <w:b w:val="0"/>
                <w:sz w:val="24"/>
              </w:rPr>
              <w:t>远程无法解决时到场</w:t>
            </w:r>
          </w:p>
        </w:tc>
        <w:tc>
          <w:tcPr>
            <w:tcW w:type="dxa" w:w="4422"/>
          </w:tcPr>
          <w:p>
            <w:pPr>
              <w:spacing w:before="0" w:after="0" w:line="480" w:lineRule="exact"/>
              <w:jc w:val="left"/>
            </w:pPr>
            <w:r/>
            <w:r>
              <w:rPr>
                <w:rFonts w:ascii="Times New Roman" w:hAnsi="Times New Roman" w:eastAsia="方正仿宋_GBK"/>
                <w:b w:val="0"/>
                <w:sz w:val="24"/>
              </w:rPr>
              <w:t>2.5小时内安排资深人员到达现场</w:t>
            </w:r>
          </w:p>
        </w:tc>
      </w:tr>
      <w:tr>
        <w:tc>
          <w:tcPr>
            <w:tcW w:type="dxa" w:w="4422"/>
          </w:tcPr>
          <w:p>
            <w:pPr>
              <w:spacing w:before="0" w:after="0" w:line="480" w:lineRule="exact"/>
              <w:jc w:val="left"/>
            </w:pPr>
            <w:r/>
            <w:r>
              <w:rPr>
                <w:rFonts w:ascii="Times New Roman" w:hAnsi="Times New Roman" w:eastAsia="方正仿宋_GBK"/>
                <w:b w:val="0"/>
                <w:sz w:val="24"/>
              </w:rPr>
              <w:t>到场后故障修复</w:t>
            </w:r>
          </w:p>
        </w:tc>
        <w:tc>
          <w:tcPr>
            <w:tcW w:type="dxa" w:w="4422"/>
          </w:tcPr>
          <w:p>
            <w:pPr>
              <w:spacing w:before="0" w:after="0" w:line="480" w:lineRule="exact"/>
              <w:jc w:val="left"/>
            </w:pPr>
            <w:r/>
            <w:r>
              <w:rPr>
                <w:rFonts w:ascii="Times New Roman" w:hAnsi="Times New Roman" w:eastAsia="方正仿宋_GBK"/>
                <w:b w:val="0"/>
                <w:sz w:val="24"/>
              </w:rPr>
              <w:t>5小时内完成修复</w:t>
            </w:r>
          </w:p>
        </w:tc>
      </w:tr>
      <w:tr>
        <w:tc>
          <w:tcPr>
            <w:tcW w:type="dxa" w:w="4422"/>
          </w:tcPr>
          <w:p>
            <w:pPr>
              <w:spacing w:before="0" w:after="0" w:line="480" w:lineRule="exact"/>
              <w:jc w:val="left"/>
            </w:pPr>
            <w:r/>
            <w:r>
              <w:rPr>
                <w:rFonts w:ascii="Times New Roman" w:hAnsi="Times New Roman" w:eastAsia="方正仿宋_GBK"/>
                <w:b w:val="0"/>
                <w:sz w:val="24"/>
              </w:rPr>
              <w:t>硬件故障</w:t>
            </w:r>
          </w:p>
        </w:tc>
        <w:tc>
          <w:tcPr>
            <w:tcW w:type="dxa" w:w="4422"/>
          </w:tcPr>
          <w:p>
            <w:pPr>
              <w:spacing w:before="0" w:after="0" w:line="480" w:lineRule="exact"/>
              <w:jc w:val="left"/>
            </w:pPr>
            <w:r/>
            <w:r>
              <w:rPr>
                <w:rFonts w:ascii="Times New Roman" w:hAnsi="Times New Roman" w:eastAsia="方正仿宋_GBK"/>
                <w:b w:val="0"/>
                <w:sz w:val="24"/>
              </w:rPr>
              <w:t>确认故障后立即更换故障硬件</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上述时效承诺与招标文件要求完全一致，无负偏离。</w:t>
      </w:r>
    </w:p>
    <w:p>
      <w:pPr>
        <w:spacing w:before="160" w:after="80" w:line="560" w:lineRule="exact"/>
        <w:jc w:val="left"/>
      </w:pPr>
      <w:r>
        <w:rPr>
          <w:rFonts w:ascii="Times New Roman" w:hAnsi="Times New Roman" w:eastAsia="方正黑体_GBK"/>
          <w:b w:val="0"/>
          <w:sz w:val="28"/>
        </w:rPr>
        <w:t>2.3.2 故障分级处理</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故障级别</w:t>
            </w:r>
          </w:p>
        </w:tc>
        <w:tc>
          <w:tcPr>
            <w:tcW w:type="dxa" w:w="2948"/>
            <w:shd w:fill="D9E2F3"/>
          </w:tcPr>
          <w:p>
            <w:pPr>
              <w:spacing w:before="0" w:after="0" w:line="480" w:lineRule="exact"/>
              <w:jc w:val="center"/>
            </w:pPr>
            <w:r/>
            <w:r>
              <w:rPr>
                <w:rFonts w:ascii="Times New Roman" w:hAnsi="Times New Roman" w:eastAsia="方正黑体_GBK"/>
                <w:b/>
                <w:sz w:val="24"/>
              </w:rPr>
              <w:t>判定标准</w:t>
            </w:r>
          </w:p>
        </w:tc>
        <w:tc>
          <w:tcPr>
            <w:tcW w:type="dxa" w:w="2948"/>
            <w:shd w:fill="D9E2F3"/>
          </w:tcPr>
          <w:p>
            <w:pPr>
              <w:spacing w:before="0" w:after="0" w:line="480" w:lineRule="exact"/>
              <w:jc w:val="center"/>
            </w:pPr>
            <w:r/>
            <w:r>
              <w:rPr>
                <w:rFonts w:ascii="Times New Roman" w:hAnsi="Times New Roman" w:eastAsia="方正黑体_GBK"/>
                <w:b/>
                <w:sz w:val="24"/>
              </w:rPr>
              <w:t>处置策略</w:t>
            </w:r>
          </w:p>
        </w:tc>
      </w:tr>
      <w:tr>
        <w:tc>
          <w:tcPr>
            <w:tcW w:type="dxa" w:w="2948"/>
          </w:tcPr>
          <w:p>
            <w:pPr>
              <w:spacing w:before="0" w:after="0" w:line="480" w:lineRule="exact"/>
              <w:jc w:val="left"/>
            </w:pPr>
            <w:r/>
            <w:r>
              <w:rPr>
                <w:rFonts w:ascii="Times New Roman" w:hAnsi="Times New Roman" w:eastAsia="方正仿宋_GBK"/>
                <w:b w:val="0"/>
                <w:sz w:val="24"/>
              </w:rPr>
              <w:t>紧急故障</w:t>
            </w:r>
          </w:p>
        </w:tc>
        <w:tc>
          <w:tcPr>
            <w:tcW w:type="dxa" w:w="2948"/>
          </w:tcPr>
          <w:p>
            <w:pPr>
              <w:spacing w:before="0" w:after="0" w:line="480" w:lineRule="exact"/>
              <w:jc w:val="left"/>
            </w:pPr>
            <w:r/>
            <w:r>
              <w:rPr>
                <w:rFonts w:ascii="Times New Roman" w:hAnsi="Times New Roman" w:eastAsia="方正仿宋_GBK"/>
                <w:b w:val="0"/>
                <w:sz w:val="24"/>
              </w:rPr>
              <w:t>核心功能中断，影响日常执法业务</w:t>
            </w:r>
          </w:p>
        </w:tc>
        <w:tc>
          <w:tcPr>
            <w:tcW w:type="dxa" w:w="2948"/>
          </w:tcPr>
          <w:p>
            <w:pPr>
              <w:spacing w:before="0" w:after="0" w:line="480" w:lineRule="exact"/>
              <w:jc w:val="left"/>
            </w:pPr>
            <w:r/>
            <w:r>
              <w:rPr>
                <w:rFonts w:ascii="Times New Roman" w:hAnsi="Times New Roman" w:eastAsia="方正仿宋_GBK"/>
                <w:b w:val="0"/>
                <w:sz w:val="24"/>
              </w:rPr>
              <w:t>立即电话响应，触发2.5小时到场程序</w:t>
            </w:r>
          </w:p>
        </w:tc>
      </w:tr>
      <w:tr>
        <w:tc>
          <w:tcPr>
            <w:tcW w:type="dxa" w:w="2948"/>
          </w:tcPr>
          <w:p>
            <w:pPr>
              <w:spacing w:before="0" w:after="0" w:line="480" w:lineRule="exact"/>
              <w:jc w:val="left"/>
            </w:pPr>
            <w:r/>
            <w:r>
              <w:rPr>
                <w:rFonts w:ascii="Times New Roman" w:hAnsi="Times New Roman" w:eastAsia="方正仿宋_GBK"/>
                <w:b w:val="0"/>
                <w:sz w:val="24"/>
              </w:rPr>
              <w:t>一般故障</w:t>
            </w:r>
          </w:p>
        </w:tc>
        <w:tc>
          <w:tcPr>
            <w:tcW w:type="dxa" w:w="2948"/>
          </w:tcPr>
          <w:p>
            <w:pPr>
              <w:spacing w:before="0" w:after="0" w:line="480" w:lineRule="exact"/>
              <w:jc w:val="left"/>
            </w:pPr>
            <w:r/>
            <w:r>
              <w:rPr>
                <w:rFonts w:ascii="Times New Roman" w:hAnsi="Times New Roman" w:eastAsia="方正仿宋_GBK"/>
                <w:b w:val="0"/>
                <w:sz w:val="24"/>
              </w:rPr>
              <w:t>功能降级，业务可继续运行</w:t>
            </w:r>
          </w:p>
        </w:tc>
        <w:tc>
          <w:tcPr>
            <w:tcW w:type="dxa" w:w="2948"/>
          </w:tcPr>
          <w:p>
            <w:pPr>
              <w:spacing w:before="0" w:after="0" w:line="480" w:lineRule="exact"/>
              <w:jc w:val="left"/>
            </w:pPr>
            <w:r/>
            <w:r>
              <w:rPr>
                <w:rFonts w:ascii="Times New Roman" w:hAnsi="Times New Roman" w:eastAsia="方正仿宋_GBK"/>
                <w:b w:val="0"/>
                <w:sz w:val="24"/>
              </w:rPr>
              <w:t>当日响应，工单跟踪，当日处理完毕</w:t>
            </w:r>
          </w:p>
        </w:tc>
      </w:tr>
      <w:tr>
        <w:tc>
          <w:tcPr>
            <w:tcW w:type="dxa" w:w="2948"/>
          </w:tcPr>
          <w:p>
            <w:pPr>
              <w:spacing w:before="0" w:after="0" w:line="480" w:lineRule="exact"/>
              <w:jc w:val="left"/>
            </w:pPr>
            <w:r/>
            <w:r>
              <w:rPr>
                <w:rFonts w:ascii="Times New Roman" w:hAnsi="Times New Roman" w:eastAsia="方正仿宋_GBK"/>
                <w:b w:val="0"/>
                <w:sz w:val="24"/>
              </w:rPr>
              <w:t>优化请求</w:t>
            </w:r>
          </w:p>
        </w:tc>
        <w:tc>
          <w:tcPr>
            <w:tcW w:type="dxa" w:w="2948"/>
          </w:tcPr>
          <w:p>
            <w:pPr>
              <w:spacing w:before="0" w:after="0" w:line="480" w:lineRule="exact"/>
              <w:jc w:val="left"/>
            </w:pPr>
            <w:r/>
            <w:r>
              <w:rPr>
                <w:rFonts w:ascii="Times New Roman" w:hAnsi="Times New Roman" w:eastAsia="方正仿宋_GBK"/>
                <w:b w:val="0"/>
                <w:sz w:val="24"/>
              </w:rPr>
              <w:t>性能优化、非紧急功能问题</w:t>
            </w:r>
          </w:p>
        </w:tc>
        <w:tc>
          <w:tcPr>
            <w:tcW w:type="dxa" w:w="2948"/>
          </w:tcPr>
          <w:p>
            <w:pPr>
              <w:spacing w:before="0" w:after="0" w:line="480" w:lineRule="exact"/>
              <w:jc w:val="left"/>
            </w:pPr>
            <w:r/>
            <w:r>
              <w:rPr>
                <w:rFonts w:ascii="Times New Roman" w:hAnsi="Times New Roman" w:eastAsia="方正仿宋_GBK"/>
                <w:b w:val="0"/>
                <w:sz w:val="24"/>
              </w:rPr>
              <w:t>纳入下次巡检处理或计划性维护窗口</w:t>
            </w:r>
          </w:p>
        </w:tc>
      </w:tr>
    </w:tbl>
    <w:p>
      <w:pPr>
        <w:spacing w:before="120" w:after="0" w:line="200" w:lineRule="exact"/>
      </w:pPr>
    </w:p>
    <w:p>
      <w:pPr>
        <w:spacing w:before="160" w:after="80" w:line="560" w:lineRule="exact"/>
        <w:jc w:val="left"/>
      </w:pPr>
      <w:r>
        <w:rPr>
          <w:rFonts w:ascii="Times New Roman" w:hAnsi="Times New Roman" w:eastAsia="方正黑体_GBK"/>
          <w:b w:val="0"/>
          <w:sz w:val="28"/>
        </w:rPr>
        <w:t>2.3.3 典型故障处置方法</w:t>
      </w:r>
    </w:p>
    <w:p>
      <w:pPr>
        <w:spacing w:before="0" w:after="0" w:line="560" w:lineRule="exact"/>
        <w:ind w:firstLine="420"/>
      </w:pPr>
      <w:r>
        <w:rPr>
          <w:rFonts w:ascii="Times New Roman" w:hAnsi="Times New Roman" w:eastAsia="方正黑体_GBK"/>
          <w:b/>
          <w:sz w:val="28"/>
        </w:rPr>
        <w:t>软件类故障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应用程序异常：检查错误日志，重启服务，确认根因，记录处置过程</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数据库连接失败：检查数据库进程及网络连通性，恢复连接，必要时扩充表空间</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中间件异常：检查中间件状态，重启或回滚配置，提供故障排查说明</w:t>
      </w:r>
    </w:p>
    <w:p>
      <w:pPr>
        <w:spacing w:before="0" w:after="0" w:line="560" w:lineRule="exact"/>
        <w:ind w:firstLine="420"/>
      </w:pPr>
      <w:r>
        <w:rPr>
          <w:rFonts w:ascii="Times New Roman" w:hAnsi="Times New Roman" w:eastAsia="方正黑体_GBK"/>
          <w:b/>
          <w:sz w:val="28"/>
        </w:rPr>
        <w:t>硬件类故障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摄像机掉线：检查电源及网络接口，必要时立即更换设备</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门禁控制器故障：检查通信链路，更换控制板或控制器</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存储设备告警：检查磁盘健康状态，热备不足时立即添加替换盘</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服务器硬件故障：在第一时间确认故障部件后立即更换</w:t>
      </w:r>
    </w:p>
    <w:p>
      <w:pPr>
        <w:spacing w:before="0" w:after="0" w:line="560" w:lineRule="exact"/>
        <w:ind w:firstLine="420"/>
      </w:pPr>
      <w:r>
        <w:rPr>
          <w:rFonts w:ascii="Times New Roman" w:hAnsi="Times New Roman" w:eastAsia="方正黑体_GBK"/>
          <w:b/>
          <w:sz w:val="28"/>
        </w:rPr>
        <w:t>接口类故障</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外部系统对接中断：检查接口可用性、网络策略及认证信息，联系对端系统管理员协同处理</w:t>
      </w:r>
    </w:p>
    <w:p>
      <w:pPr>
        <w:spacing w:before="160" w:after="80" w:line="560" w:lineRule="exact"/>
        <w:jc w:val="left"/>
      </w:pPr>
      <w:r>
        <w:rPr>
          <w:rFonts w:ascii="Times New Roman" w:hAnsi="Times New Roman" w:eastAsia="方正黑体_GBK"/>
          <w:b w:val="0"/>
          <w:sz w:val="28"/>
        </w:rPr>
        <w:t>2.3.4 故障能力证明</w:t>
      </w:r>
    </w:p>
    <w:p>
      <w:pPr>
        <w:spacing w:before="0" w:after="0" w:line="560" w:lineRule="exact"/>
        <w:ind w:firstLine="420"/>
      </w:pPr>
      <w:r>
        <w:rPr>
          <w:rFonts w:ascii="Times New Roman" w:hAnsi="Times New Roman" w:eastAsia="方正仿宋_GBK"/>
          <w:b w:val="0"/>
          <w:sz w:val="28"/>
        </w:rPr>
        <w:t>我方可提供应用软件程序说明文件，证明对本系统软件架构、接口协议及功能模块的实际掌握能力，作为故障排除能力的技术支撑文件。</w:t>
      </w:r>
    </w:p>
    <w:p>
      <w:pPr>
        <w:spacing w:before="240" w:after="120" w:line="560" w:lineRule="exact"/>
        <w:jc w:val="left"/>
      </w:pPr>
      <w:r>
        <w:rPr>
          <w:rFonts w:ascii="Times New Roman" w:hAnsi="Times New Roman" w:eastAsia="方正楷体_GBK"/>
          <w:b/>
          <w:sz w:val="28"/>
        </w:rPr>
        <w:t>2.4 内容维护及功能升级方案</w:t>
      </w:r>
    </w:p>
    <w:p>
      <w:pPr>
        <w:spacing w:before="160" w:after="80" w:line="560" w:lineRule="exact"/>
        <w:jc w:val="left"/>
      </w:pPr>
      <w:r>
        <w:rPr>
          <w:rFonts w:ascii="Times New Roman" w:hAnsi="Times New Roman" w:eastAsia="方正黑体_GBK"/>
          <w:b w:val="0"/>
          <w:sz w:val="28"/>
        </w:rPr>
        <w:t>2.4.1 应用程序维护</w:t>
      </w:r>
    </w:p>
    <w:p>
      <w:pPr>
        <w:spacing w:before="0" w:after="0" w:line="560" w:lineRule="exact"/>
        <w:ind w:firstLine="420"/>
      </w:pPr>
      <w:r>
        <w:rPr>
          <w:rFonts w:ascii="Times New Roman" w:hAnsi="Times New Roman" w:eastAsia="方正仿宋_GBK"/>
          <w:b w:val="0"/>
          <w:sz w:val="28"/>
        </w:rPr>
        <w:t>采用"发现—工单—修复—验证—关闭"全流程管理机制：问题由采购人反馈或巡检自查发现后登记工单，明确问题描述、影响范围和优先级，按需安排程序修正或配置调整，修复完成后由采购人确认关闭。</w:t>
      </w:r>
    </w:p>
    <w:p>
      <w:pPr>
        <w:spacing w:before="0" w:after="0" w:line="560" w:lineRule="exact"/>
        <w:ind w:firstLine="420"/>
      </w:pPr>
      <w:r>
        <w:rPr>
          <w:rFonts w:ascii="Times New Roman" w:hAnsi="Times New Roman" w:eastAsia="方正黑体_GBK"/>
          <w:b/>
          <w:sz w:val="28"/>
        </w:rPr>
        <w:t>修改服务时效承诺</w:t>
      </w:r>
      <w:r>
        <w:rPr>
          <w:rFonts w:ascii="Times New Roman" w:hAnsi="Times New Roman" w:eastAsia="方正仿宋_GBK"/>
          <w:b w:val="0"/>
          <w:sz w:val="28"/>
        </w:rPr>
        <w:t>：所有修改服务自需求提出起，不多于3日历日完成。此承诺与招标文件要求完全一致。</w:t>
      </w:r>
    </w:p>
    <w:p>
      <w:pPr>
        <w:spacing w:before="160" w:after="80" w:line="560" w:lineRule="exact"/>
        <w:jc w:val="left"/>
      </w:pPr>
      <w:r>
        <w:rPr>
          <w:rFonts w:ascii="Times New Roman" w:hAnsi="Times New Roman" w:eastAsia="方正黑体_GBK"/>
          <w:b w:val="0"/>
          <w:sz w:val="28"/>
        </w:rPr>
        <w:t>2.4.2 数据维护</w:t>
      </w:r>
    </w:p>
    <w:p>
      <w:pPr>
        <w:spacing w:before="0" w:after="0" w:line="560" w:lineRule="exact"/>
        <w:ind w:firstLine="420"/>
      </w:pPr>
      <w:r>
        <w:rPr>
          <w:rFonts w:ascii="Times New Roman" w:hAnsi="Times New Roman" w:eastAsia="方正仿宋_GBK"/>
          <w:b w:val="0"/>
          <w:sz w:val="28"/>
        </w:rPr>
        <w:t>定期对系统运行过程中的数据进行检查并修正异常数据。配合库管民警维护数据库内案件信息、人员信息、涉案财物信息，确保数据库信息完整有效，不出现数据损失或信息错漏。</w:t>
      </w:r>
    </w:p>
    <w:p>
      <w:pPr>
        <w:spacing w:before="160" w:after="80" w:line="560" w:lineRule="exact"/>
        <w:jc w:val="left"/>
      </w:pPr>
      <w:r>
        <w:rPr>
          <w:rFonts w:ascii="Times New Roman" w:hAnsi="Times New Roman" w:eastAsia="方正黑体_GBK"/>
          <w:b w:val="0"/>
          <w:sz w:val="28"/>
        </w:rPr>
        <w:t>2.4.3 外部接口维护</w:t>
      </w:r>
    </w:p>
    <w:p>
      <w:pPr>
        <w:spacing w:before="0" w:after="0" w:line="560" w:lineRule="exact"/>
        <w:ind w:firstLine="420"/>
      </w:pPr>
      <w:r>
        <w:rPr>
          <w:rFonts w:ascii="Times New Roman" w:hAnsi="Times New Roman" w:eastAsia="方正仿宋_GBK"/>
          <w:b w:val="0"/>
          <w:sz w:val="28"/>
        </w:rPr>
        <w:t>持续维护与执法办案平台的数据对接，确保涉案财物流转信息能够正常回传至执法办案平台。接口维护包括：可用性日常监控、协议变更时及时适配调整、异常数据及时核查处理。</w:t>
      </w:r>
    </w:p>
    <w:p>
      <w:pPr>
        <w:spacing w:before="160" w:after="80" w:line="560" w:lineRule="exact"/>
        <w:jc w:val="left"/>
      </w:pPr>
      <w:r>
        <w:rPr>
          <w:rFonts w:ascii="Times New Roman" w:hAnsi="Times New Roman" w:eastAsia="方正黑体_GBK"/>
          <w:b w:val="0"/>
          <w:sz w:val="28"/>
        </w:rPr>
        <w:t>2.4.4 免费维修保养范围</w:t>
      </w:r>
    </w:p>
    <w:p>
      <w:pPr>
        <w:spacing w:before="0" w:after="0" w:line="560" w:lineRule="exact"/>
        <w:ind w:firstLine="420"/>
      </w:pPr>
      <w:r>
        <w:rPr>
          <w:rFonts w:ascii="Times New Roman" w:hAnsi="Times New Roman" w:eastAsia="方正仿宋_GBK"/>
          <w:b w:val="0"/>
          <w:sz w:val="28"/>
        </w:rPr>
        <w:t>按照招标文件要求，我方对以下范围提供免费维修保养：</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【公开招标】软硬件购置部分第1-23项全部硬件设备</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仿宋_GBK"/>
          <w:b w:val="0"/>
          <w:sz w:val="28"/>
        </w:rPr>
        <w:t>【公开招标】技术服务（软件开发）部分第1-26项全部软件功能模块</w:t>
      </w:r>
    </w:p>
    <w:p>
      <w:pPr>
        <w:spacing w:before="160" w:after="80" w:line="560" w:lineRule="exact"/>
        <w:jc w:val="left"/>
      </w:pPr>
      <w:r>
        <w:rPr>
          <w:rFonts w:ascii="Times New Roman" w:hAnsi="Times New Roman" w:eastAsia="方正黑体_GBK"/>
          <w:b w:val="0"/>
          <w:sz w:val="28"/>
        </w:rPr>
        <w:t>2.4.5 系统升级实施</w:t>
      </w:r>
    </w:p>
    <w:p>
      <w:pPr>
        <w:spacing w:before="0" w:after="0" w:line="560" w:lineRule="exact"/>
        <w:ind w:firstLine="420"/>
      </w:pPr>
      <w:r>
        <w:rPr>
          <w:rFonts w:ascii="Times New Roman" w:hAnsi="Times New Roman" w:eastAsia="方正仿宋_GBK"/>
          <w:b w:val="0"/>
          <w:sz w:val="28"/>
        </w:rPr>
        <w:t>招标文件要求完成涉案财物法院判决文书（PDF）自动识别功能升级，并与对应案件比对，分情况进行函询与预警操作，须在中标后30日历日内完成。</w:t>
      </w:r>
    </w:p>
    <w:p>
      <w:pPr>
        <w:spacing w:before="0" w:after="0" w:line="560" w:lineRule="exact"/>
        <w:ind w:firstLine="420"/>
      </w:pPr>
      <w:r>
        <w:rPr>
          <w:rFonts w:ascii="Times New Roman" w:hAnsi="Times New Roman" w:eastAsia="方正仿宋_GBK"/>
          <w:b w:val="0"/>
          <w:sz w:val="28"/>
        </w:rPr>
        <w:t>我方实施方案：中标后立即与采购人开展现场勘察，确认市局实际硬件条件，据此制定最优部署方案，充分利用现有计算资源。升级采用灰度发布策略，先在测试环境验证通过后再切换生产环境，升级窗口选择业务低峰期，全程制定回滚预案。</w:t>
      </w:r>
    </w:p>
    <w:p>
      <w:pPr>
        <w:spacing w:before="240" w:after="120" w:line="560" w:lineRule="exact"/>
        <w:jc w:val="left"/>
      </w:pPr>
      <w:r>
        <w:rPr>
          <w:rFonts w:ascii="Times New Roman" w:hAnsi="Times New Roman" w:eastAsia="方正楷体_GBK"/>
          <w:b/>
          <w:sz w:val="28"/>
        </w:rPr>
        <w:t>2.5 安全服务方案</w:t>
      </w:r>
    </w:p>
    <w:p>
      <w:pPr>
        <w:spacing w:before="160" w:after="80" w:line="560" w:lineRule="exact"/>
        <w:jc w:val="left"/>
      </w:pPr>
      <w:r>
        <w:rPr>
          <w:rFonts w:ascii="Times New Roman" w:hAnsi="Times New Roman" w:eastAsia="方正黑体_GBK"/>
          <w:b w:val="0"/>
          <w:sz w:val="28"/>
        </w:rPr>
        <w:t>2.5.1 终端安全维护</w:t>
      </w:r>
    </w:p>
    <w:p>
      <w:pPr>
        <w:spacing w:before="0" w:after="0" w:line="560" w:lineRule="exact"/>
        <w:ind w:firstLine="420"/>
      </w:pPr>
      <w:r>
        <w:rPr>
          <w:rFonts w:ascii="Times New Roman" w:hAnsi="Times New Roman" w:eastAsia="方正仿宋_GBK"/>
          <w:b w:val="0"/>
          <w:sz w:val="28"/>
        </w:rPr>
        <w:t>定期更新存储管理服务器等设备的公安网杀毒软件，安装更新最新驱动补丁。安全维护与每次巡检同步执行，重要补丁在采购人确认后按要求时限完成推送。</w:t>
      </w:r>
    </w:p>
    <w:p>
      <w:pPr>
        <w:spacing w:before="160" w:after="80" w:line="560" w:lineRule="exact"/>
        <w:jc w:val="left"/>
      </w:pPr>
      <w:r>
        <w:rPr>
          <w:rFonts w:ascii="Times New Roman" w:hAnsi="Times New Roman" w:eastAsia="方正黑体_GBK"/>
          <w:b w:val="0"/>
          <w:sz w:val="28"/>
        </w:rPr>
        <w:t>2.5.2 中毒事件处置</w:t>
      </w:r>
    </w:p>
    <w:tbl>
      <w:tblPr>
        <w:tblStyle w:val="TableGrid"/>
        <w:tblW w:type="auto" w:w="0"/>
        <w:jc w:val="center"/>
        <w:tblLook w:firstColumn="1" w:firstRow="1" w:lastColumn="0" w:lastRow="0" w:noHBand="0" w:noVBand="1" w:val="04A0"/>
      </w:tblPr>
      <w:tblGrid>
        <w:gridCol w:w="4422"/>
        <w:gridCol w:w="4422"/>
      </w:tblGrid>
      <w:tr>
        <w:tc>
          <w:tcPr>
            <w:tcW w:type="dxa" w:w="4422"/>
            <w:shd w:fill="D9E2F3"/>
          </w:tcPr>
          <w:p>
            <w:pPr>
              <w:spacing w:before="0" w:after="0" w:line="480" w:lineRule="exact"/>
              <w:jc w:val="center"/>
            </w:pPr>
            <w:r/>
            <w:r>
              <w:rPr>
                <w:rFonts w:ascii="Times New Roman" w:hAnsi="Times New Roman" w:eastAsia="方正黑体_GBK"/>
                <w:b/>
                <w:sz w:val="24"/>
              </w:rPr>
              <w:t>处置步骤</w:t>
            </w:r>
          </w:p>
        </w:tc>
        <w:tc>
          <w:tcPr>
            <w:tcW w:type="dxa" w:w="4422"/>
            <w:shd w:fill="D9E2F3"/>
          </w:tcPr>
          <w:p>
            <w:pPr>
              <w:spacing w:before="0" w:after="0" w:line="480" w:lineRule="exact"/>
              <w:jc w:val="center"/>
            </w:pPr>
            <w:r/>
            <w:r>
              <w:rPr>
                <w:rFonts w:ascii="Times New Roman" w:hAnsi="Times New Roman" w:eastAsia="方正黑体_GBK"/>
                <w:b/>
                <w:sz w:val="24"/>
              </w:rPr>
              <w:t>具体操作</w:t>
            </w:r>
          </w:p>
        </w:tc>
      </w:tr>
      <w:tr>
        <w:tc>
          <w:tcPr>
            <w:tcW w:type="dxa" w:w="4422"/>
          </w:tcPr>
          <w:p>
            <w:pPr>
              <w:spacing w:before="0" w:after="0" w:line="480" w:lineRule="exact"/>
              <w:jc w:val="left"/>
            </w:pPr>
            <w:r/>
            <w:r>
              <w:rPr>
                <w:rFonts w:ascii="Times New Roman" w:hAnsi="Times New Roman" w:eastAsia="方正仿宋_GBK"/>
                <w:b w:val="0"/>
                <w:sz w:val="24"/>
              </w:rPr>
              <w:t>隔离</w:t>
            </w:r>
          </w:p>
        </w:tc>
        <w:tc>
          <w:tcPr>
            <w:tcW w:type="dxa" w:w="4422"/>
          </w:tcPr>
          <w:p>
            <w:pPr>
              <w:spacing w:before="0" w:after="0" w:line="480" w:lineRule="exact"/>
              <w:jc w:val="left"/>
            </w:pPr>
            <w:r/>
            <w:r>
              <w:rPr>
                <w:rFonts w:ascii="Times New Roman" w:hAnsi="Times New Roman" w:eastAsia="方正仿宋_GBK"/>
                <w:b w:val="0"/>
                <w:sz w:val="24"/>
              </w:rPr>
              <w:t>发现或接报后立即对中毒设备实施网络隔离，阻断传播路径</w:t>
            </w:r>
          </w:p>
        </w:tc>
      </w:tr>
      <w:tr>
        <w:tc>
          <w:tcPr>
            <w:tcW w:type="dxa" w:w="4422"/>
          </w:tcPr>
          <w:p>
            <w:pPr>
              <w:spacing w:before="0" w:after="0" w:line="480" w:lineRule="exact"/>
              <w:jc w:val="left"/>
            </w:pPr>
            <w:r/>
            <w:r>
              <w:rPr>
                <w:rFonts w:ascii="Times New Roman" w:hAnsi="Times New Roman" w:eastAsia="方正仿宋_GBK"/>
                <w:b w:val="0"/>
                <w:sz w:val="24"/>
              </w:rPr>
              <w:t>清除</w:t>
            </w:r>
          </w:p>
        </w:tc>
        <w:tc>
          <w:tcPr>
            <w:tcW w:type="dxa" w:w="4422"/>
          </w:tcPr>
          <w:p>
            <w:pPr>
              <w:spacing w:before="0" w:after="0" w:line="480" w:lineRule="exact"/>
              <w:jc w:val="left"/>
            </w:pPr>
            <w:r/>
            <w:r>
              <w:rPr>
                <w:rFonts w:ascii="Times New Roman" w:hAnsi="Times New Roman" w:eastAsia="方正仿宋_GBK"/>
                <w:b w:val="0"/>
                <w:sz w:val="24"/>
              </w:rPr>
              <w:t>对中毒设备进行病毒清除，恢复正常运行状态</w:t>
            </w:r>
          </w:p>
        </w:tc>
      </w:tr>
      <w:tr>
        <w:tc>
          <w:tcPr>
            <w:tcW w:type="dxa" w:w="4422"/>
          </w:tcPr>
          <w:p>
            <w:pPr>
              <w:spacing w:before="0" w:after="0" w:line="480" w:lineRule="exact"/>
              <w:jc w:val="left"/>
            </w:pPr>
            <w:r/>
            <w:r>
              <w:rPr>
                <w:rFonts w:ascii="Times New Roman" w:hAnsi="Times New Roman" w:eastAsia="方正仿宋_GBK"/>
                <w:b w:val="0"/>
                <w:sz w:val="24"/>
              </w:rPr>
              <w:t>排查</w:t>
            </w:r>
          </w:p>
        </w:tc>
        <w:tc>
          <w:tcPr>
            <w:tcW w:type="dxa" w:w="4422"/>
          </w:tcPr>
          <w:p>
            <w:pPr>
              <w:spacing w:before="0" w:after="0" w:line="480" w:lineRule="exact"/>
              <w:jc w:val="left"/>
            </w:pPr>
            <w:r/>
            <w:r>
              <w:rPr>
                <w:rFonts w:ascii="Times New Roman" w:hAnsi="Times New Roman" w:eastAsia="方正仿宋_GBK"/>
                <w:b w:val="0"/>
                <w:sz w:val="24"/>
              </w:rPr>
              <w:t>排查同网段其他设备，确认无扩散</w:t>
            </w:r>
          </w:p>
        </w:tc>
      </w:tr>
      <w:tr>
        <w:tc>
          <w:tcPr>
            <w:tcW w:type="dxa" w:w="4422"/>
          </w:tcPr>
          <w:p>
            <w:pPr>
              <w:spacing w:before="0" w:after="0" w:line="480" w:lineRule="exact"/>
              <w:jc w:val="left"/>
            </w:pPr>
            <w:r/>
            <w:r>
              <w:rPr>
                <w:rFonts w:ascii="Times New Roman" w:hAnsi="Times New Roman" w:eastAsia="方正仿宋_GBK"/>
                <w:b w:val="0"/>
                <w:sz w:val="24"/>
              </w:rPr>
              <w:t>报告</w:t>
            </w:r>
          </w:p>
        </w:tc>
        <w:tc>
          <w:tcPr>
            <w:tcW w:type="dxa" w:w="4422"/>
          </w:tcPr>
          <w:p>
            <w:pPr>
              <w:spacing w:before="0" w:after="0" w:line="480" w:lineRule="exact"/>
              <w:jc w:val="left"/>
            </w:pPr>
            <w:r/>
            <w:r>
              <w:rPr>
                <w:rFonts w:ascii="Times New Roman" w:hAnsi="Times New Roman" w:eastAsia="方正仿宋_GBK"/>
                <w:b w:val="0"/>
                <w:sz w:val="24"/>
              </w:rPr>
              <w:t>处置完成后出具安全事件处置报告</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全过程严格保护设备中存储的案件信息、人员信息及涉案财物信息，不得复制、导出或泄露任何涉密数据。</w:t>
      </w:r>
    </w:p>
    <w:p>
      <w:pPr>
        <w:spacing w:before="160" w:after="80" w:line="560" w:lineRule="exact"/>
        <w:jc w:val="left"/>
      </w:pPr>
      <w:r>
        <w:rPr>
          <w:rFonts w:ascii="Times New Roman" w:hAnsi="Times New Roman" w:eastAsia="方正黑体_GBK"/>
          <w:b w:val="0"/>
          <w:sz w:val="28"/>
        </w:rPr>
        <w:t>2.5.3 漏洞修补</w:t>
      </w:r>
    </w:p>
    <w:p>
      <w:pPr>
        <w:spacing w:before="0" w:after="0" w:line="560" w:lineRule="exact"/>
        <w:ind w:firstLine="420"/>
      </w:pPr>
      <w:r>
        <w:rPr>
          <w:rFonts w:ascii="Times New Roman" w:hAnsi="Times New Roman" w:eastAsia="方正仿宋_GBK"/>
          <w:b w:val="0"/>
          <w:sz w:val="28"/>
        </w:rPr>
        <w:t>按照工作要求，修补市局定期巡检通报的各类系统漏洞，保护系统免受非法攻击。漏洞修补在接到通报后按采购人要求时限完成，高危漏洞优先处理。所有修补操作事前报采购人确认，操作完成后进行验证确认。</w:t>
      </w:r>
    </w:p>
    <w:p>
      <w:pPr>
        <w:spacing w:before="160" w:after="80" w:line="560" w:lineRule="exact"/>
        <w:jc w:val="left"/>
      </w:pPr>
      <w:r>
        <w:rPr>
          <w:rFonts w:ascii="Times New Roman" w:hAnsi="Times New Roman" w:eastAsia="方正黑体_GBK"/>
          <w:b w:val="0"/>
          <w:sz w:val="28"/>
        </w:rPr>
        <w:t>2.5.4 等级保护支持</w:t>
      </w:r>
    </w:p>
    <w:p>
      <w:pPr>
        <w:spacing w:before="0" w:after="0" w:line="560" w:lineRule="exact"/>
        <w:ind w:firstLine="420"/>
      </w:pPr>
      <w:r>
        <w:rPr>
          <w:rFonts w:ascii="Times New Roman" w:hAnsi="Times New Roman" w:eastAsia="方正仿宋_GBK"/>
          <w:b w:val="0"/>
          <w:sz w:val="28"/>
        </w:rPr>
        <w:t>协助完成信息安全等级保护测试，保障系统通过等保二级以上测试。等保测评协助范围包括整改清单跟踪落实、技术调整实施及测评过程配合。</w:t>
      </w:r>
    </w:p>
    <w:p>
      <w:pPr>
        <w:spacing w:before="160" w:after="80" w:line="560" w:lineRule="exact"/>
        <w:jc w:val="left"/>
      </w:pPr>
      <w:r>
        <w:rPr>
          <w:rFonts w:ascii="Times New Roman" w:hAnsi="Times New Roman" w:eastAsia="方正黑体_GBK"/>
          <w:b w:val="0"/>
          <w:sz w:val="28"/>
        </w:rPr>
        <w:t>2.5.5 信息安全管理承诺</w:t>
      </w:r>
    </w:p>
    <w:p>
      <w:pPr>
        <w:spacing w:before="0" w:after="0" w:line="560" w:lineRule="exact"/>
        <w:ind w:firstLine="420"/>
      </w:pPr>
      <w:r>
        <w:rPr>
          <w:rFonts w:ascii="Times New Roman" w:hAnsi="Times New Roman" w:eastAsia="方正仿宋_GBK"/>
          <w:b w:val="0"/>
          <w:sz w:val="28"/>
        </w:rPr>
        <w:t>我方将出具完善的保密管理制度，确保运维人员在全部工作过程中严格遵守公安网信息安全规范，确保绝对不泄露系统内案件信息、人员信息、涉案财物信息。</w:t>
      </w:r>
    </w:p>
    <w:p>
      <w:pPr>
        <w:spacing w:before="240" w:after="120" w:line="560" w:lineRule="exact"/>
        <w:jc w:val="left"/>
      </w:pPr>
      <w:r>
        <w:rPr>
          <w:rFonts w:ascii="Times New Roman" w:hAnsi="Times New Roman" w:eastAsia="方正楷体_GBK"/>
          <w:b/>
          <w:sz w:val="28"/>
        </w:rPr>
        <w:t>2.6 数据及安防接口维护服务方案</w:t>
      </w:r>
    </w:p>
    <w:p>
      <w:pPr>
        <w:spacing w:before="160" w:after="80" w:line="560" w:lineRule="exact"/>
        <w:jc w:val="left"/>
      </w:pPr>
      <w:r>
        <w:rPr>
          <w:rFonts w:ascii="Times New Roman" w:hAnsi="Times New Roman" w:eastAsia="方正黑体_GBK"/>
          <w:b w:val="0"/>
          <w:sz w:val="28"/>
        </w:rPr>
        <w:t>2.6.1 服务范围</w:t>
      </w:r>
    </w:p>
    <w:p>
      <w:pPr>
        <w:spacing w:before="0" w:after="0" w:line="560" w:lineRule="exact"/>
        <w:ind w:firstLine="420"/>
      </w:pPr>
      <w:r>
        <w:rPr>
          <w:rFonts w:ascii="Times New Roman" w:hAnsi="Times New Roman" w:eastAsia="方正仿宋_GBK"/>
          <w:b w:val="0"/>
          <w:sz w:val="28"/>
        </w:rPr>
        <w:t>我方承诺提供以下四类接口维护服务：</w:t>
      </w:r>
    </w:p>
    <w:tbl>
      <w:tblPr>
        <w:tblStyle w:val="TableGrid"/>
        <w:tblW w:type="auto" w:w="0"/>
        <w:jc w:val="center"/>
        <w:tblLook w:firstColumn="1" w:firstRow="1" w:lastColumn="0" w:lastRow="0" w:noHBand="0" w:noVBand="1" w:val="04A0"/>
      </w:tblPr>
      <w:tblGrid>
        <w:gridCol w:w="4422"/>
        <w:gridCol w:w="4422"/>
      </w:tblGrid>
      <w:tr>
        <w:tc>
          <w:tcPr>
            <w:tcW w:type="dxa" w:w="4422"/>
            <w:shd w:fill="D9E2F3"/>
          </w:tcPr>
          <w:p>
            <w:pPr>
              <w:spacing w:before="0" w:after="0" w:line="480" w:lineRule="exact"/>
              <w:jc w:val="center"/>
            </w:pPr>
            <w:r/>
            <w:r>
              <w:rPr>
                <w:rFonts w:ascii="Times New Roman" w:hAnsi="Times New Roman" w:eastAsia="方正黑体_GBK"/>
                <w:b/>
                <w:sz w:val="24"/>
              </w:rPr>
              <w:t>服务类型</w:t>
            </w:r>
          </w:p>
        </w:tc>
        <w:tc>
          <w:tcPr>
            <w:tcW w:type="dxa" w:w="4422"/>
            <w:shd w:fill="D9E2F3"/>
          </w:tcPr>
          <w:p>
            <w:pPr>
              <w:spacing w:before="0" w:after="0" w:line="480" w:lineRule="exact"/>
              <w:jc w:val="center"/>
            </w:pPr>
            <w:r/>
            <w:r>
              <w:rPr>
                <w:rFonts w:ascii="Times New Roman" w:hAnsi="Times New Roman" w:eastAsia="方正黑体_GBK"/>
                <w:b/>
                <w:sz w:val="24"/>
              </w:rPr>
              <w:t>维护内容</w:t>
            </w:r>
          </w:p>
        </w:tc>
      </w:tr>
      <w:tr>
        <w:tc>
          <w:tcPr>
            <w:tcW w:type="dxa" w:w="4422"/>
          </w:tcPr>
          <w:p>
            <w:pPr>
              <w:spacing w:before="0" w:after="0" w:line="480" w:lineRule="exact"/>
              <w:jc w:val="left"/>
            </w:pPr>
            <w:r/>
            <w:r>
              <w:rPr>
                <w:rFonts w:ascii="Times New Roman" w:hAnsi="Times New Roman" w:eastAsia="方正仿宋_GBK"/>
                <w:b w:val="0"/>
                <w:sz w:val="24"/>
              </w:rPr>
              <w:t>数据上传接口维护</w:t>
            </w:r>
          </w:p>
        </w:tc>
        <w:tc>
          <w:tcPr>
            <w:tcW w:type="dxa" w:w="4422"/>
          </w:tcPr>
          <w:p>
            <w:pPr>
              <w:spacing w:before="0" w:after="0" w:line="480" w:lineRule="exact"/>
              <w:jc w:val="left"/>
            </w:pPr>
            <w:r/>
            <w:r>
              <w:rPr>
                <w:rFonts w:ascii="Times New Roman" w:hAnsi="Times New Roman" w:eastAsia="方正仿宋_GBK"/>
                <w:b w:val="0"/>
                <w:sz w:val="24"/>
              </w:rPr>
              <w:t>负责提供各分局上传涉案财物管理智能化保管系统的系统数据接口维护服务</w:t>
            </w:r>
          </w:p>
        </w:tc>
      </w:tr>
      <w:tr>
        <w:tc>
          <w:tcPr>
            <w:tcW w:type="dxa" w:w="4422"/>
          </w:tcPr>
          <w:p>
            <w:pPr>
              <w:spacing w:before="0" w:after="0" w:line="480" w:lineRule="exact"/>
              <w:jc w:val="left"/>
            </w:pPr>
            <w:r/>
            <w:r>
              <w:rPr>
                <w:rFonts w:ascii="Times New Roman" w:hAnsi="Times New Roman" w:eastAsia="方正仿宋_GBK"/>
                <w:b w:val="0"/>
                <w:sz w:val="24"/>
              </w:rPr>
              <w:t>视频监控对接维护</w:t>
            </w:r>
          </w:p>
        </w:tc>
        <w:tc>
          <w:tcPr>
            <w:tcW w:type="dxa" w:w="4422"/>
          </w:tcPr>
          <w:p>
            <w:pPr>
              <w:spacing w:before="0" w:after="0" w:line="480" w:lineRule="exact"/>
              <w:jc w:val="left"/>
            </w:pPr>
            <w:r/>
            <w:r>
              <w:rPr>
                <w:rFonts w:ascii="Times New Roman" w:hAnsi="Times New Roman" w:eastAsia="方正仿宋_GBK"/>
                <w:b w:val="0"/>
                <w:sz w:val="24"/>
              </w:rPr>
              <w:t>负责提供各分局与涉案财物管理中心视频监控对接的维护服务</w:t>
            </w:r>
          </w:p>
        </w:tc>
      </w:tr>
      <w:tr>
        <w:tc>
          <w:tcPr>
            <w:tcW w:type="dxa" w:w="4422"/>
          </w:tcPr>
          <w:p>
            <w:pPr>
              <w:spacing w:before="0" w:after="0" w:line="480" w:lineRule="exact"/>
              <w:jc w:val="left"/>
            </w:pPr>
            <w:r/>
            <w:r>
              <w:rPr>
                <w:rFonts w:ascii="Times New Roman" w:hAnsi="Times New Roman" w:eastAsia="方正仿宋_GBK"/>
                <w:b w:val="0"/>
                <w:sz w:val="24"/>
              </w:rPr>
              <w:t>智能门禁对接维护</w:t>
            </w:r>
          </w:p>
        </w:tc>
        <w:tc>
          <w:tcPr>
            <w:tcW w:type="dxa" w:w="4422"/>
          </w:tcPr>
          <w:p>
            <w:pPr>
              <w:spacing w:before="0" w:after="0" w:line="480" w:lineRule="exact"/>
              <w:jc w:val="left"/>
            </w:pPr>
            <w:r/>
            <w:r>
              <w:rPr>
                <w:rFonts w:ascii="Times New Roman" w:hAnsi="Times New Roman" w:eastAsia="方正仿宋_GBK"/>
                <w:b w:val="0"/>
                <w:sz w:val="24"/>
              </w:rPr>
              <w:t>负责提供各分局与涉案财物管理中心智能门禁对接的维护服务</w:t>
            </w:r>
          </w:p>
        </w:tc>
      </w:tr>
      <w:tr>
        <w:tc>
          <w:tcPr>
            <w:tcW w:type="dxa" w:w="4422"/>
          </w:tcPr>
          <w:p>
            <w:pPr>
              <w:spacing w:before="0" w:after="0" w:line="480" w:lineRule="exact"/>
              <w:jc w:val="left"/>
            </w:pPr>
            <w:r/>
            <w:r>
              <w:rPr>
                <w:rFonts w:ascii="Times New Roman" w:hAnsi="Times New Roman" w:eastAsia="方正仿宋_GBK"/>
                <w:b w:val="0"/>
                <w:sz w:val="24"/>
              </w:rPr>
              <w:t>出入库预警数据对接维护</w:t>
            </w:r>
          </w:p>
        </w:tc>
        <w:tc>
          <w:tcPr>
            <w:tcW w:type="dxa" w:w="4422"/>
          </w:tcPr>
          <w:p>
            <w:pPr>
              <w:spacing w:before="0" w:after="0" w:line="480" w:lineRule="exact"/>
              <w:jc w:val="left"/>
            </w:pPr>
            <w:r/>
            <w:r>
              <w:rPr>
                <w:rFonts w:ascii="Times New Roman" w:hAnsi="Times New Roman" w:eastAsia="方正仿宋_GBK"/>
                <w:b w:val="0"/>
                <w:sz w:val="24"/>
              </w:rPr>
              <w:t>负责提供各分局与涉案财物管理中心出入库异常预警数据对接的维护服务</w:t>
            </w:r>
          </w:p>
        </w:tc>
      </w:tr>
    </w:tbl>
    <w:p>
      <w:pPr>
        <w:spacing w:before="120" w:after="0" w:line="200" w:lineRule="exact"/>
      </w:pPr>
    </w:p>
    <w:p>
      <w:pPr>
        <w:spacing w:before="160" w:after="80" w:line="560" w:lineRule="exact"/>
        <w:jc w:val="left"/>
      </w:pPr>
      <w:r>
        <w:rPr>
          <w:rFonts w:ascii="Times New Roman" w:hAnsi="Times New Roman" w:eastAsia="方正黑体_GBK"/>
          <w:b w:val="0"/>
          <w:sz w:val="28"/>
        </w:rPr>
        <w:t>2.6.2 接口健康管理</w:t>
      </w:r>
    </w:p>
    <w:p>
      <w:pPr>
        <w:spacing w:before="0" w:after="0" w:line="560" w:lineRule="exact"/>
        <w:ind w:firstLine="420"/>
      </w:pPr>
      <w:r>
        <w:rPr>
          <w:rFonts w:ascii="Times New Roman" w:hAnsi="Times New Roman" w:eastAsia="方正黑体_GBK"/>
          <w:b/>
          <w:sz w:val="28"/>
        </w:rPr>
        <w:t>日常可用性监控</w:t>
      </w:r>
      <w:r>
        <w:rPr>
          <w:rFonts w:ascii="Times New Roman" w:hAnsi="Times New Roman" w:eastAsia="方正仿宋_GBK"/>
          <w:b w:val="0"/>
          <w:sz w:val="28"/>
        </w:rPr>
        <w:t>：对全部接口进行定期可用性检测，接口异常时立即告警并启动处理程序。</w:t>
      </w:r>
    </w:p>
    <w:p>
      <w:pPr>
        <w:spacing w:before="0" w:after="0" w:line="560" w:lineRule="exact"/>
        <w:ind w:firstLine="420"/>
      </w:pPr>
      <w:r>
        <w:rPr>
          <w:rFonts w:ascii="Times New Roman" w:hAnsi="Times New Roman" w:eastAsia="方正黑体_GBK"/>
          <w:b/>
          <w:sz w:val="28"/>
        </w:rPr>
        <w:t>版本变更管理</w:t>
      </w:r>
      <w:r>
        <w:rPr>
          <w:rFonts w:ascii="Times New Roman" w:hAnsi="Times New Roman" w:eastAsia="方正仿宋_GBK"/>
          <w:b w:val="0"/>
          <w:sz w:val="28"/>
        </w:rPr>
        <w:t>：在本系统或外部对接系统进行版本升级时，主动评估接口兼容性影响，提前协调适配方案，确保对接连续性不中断。接口配置变更须经采购人审批，操作前备份现有配置，变更后进行全链路验证。</w:t>
      </w:r>
    </w:p>
    <w:p>
      <w:pPr>
        <w:spacing w:before="0" w:after="0" w:line="560" w:lineRule="exact"/>
        <w:ind w:firstLine="420"/>
      </w:pPr>
      <w:r>
        <w:rPr>
          <w:rFonts w:ascii="Times New Roman" w:hAnsi="Times New Roman" w:eastAsia="方正黑体_GBK"/>
          <w:b/>
          <w:sz w:val="28"/>
        </w:rPr>
        <w:t>数据库信息维护</w:t>
      </w:r>
      <w:r>
        <w:rPr>
          <w:rFonts w:ascii="Times New Roman" w:hAnsi="Times New Roman" w:eastAsia="方正仿宋_GBK"/>
          <w:b w:val="0"/>
          <w:sz w:val="28"/>
        </w:rPr>
        <w:t>：配合库管民警维护数据库内案件信息、人员信息、涉案财物信息，确保数据库信息完整有效。</w:t>
      </w:r>
    </w:p>
    <w:p>
      <w:pPr>
        <w:spacing w:before="240" w:after="120" w:line="560" w:lineRule="exact"/>
        <w:jc w:val="left"/>
      </w:pPr>
      <w:r>
        <w:rPr>
          <w:rFonts w:ascii="Times New Roman" w:hAnsi="Times New Roman" w:eastAsia="方正楷体_GBK"/>
          <w:b/>
          <w:sz w:val="28"/>
        </w:rPr>
        <w:t>2.7 服务响应及服务质量保证措施</w:t>
      </w:r>
    </w:p>
    <w:p>
      <w:pPr>
        <w:spacing w:before="160" w:after="80" w:line="560" w:lineRule="exact"/>
        <w:jc w:val="left"/>
      </w:pPr>
      <w:r>
        <w:rPr>
          <w:rFonts w:ascii="Times New Roman" w:hAnsi="Times New Roman" w:eastAsia="方正黑体_GBK"/>
          <w:b w:val="0"/>
          <w:sz w:val="28"/>
        </w:rPr>
        <w:t>2.7.1 响应渠道与时效</w:t>
      </w:r>
    </w:p>
    <w:p>
      <w:pPr>
        <w:spacing w:before="0" w:after="0" w:line="560" w:lineRule="exact"/>
        <w:ind w:firstLine="420"/>
      </w:pPr>
      <w:r>
        <w:rPr>
          <w:rFonts w:ascii="Times New Roman" w:hAnsi="Times New Roman" w:eastAsia="方正仿宋_GBK"/>
          <w:b w:val="0"/>
          <w:sz w:val="28"/>
        </w:rPr>
        <w:t>服务期内提供7×24小时技术响应，响应通道通过电话和电子邮件不少于两种方式保障，全年无休，任何时间均可触达。</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响应类型</w:t>
            </w:r>
          </w:p>
        </w:tc>
        <w:tc>
          <w:tcPr>
            <w:tcW w:type="dxa" w:w="2948"/>
            <w:shd w:fill="D9E2F3"/>
          </w:tcPr>
          <w:p>
            <w:pPr>
              <w:spacing w:before="0" w:after="0" w:line="480" w:lineRule="exact"/>
              <w:jc w:val="center"/>
            </w:pPr>
            <w:r/>
            <w:r>
              <w:rPr>
                <w:rFonts w:ascii="Times New Roman" w:hAnsi="Times New Roman" w:eastAsia="方正黑体_GBK"/>
                <w:b/>
                <w:sz w:val="24"/>
              </w:rPr>
              <w:t>渠道</w:t>
            </w:r>
          </w:p>
        </w:tc>
        <w:tc>
          <w:tcPr>
            <w:tcW w:type="dxa" w:w="2948"/>
            <w:shd w:fill="D9E2F3"/>
          </w:tcPr>
          <w:p>
            <w:pPr>
              <w:spacing w:before="0" w:after="0" w:line="480" w:lineRule="exact"/>
              <w:jc w:val="center"/>
            </w:pPr>
            <w:r/>
            <w:r>
              <w:rPr>
                <w:rFonts w:ascii="Times New Roman" w:hAnsi="Times New Roman" w:eastAsia="方正黑体_GBK"/>
                <w:b/>
                <w:sz w:val="24"/>
              </w:rPr>
              <w:t>时效承诺</w:t>
            </w:r>
          </w:p>
        </w:tc>
      </w:tr>
      <w:tr>
        <w:tc>
          <w:tcPr>
            <w:tcW w:type="dxa" w:w="2948"/>
          </w:tcPr>
          <w:p>
            <w:pPr>
              <w:spacing w:before="0" w:after="0" w:line="480" w:lineRule="exact"/>
              <w:jc w:val="left"/>
            </w:pPr>
            <w:r/>
            <w:r>
              <w:rPr>
                <w:rFonts w:ascii="Times New Roman" w:hAnsi="Times New Roman" w:eastAsia="方正仿宋_GBK"/>
                <w:b w:val="0"/>
                <w:sz w:val="24"/>
              </w:rPr>
              <w:t>技术咨询</w:t>
            </w:r>
          </w:p>
        </w:tc>
        <w:tc>
          <w:tcPr>
            <w:tcW w:type="dxa" w:w="2948"/>
          </w:tcPr>
          <w:p>
            <w:pPr>
              <w:spacing w:before="0" w:after="0" w:line="480" w:lineRule="exact"/>
              <w:jc w:val="left"/>
            </w:pPr>
            <w:r/>
            <w:r>
              <w:rPr>
                <w:rFonts w:ascii="Times New Roman" w:hAnsi="Times New Roman" w:eastAsia="方正仿宋_GBK"/>
                <w:b w:val="0"/>
                <w:sz w:val="24"/>
              </w:rPr>
              <w:t>电话 / 邮件</w:t>
            </w:r>
          </w:p>
        </w:tc>
        <w:tc>
          <w:tcPr>
            <w:tcW w:type="dxa" w:w="2948"/>
          </w:tcPr>
          <w:p>
            <w:pPr>
              <w:spacing w:before="0" w:after="0" w:line="480" w:lineRule="exact"/>
              <w:jc w:val="left"/>
            </w:pPr>
            <w:r/>
            <w:r>
              <w:rPr>
                <w:rFonts w:ascii="Times New Roman" w:hAnsi="Times New Roman" w:eastAsia="方正仿宋_GBK"/>
                <w:b w:val="0"/>
                <w:sz w:val="24"/>
              </w:rPr>
              <w:t>接收后30分钟内反馈</w:t>
            </w:r>
          </w:p>
        </w:tc>
      </w:tr>
      <w:tr>
        <w:tc>
          <w:tcPr>
            <w:tcW w:type="dxa" w:w="2948"/>
          </w:tcPr>
          <w:p>
            <w:pPr>
              <w:spacing w:before="0" w:after="0" w:line="480" w:lineRule="exact"/>
              <w:jc w:val="left"/>
            </w:pPr>
            <w:r/>
            <w:r>
              <w:rPr>
                <w:rFonts w:ascii="Times New Roman" w:hAnsi="Times New Roman" w:eastAsia="方正仿宋_GBK"/>
                <w:b w:val="0"/>
                <w:sz w:val="24"/>
              </w:rPr>
              <w:t>一般故障</w:t>
            </w:r>
          </w:p>
        </w:tc>
        <w:tc>
          <w:tcPr>
            <w:tcW w:type="dxa" w:w="2948"/>
          </w:tcPr>
          <w:p>
            <w:pPr>
              <w:spacing w:before="0" w:after="0" w:line="480" w:lineRule="exact"/>
              <w:jc w:val="left"/>
            </w:pPr>
            <w:r/>
            <w:r>
              <w:rPr>
                <w:rFonts w:ascii="Times New Roman" w:hAnsi="Times New Roman" w:eastAsia="方正仿宋_GBK"/>
                <w:b w:val="0"/>
                <w:sz w:val="24"/>
              </w:rPr>
              <w:t>电话 / 邮件工单</w:t>
            </w:r>
          </w:p>
        </w:tc>
        <w:tc>
          <w:tcPr>
            <w:tcW w:type="dxa" w:w="2948"/>
          </w:tcPr>
          <w:p>
            <w:pPr>
              <w:spacing w:before="0" w:after="0" w:line="480" w:lineRule="exact"/>
              <w:jc w:val="left"/>
            </w:pPr>
            <w:r/>
            <w:r>
              <w:rPr>
                <w:rFonts w:ascii="Times New Roman" w:hAnsi="Times New Roman" w:eastAsia="方正仿宋_GBK"/>
                <w:b w:val="0"/>
                <w:sz w:val="24"/>
              </w:rPr>
              <w:t>接单当日处理，工单跟踪闭环</w:t>
            </w:r>
          </w:p>
        </w:tc>
      </w:tr>
      <w:tr>
        <w:tc>
          <w:tcPr>
            <w:tcW w:type="dxa" w:w="2948"/>
          </w:tcPr>
          <w:p>
            <w:pPr>
              <w:spacing w:before="0" w:after="0" w:line="480" w:lineRule="exact"/>
              <w:jc w:val="left"/>
            </w:pPr>
            <w:r/>
            <w:r>
              <w:rPr>
                <w:rFonts w:ascii="Times New Roman" w:hAnsi="Times New Roman" w:eastAsia="方正仿宋_GBK"/>
                <w:b w:val="0"/>
                <w:sz w:val="24"/>
              </w:rPr>
              <w:t>紧急故障（远程无法解决）</w:t>
            </w:r>
          </w:p>
        </w:tc>
        <w:tc>
          <w:tcPr>
            <w:tcW w:type="dxa" w:w="2948"/>
          </w:tcPr>
          <w:p>
            <w:pPr>
              <w:spacing w:before="0" w:after="0" w:line="480" w:lineRule="exact"/>
              <w:jc w:val="left"/>
            </w:pPr>
            <w:r/>
            <w:r>
              <w:rPr>
                <w:rFonts w:ascii="Times New Roman" w:hAnsi="Times New Roman" w:eastAsia="方正仿宋_GBK"/>
                <w:b w:val="0"/>
                <w:sz w:val="24"/>
              </w:rPr>
              <w:t>电话</w:t>
            </w:r>
          </w:p>
        </w:tc>
        <w:tc>
          <w:tcPr>
            <w:tcW w:type="dxa" w:w="2948"/>
          </w:tcPr>
          <w:p>
            <w:pPr>
              <w:spacing w:before="0" w:after="0" w:line="480" w:lineRule="exact"/>
              <w:jc w:val="left"/>
            </w:pPr>
            <w:r/>
            <w:r>
              <w:rPr>
                <w:rFonts w:ascii="Times New Roman" w:hAnsi="Times New Roman" w:eastAsia="方正仿宋_GBK"/>
                <w:b w:val="0"/>
                <w:sz w:val="24"/>
              </w:rPr>
              <w:t>2.5小时内安排资深人员到场</w:t>
            </w:r>
          </w:p>
        </w:tc>
      </w:tr>
      <w:tr>
        <w:tc>
          <w:tcPr>
            <w:tcW w:type="dxa" w:w="2948"/>
          </w:tcPr>
          <w:p>
            <w:pPr>
              <w:spacing w:before="0" w:after="0" w:line="480" w:lineRule="exact"/>
              <w:jc w:val="left"/>
            </w:pPr>
            <w:r/>
            <w:r>
              <w:rPr>
                <w:rFonts w:ascii="Times New Roman" w:hAnsi="Times New Roman" w:eastAsia="方正仿宋_GBK"/>
                <w:b w:val="0"/>
                <w:sz w:val="24"/>
              </w:rPr>
              <w:t>紧急故障（到场后）</w:t>
            </w:r>
          </w:p>
        </w:tc>
        <w:tc>
          <w:tcPr>
            <w:tcW w:type="dxa" w:w="2948"/>
          </w:tcPr>
          <w:p>
            <w:pPr>
              <w:spacing w:before="0" w:after="0" w:line="480" w:lineRule="exact"/>
              <w:jc w:val="left"/>
            </w:pPr>
            <w:r/>
            <w:r>
              <w:rPr>
                <w:rFonts w:ascii="Times New Roman" w:hAnsi="Times New Roman" w:eastAsia="方正仿宋_GBK"/>
                <w:b w:val="0"/>
                <w:sz w:val="24"/>
              </w:rPr>
              <w:t>现场</w:t>
            </w:r>
          </w:p>
        </w:tc>
        <w:tc>
          <w:tcPr>
            <w:tcW w:type="dxa" w:w="2948"/>
          </w:tcPr>
          <w:p>
            <w:pPr>
              <w:spacing w:before="0" w:after="0" w:line="480" w:lineRule="exact"/>
              <w:jc w:val="left"/>
            </w:pPr>
            <w:r/>
            <w:r>
              <w:rPr>
                <w:rFonts w:ascii="Times New Roman" w:hAnsi="Times New Roman" w:eastAsia="方正仿宋_GBK"/>
                <w:b w:val="0"/>
                <w:sz w:val="24"/>
              </w:rPr>
              <w:t>5小时内修复完成</w:t>
            </w:r>
          </w:p>
        </w:tc>
      </w:tr>
      <w:tr>
        <w:tc>
          <w:tcPr>
            <w:tcW w:type="dxa" w:w="2948"/>
          </w:tcPr>
          <w:p>
            <w:pPr>
              <w:spacing w:before="0" w:after="0" w:line="480" w:lineRule="exact"/>
              <w:jc w:val="left"/>
            </w:pPr>
            <w:r/>
            <w:r>
              <w:rPr>
                <w:rFonts w:ascii="Times New Roman" w:hAnsi="Times New Roman" w:eastAsia="方正仿宋_GBK"/>
                <w:b w:val="0"/>
                <w:sz w:val="24"/>
              </w:rPr>
              <w:t>硬件故障</w:t>
            </w:r>
          </w:p>
        </w:tc>
        <w:tc>
          <w:tcPr>
            <w:tcW w:type="dxa" w:w="2948"/>
          </w:tcPr>
          <w:p>
            <w:pPr>
              <w:spacing w:before="0" w:after="0" w:line="480" w:lineRule="exact"/>
              <w:jc w:val="left"/>
            </w:pPr>
            <w:r/>
            <w:r>
              <w:rPr>
                <w:rFonts w:ascii="Times New Roman" w:hAnsi="Times New Roman" w:eastAsia="方正仿宋_GBK"/>
                <w:b w:val="0"/>
                <w:sz w:val="24"/>
              </w:rPr>
              <w:t>现场</w:t>
            </w:r>
          </w:p>
        </w:tc>
        <w:tc>
          <w:tcPr>
            <w:tcW w:type="dxa" w:w="2948"/>
          </w:tcPr>
          <w:p>
            <w:pPr>
              <w:spacing w:before="0" w:after="0" w:line="480" w:lineRule="exact"/>
              <w:jc w:val="left"/>
            </w:pPr>
            <w:r/>
            <w:r>
              <w:rPr>
                <w:rFonts w:ascii="Times New Roman" w:hAnsi="Times New Roman" w:eastAsia="方正仿宋_GBK"/>
                <w:b w:val="0"/>
                <w:sz w:val="24"/>
              </w:rPr>
              <w:t>确认故障后立即更换</w:t>
            </w:r>
          </w:p>
        </w:tc>
      </w:tr>
    </w:tbl>
    <w:p>
      <w:pPr>
        <w:spacing w:before="120" w:after="0" w:line="200" w:lineRule="exact"/>
      </w:pPr>
    </w:p>
    <w:p>
      <w:pPr>
        <w:spacing w:before="160" w:after="80" w:line="560" w:lineRule="exact"/>
        <w:jc w:val="left"/>
      </w:pPr>
      <w:r>
        <w:rPr>
          <w:rFonts w:ascii="Times New Roman" w:hAnsi="Times New Roman" w:eastAsia="方正黑体_GBK"/>
          <w:b w:val="0"/>
          <w:sz w:val="28"/>
        </w:rPr>
        <w:t>2.7.2 服务质量管理体系</w:t>
      </w:r>
    </w:p>
    <w:p>
      <w:pPr>
        <w:spacing w:before="0" w:after="0" w:line="560" w:lineRule="exact"/>
        <w:ind w:firstLine="420"/>
      </w:pPr>
      <w:r>
        <w:rPr>
          <w:rFonts w:ascii="Times New Roman" w:hAnsi="Times New Roman" w:eastAsia="方正黑体_GBK"/>
          <w:b/>
          <w:sz w:val="28"/>
        </w:rPr>
        <w:t>流程标准化</w:t>
      </w:r>
    </w:p>
    <w:p>
      <w:pPr>
        <w:spacing w:before="0" w:after="0" w:line="560" w:lineRule="exact"/>
        <w:ind w:firstLine="420"/>
      </w:pPr>
      <w:r>
        <w:rPr>
          <w:rFonts w:ascii="Times New Roman" w:hAnsi="Times New Roman" w:eastAsia="方正仿宋_GBK"/>
          <w:b w:val="0"/>
          <w:sz w:val="28"/>
        </w:rPr>
        <w:t>建立从报修受理到问题关闭的全流程标准化处理规程，覆盖工单登记、责任分配、时效监控、验收确认、统计分析各环节，确保每项服务请求均有记录、有跟踪、有结论。</w:t>
      </w:r>
    </w:p>
    <w:p>
      <w:pPr>
        <w:spacing w:before="0" w:after="0" w:line="560" w:lineRule="exact"/>
        <w:ind w:firstLine="420"/>
      </w:pPr>
      <w:r>
        <w:rPr>
          <w:rFonts w:ascii="Times New Roman" w:hAnsi="Times New Roman" w:eastAsia="方正黑体_GBK"/>
          <w:b/>
          <w:sz w:val="28"/>
        </w:rPr>
        <w:t>质量目标</w:t>
      </w:r>
    </w:p>
    <w:tbl>
      <w:tblPr>
        <w:tblStyle w:val="TableGrid"/>
        <w:tblW w:type="auto" w:w="0"/>
        <w:jc w:val="center"/>
        <w:tblLook w:firstColumn="1" w:firstRow="1" w:lastColumn="0" w:lastRow="0" w:noHBand="0" w:noVBand="1" w:val="04A0"/>
      </w:tblPr>
      <w:tblGrid>
        <w:gridCol w:w="4422"/>
        <w:gridCol w:w="4422"/>
      </w:tblGrid>
      <w:tr>
        <w:tc>
          <w:tcPr>
            <w:tcW w:type="dxa" w:w="4422"/>
            <w:shd w:fill="D9E2F3"/>
          </w:tcPr>
          <w:p>
            <w:pPr>
              <w:spacing w:before="0" w:after="0" w:line="480" w:lineRule="exact"/>
              <w:jc w:val="center"/>
            </w:pPr>
            <w:r/>
            <w:r>
              <w:rPr>
                <w:rFonts w:ascii="Times New Roman" w:hAnsi="Times New Roman" w:eastAsia="方正黑体_GBK"/>
                <w:b/>
                <w:sz w:val="24"/>
              </w:rPr>
              <w:t>考核指标</w:t>
            </w:r>
          </w:p>
        </w:tc>
        <w:tc>
          <w:tcPr>
            <w:tcW w:type="dxa" w:w="4422"/>
            <w:shd w:fill="D9E2F3"/>
          </w:tcPr>
          <w:p>
            <w:pPr>
              <w:spacing w:before="0" w:after="0" w:line="480" w:lineRule="exact"/>
              <w:jc w:val="center"/>
            </w:pPr>
            <w:r/>
            <w:r>
              <w:rPr>
                <w:rFonts w:ascii="Times New Roman" w:hAnsi="Times New Roman" w:eastAsia="方正黑体_GBK"/>
                <w:b/>
                <w:sz w:val="24"/>
              </w:rPr>
              <w:t>目标值</w:t>
            </w:r>
          </w:p>
        </w:tc>
      </w:tr>
      <w:tr>
        <w:tc>
          <w:tcPr>
            <w:tcW w:type="dxa" w:w="4422"/>
          </w:tcPr>
          <w:p>
            <w:pPr>
              <w:spacing w:before="0" w:after="0" w:line="480" w:lineRule="exact"/>
              <w:jc w:val="left"/>
            </w:pPr>
            <w:r/>
            <w:r>
              <w:rPr>
                <w:rFonts w:ascii="Times New Roman" w:hAnsi="Times New Roman" w:eastAsia="方正仿宋_GBK"/>
                <w:b w:val="0"/>
                <w:sz w:val="24"/>
              </w:rPr>
              <w:t>7×24小时电话接通率</w:t>
            </w:r>
          </w:p>
        </w:tc>
        <w:tc>
          <w:tcPr>
            <w:tcW w:type="dxa" w:w="4422"/>
          </w:tcPr>
          <w:p>
            <w:pPr>
              <w:spacing w:before="0" w:after="0" w:line="480" w:lineRule="exact"/>
              <w:jc w:val="left"/>
            </w:pPr>
            <w:r/>
            <w:r>
              <w:rPr>
                <w:rFonts w:ascii="Times New Roman" w:hAnsi="Times New Roman" w:eastAsia="方正仿宋_GBK"/>
                <w:b w:val="0"/>
                <w:sz w:val="24"/>
              </w:rPr>
              <w:t>≥95%</w:t>
            </w:r>
          </w:p>
        </w:tc>
      </w:tr>
      <w:tr>
        <w:tc>
          <w:tcPr>
            <w:tcW w:type="dxa" w:w="4422"/>
          </w:tcPr>
          <w:p>
            <w:pPr>
              <w:spacing w:before="0" w:after="0" w:line="480" w:lineRule="exact"/>
              <w:jc w:val="left"/>
            </w:pPr>
            <w:r/>
            <w:r>
              <w:rPr>
                <w:rFonts w:ascii="Times New Roman" w:hAnsi="Times New Roman" w:eastAsia="方正仿宋_GBK"/>
                <w:b w:val="0"/>
                <w:sz w:val="24"/>
              </w:rPr>
              <w:t>紧急故障2.5小时到场率</w:t>
            </w:r>
          </w:p>
        </w:tc>
        <w:tc>
          <w:tcPr>
            <w:tcW w:type="dxa" w:w="4422"/>
          </w:tcPr>
          <w:p>
            <w:pPr>
              <w:spacing w:before="0" w:after="0" w:line="480" w:lineRule="exact"/>
              <w:jc w:val="left"/>
            </w:pPr>
            <w:r/>
            <w:r>
              <w:rPr>
                <w:rFonts w:ascii="Times New Roman" w:hAnsi="Times New Roman" w:eastAsia="方正仿宋_GBK"/>
                <w:b w:val="0"/>
                <w:sz w:val="24"/>
              </w:rPr>
              <w:t>100%</w:t>
            </w:r>
          </w:p>
        </w:tc>
      </w:tr>
      <w:tr>
        <w:tc>
          <w:tcPr>
            <w:tcW w:type="dxa" w:w="4422"/>
          </w:tcPr>
          <w:p>
            <w:pPr>
              <w:spacing w:before="0" w:after="0" w:line="480" w:lineRule="exact"/>
              <w:jc w:val="left"/>
            </w:pPr>
            <w:r/>
            <w:r>
              <w:rPr>
                <w:rFonts w:ascii="Times New Roman" w:hAnsi="Times New Roman" w:eastAsia="方正仿宋_GBK"/>
                <w:b w:val="0"/>
                <w:sz w:val="24"/>
              </w:rPr>
              <w:t>紧急故障5小时修复率</w:t>
            </w:r>
          </w:p>
        </w:tc>
        <w:tc>
          <w:tcPr>
            <w:tcW w:type="dxa" w:w="4422"/>
          </w:tcPr>
          <w:p>
            <w:pPr>
              <w:spacing w:before="0" w:after="0" w:line="480" w:lineRule="exact"/>
              <w:jc w:val="left"/>
            </w:pPr>
            <w:r/>
            <w:r>
              <w:rPr>
                <w:rFonts w:ascii="Times New Roman" w:hAnsi="Times New Roman" w:eastAsia="方正仿宋_GBK"/>
                <w:b w:val="0"/>
                <w:sz w:val="24"/>
              </w:rPr>
              <w:t>≥95%</w:t>
            </w:r>
          </w:p>
        </w:tc>
      </w:tr>
      <w:tr>
        <w:tc>
          <w:tcPr>
            <w:tcW w:type="dxa" w:w="4422"/>
          </w:tcPr>
          <w:p>
            <w:pPr>
              <w:spacing w:before="0" w:after="0" w:line="480" w:lineRule="exact"/>
              <w:jc w:val="left"/>
            </w:pPr>
            <w:r/>
            <w:r>
              <w:rPr>
                <w:rFonts w:ascii="Times New Roman" w:hAnsi="Times New Roman" w:eastAsia="方正仿宋_GBK"/>
                <w:b w:val="0"/>
                <w:sz w:val="24"/>
              </w:rPr>
              <w:t>巡检按计划完成率</w:t>
            </w:r>
          </w:p>
        </w:tc>
        <w:tc>
          <w:tcPr>
            <w:tcW w:type="dxa" w:w="4422"/>
          </w:tcPr>
          <w:p>
            <w:pPr>
              <w:spacing w:before="0" w:after="0" w:line="480" w:lineRule="exact"/>
              <w:jc w:val="left"/>
            </w:pPr>
            <w:r/>
            <w:r>
              <w:rPr>
                <w:rFonts w:ascii="Times New Roman" w:hAnsi="Times New Roman" w:eastAsia="方正仿宋_GBK"/>
                <w:b w:val="0"/>
                <w:sz w:val="24"/>
              </w:rPr>
              <w:t>100%</w:t>
            </w:r>
          </w:p>
        </w:tc>
      </w:tr>
      <w:tr>
        <w:tc>
          <w:tcPr>
            <w:tcW w:type="dxa" w:w="4422"/>
          </w:tcPr>
          <w:p>
            <w:pPr>
              <w:spacing w:before="0" w:after="0" w:line="480" w:lineRule="exact"/>
              <w:jc w:val="left"/>
            </w:pPr>
            <w:r/>
            <w:r>
              <w:rPr>
                <w:rFonts w:ascii="Times New Roman" w:hAnsi="Times New Roman" w:eastAsia="方正仿宋_GBK"/>
                <w:b w:val="0"/>
                <w:sz w:val="24"/>
              </w:rPr>
              <w:t>修改服务3日历日完成率</w:t>
            </w:r>
          </w:p>
        </w:tc>
        <w:tc>
          <w:tcPr>
            <w:tcW w:type="dxa" w:w="4422"/>
          </w:tcPr>
          <w:p>
            <w:pPr>
              <w:spacing w:before="0" w:after="0" w:line="480" w:lineRule="exact"/>
              <w:jc w:val="left"/>
            </w:pPr>
            <w:r/>
            <w:r>
              <w:rPr>
                <w:rFonts w:ascii="Times New Roman" w:hAnsi="Times New Roman" w:eastAsia="方正仿宋_GBK"/>
                <w:b w:val="0"/>
                <w:sz w:val="24"/>
              </w:rPr>
              <w:t>≥98%</w:t>
            </w:r>
          </w:p>
        </w:tc>
      </w:tr>
    </w:tbl>
    <w:p>
      <w:pPr>
        <w:spacing w:before="120" w:after="0" w:line="200" w:lineRule="exact"/>
      </w:pPr>
    </w:p>
    <w:p>
      <w:pPr>
        <w:spacing w:before="0" w:after="0" w:line="560" w:lineRule="exact"/>
        <w:ind w:firstLine="420"/>
      </w:pPr>
      <w:r>
        <w:rPr>
          <w:rFonts w:ascii="Times New Roman" w:hAnsi="Times New Roman" w:eastAsia="方正黑体_GBK"/>
          <w:b/>
          <w:sz w:val="28"/>
        </w:rPr>
        <w:t>备件保障机制</w:t>
      </w:r>
    </w:p>
    <w:p>
      <w:pPr>
        <w:spacing w:before="0" w:after="0" w:line="560" w:lineRule="exact"/>
        <w:ind w:firstLine="420"/>
      </w:pPr>
      <w:r>
        <w:rPr>
          <w:rFonts w:ascii="Times New Roman" w:hAnsi="Times New Roman" w:eastAsia="方正仿宋_GBK"/>
          <w:b w:val="0"/>
          <w:sz w:val="28"/>
        </w:rPr>
        <w:t>对高损耗、高故障概率部件建立常用备件库存，包括：监控硬盘、门禁读卡器、电磁锁等消耗性部件，确保硬件故障时立即更换，不因备件缺货延误修复时效。备件更换须使用全新正品设备。</w:t>
      </w:r>
    </w:p>
    <w:p>
      <w:pPr>
        <w:spacing w:before="160" w:after="80" w:line="560" w:lineRule="exact"/>
        <w:jc w:val="left"/>
      </w:pPr>
      <w:r>
        <w:rPr>
          <w:rFonts w:ascii="Times New Roman" w:hAnsi="Times New Roman" w:eastAsia="方正黑体_GBK"/>
          <w:b w:val="0"/>
          <w:sz w:val="28"/>
        </w:rPr>
        <w:t>2.7.3 应急保障措施</w:t>
      </w:r>
    </w:p>
    <w:p>
      <w:pPr>
        <w:spacing w:before="0" w:after="0" w:line="560" w:lineRule="exact"/>
        <w:ind w:firstLine="420"/>
      </w:pPr>
      <w:r>
        <w:rPr>
          <w:rFonts w:ascii="Times New Roman" w:hAnsi="Times New Roman" w:eastAsia="方正黑体_GBK"/>
          <w:b/>
          <w:sz w:val="28"/>
        </w:rPr>
        <w:t>系统升级回滚预案</w:t>
      </w:r>
    </w:p>
    <w:p>
      <w:pPr>
        <w:spacing w:before="0" w:after="0" w:line="560" w:lineRule="exact"/>
        <w:ind w:firstLine="420"/>
      </w:pPr>
      <w:r>
        <w:rPr>
          <w:rFonts w:ascii="Times New Roman" w:hAnsi="Times New Roman" w:eastAsia="方正仿宋_GBK"/>
          <w:b w:val="0"/>
          <w:sz w:val="28"/>
        </w:rPr>
        <w:t>系统升级或版本切换前制定详细回滚方案，确保升级失败时可在规定时间内恢复至升级前状态，将业务影响降至最低。</w:t>
      </w:r>
    </w:p>
    <w:p>
      <w:pPr>
        <w:spacing w:before="0" w:after="0" w:line="560" w:lineRule="exact"/>
        <w:ind w:firstLine="420"/>
      </w:pPr>
      <w:r>
        <w:rPr>
          <w:rFonts w:ascii="Times New Roman" w:hAnsi="Times New Roman" w:eastAsia="方正黑体_GBK"/>
          <w:b/>
          <w:sz w:val="28"/>
        </w:rPr>
        <w:t>重大活动保障预案</w:t>
      </w:r>
    </w:p>
    <w:p>
      <w:pPr>
        <w:spacing w:before="0" w:after="0" w:line="560" w:lineRule="exact"/>
        <w:ind w:firstLine="420"/>
      </w:pPr>
      <w:r>
        <w:rPr>
          <w:rFonts w:ascii="Times New Roman" w:hAnsi="Times New Roman" w:eastAsia="方正仿宋_GBK"/>
          <w:b w:val="0"/>
          <w:sz w:val="28"/>
        </w:rPr>
        <w:t>重大专项行动前与采购人提前沟通保障需求，提前安排现场驻场人员，保障期间实行高可用目标管理，系统运行异常零容忍。</w:t>
      </w:r>
    </w:p>
    <w:p>
      <w:pPr>
        <w:spacing w:before="0" w:after="0" w:line="560" w:lineRule="exact"/>
        <w:ind w:firstLine="420"/>
      </w:pPr>
      <w:r>
        <w:rPr>
          <w:rFonts w:ascii="Times New Roman" w:hAnsi="Times New Roman" w:eastAsia="方正黑体_GBK"/>
          <w:b/>
          <w:sz w:val="28"/>
        </w:rPr>
        <w:t>数据安全应急预案</w:t>
      </w:r>
    </w:p>
    <w:p>
      <w:pPr>
        <w:spacing w:before="0" w:after="0" w:line="560" w:lineRule="exact"/>
        <w:ind w:firstLine="420"/>
      </w:pPr>
      <w:r>
        <w:rPr>
          <w:rFonts w:ascii="Times New Roman" w:hAnsi="Times New Roman" w:eastAsia="方正仿宋_GBK"/>
          <w:b w:val="0"/>
          <w:sz w:val="28"/>
        </w:rPr>
        <w:t>发现数据异常时立即冻结相关操作，启动数据恢复流程，确保案件数据、人员数据及涉案财物数据不丢失、不损坏。</w:t>
      </w:r>
    </w:p>
    <w:p>
      <w:pPr>
        <w:spacing w:before="160" w:after="80" w:line="560" w:lineRule="exact"/>
        <w:jc w:val="left"/>
      </w:pPr>
      <w:r>
        <w:rPr>
          <w:rFonts w:ascii="Times New Roman" w:hAnsi="Times New Roman" w:eastAsia="方正黑体_GBK"/>
          <w:b w:val="0"/>
          <w:sz w:val="28"/>
        </w:rPr>
        <w:t>2.7.4 服务报告制度</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月度服务报告</w:t>
      </w:r>
      <w:r>
        <w:rPr>
          <w:rFonts w:ascii="Times New Roman" w:hAnsi="Times New Roman" w:eastAsia="方正仿宋_GBK"/>
          <w:b w:val="0"/>
          <w:sz w:val="28"/>
        </w:rPr>
        <w:t>：每月提供运维服务月报，内容涵盖服务统计、问题汇总、趋势分析及下月工作计划</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年度服务总结</w:t>
      </w:r>
      <w:r>
        <w:rPr>
          <w:rFonts w:ascii="Times New Roman" w:hAnsi="Times New Roman" w:eastAsia="方正仿宋_GBK"/>
          <w:b w:val="0"/>
          <w:sz w:val="28"/>
        </w:rPr>
        <w:t>：合同期满前提交全年运维总结报告，包含服务达成情况与持续改进建议</w:t>
      </w:r>
    </w:p>
    <w:p>
      <w:pPr>
        <w:spacing w:before="0" w:after="0" w:line="560" w:lineRule="exact"/>
        <w:ind w:left="420" w:firstLine="0"/>
      </w:pPr>
      <w:r>
        <w:rPr>
          <w:rFonts w:ascii="Times New Roman" w:hAnsi="Times New Roman" w:eastAsia="方正仿宋_GBK"/>
          <w:b w:val="0"/>
          <w:sz w:val="28"/>
        </w:rPr>
        <w:t xml:space="preserve">— </w:t>
      </w:r>
      <w:r>
        <w:rPr>
          <w:rFonts w:ascii="Times New Roman" w:hAnsi="Times New Roman" w:eastAsia="方正黑体_GBK"/>
          <w:b/>
          <w:sz w:val="28"/>
        </w:rPr>
        <w:t>问题整改闭环</w:t>
      </w:r>
      <w:r>
        <w:rPr>
          <w:rFonts w:ascii="Times New Roman" w:hAnsi="Times New Roman" w:eastAsia="方正仿宋_GBK"/>
          <w:b w:val="0"/>
          <w:sz w:val="28"/>
        </w:rPr>
        <w:t>：所有已发现问题须有处理结论，不允许未关闭工单跨月遗留</w:t>
      </w:r>
    </w:p>
    <w:p>
      <w:pPr>
        <w:spacing w:before="360" w:after="240" w:line="640" w:lineRule="exact"/>
        <w:jc w:val="left"/>
      </w:pPr>
      <w:r>
        <w:rPr>
          <w:rFonts w:ascii="Times New Roman" w:hAnsi="Times New Roman" w:eastAsia="方正黑体_GBK"/>
          <w:b/>
          <w:sz w:val="32"/>
        </w:rPr>
        <w:t>三、拟服务团队人员</w:t>
      </w:r>
    </w:p>
    <w:p>
      <w:pPr>
        <w:spacing w:before="240" w:after="120" w:line="560" w:lineRule="exact"/>
        <w:jc w:val="left"/>
      </w:pPr>
      <w:r>
        <w:rPr>
          <w:rFonts w:ascii="Times New Roman" w:hAnsi="Times New Roman" w:eastAsia="方正楷体_GBK"/>
          <w:b/>
          <w:sz w:val="28"/>
        </w:rPr>
        <w:t>3.1 团队配置</w:t>
      </w:r>
    </w:p>
    <w:p>
      <w:pPr>
        <w:spacing w:before="0" w:after="0" w:line="560" w:lineRule="exact"/>
        <w:ind w:firstLine="420"/>
      </w:pPr>
      <w:r>
        <w:rPr>
          <w:rFonts w:ascii="Times New Roman" w:hAnsi="Times New Roman" w:eastAsia="方正仿宋_GBK"/>
          <w:b w:val="0"/>
          <w:sz w:val="28"/>
        </w:rPr>
        <w:t>我方为本项目配备专属运维团队，满足招标文件关于运维经理1名、运维工程师不少于3名的配置要求。</w:t>
      </w:r>
    </w:p>
    <w:tbl>
      <w:tblPr>
        <w:tblStyle w:val="TableGrid"/>
        <w:tblW w:type="auto" w:w="0"/>
        <w:jc w:val="center"/>
        <w:tblLook w:firstColumn="1" w:firstRow="1" w:lastColumn="0" w:lastRow="0" w:noHBand="0" w:noVBand="1" w:val="04A0"/>
      </w:tblPr>
      <w:tblGrid>
        <w:gridCol w:w="2948"/>
        <w:gridCol w:w="2948"/>
        <w:gridCol w:w="2948"/>
      </w:tblGrid>
      <w:tr>
        <w:tc>
          <w:tcPr>
            <w:tcW w:type="dxa" w:w="2948"/>
            <w:shd w:fill="D9E2F3"/>
          </w:tcPr>
          <w:p>
            <w:pPr>
              <w:spacing w:before="0" w:after="0" w:line="480" w:lineRule="exact"/>
              <w:jc w:val="center"/>
            </w:pPr>
            <w:r/>
            <w:r>
              <w:rPr>
                <w:rFonts w:ascii="Times New Roman" w:hAnsi="Times New Roman" w:eastAsia="方正黑体_GBK"/>
                <w:b/>
                <w:sz w:val="24"/>
              </w:rPr>
              <w:t>岗位</w:t>
            </w:r>
          </w:p>
        </w:tc>
        <w:tc>
          <w:tcPr>
            <w:tcW w:type="dxa" w:w="2948"/>
            <w:shd w:fill="D9E2F3"/>
          </w:tcPr>
          <w:p>
            <w:pPr>
              <w:spacing w:before="0" w:after="0" w:line="480" w:lineRule="exact"/>
              <w:jc w:val="center"/>
            </w:pPr>
            <w:r/>
            <w:r>
              <w:rPr>
                <w:rFonts w:ascii="Times New Roman" w:hAnsi="Times New Roman" w:eastAsia="方正黑体_GBK"/>
                <w:b/>
                <w:sz w:val="24"/>
              </w:rPr>
              <w:t>人数</w:t>
            </w:r>
          </w:p>
        </w:tc>
        <w:tc>
          <w:tcPr>
            <w:tcW w:type="dxa" w:w="2948"/>
            <w:shd w:fill="D9E2F3"/>
          </w:tcPr>
          <w:p>
            <w:pPr>
              <w:spacing w:before="0" w:after="0" w:line="480" w:lineRule="exact"/>
              <w:jc w:val="center"/>
            </w:pPr>
            <w:r/>
            <w:r>
              <w:rPr>
                <w:rFonts w:ascii="Times New Roman" w:hAnsi="Times New Roman" w:eastAsia="方正黑体_GBK"/>
                <w:b/>
                <w:sz w:val="24"/>
              </w:rPr>
              <w:t>主要职责</w:t>
            </w:r>
          </w:p>
        </w:tc>
      </w:tr>
      <w:tr>
        <w:tc>
          <w:tcPr>
            <w:tcW w:type="dxa" w:w="2948"/>
          </w:tcPr>
          <w:p>
            <w:pPr>
              <w:spacing w:before="0" w:after="0" w:line="480" w:lineRule="exact"/>
              <w:jc w:val="left"/>
            </w:pPr>
            <w:r/>
            <w:r>
              <w:rPr>
                <w:rFonts w:ascii="Times New Roman" w:hAnsi="Times New Roman" w:eastAsia="方正仿宋_GBK"/>
                <w:b w:val="0"/>
                <w:sz w:val="24"/>
              </w:rPr>
              <w:t>运维经理</w:t>
            </w:r>
          </w:p>
        </w:tc>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整体协调、调度管理、客户沟通、应急指挥、月度报告编制</w:t>
            </w:r>
          </w:p>
        </w:tc>
      </w:tr>
      <w:tr>
        <w:tc>
          <w:tcPr>
            <w:tcW w:type="dxa" w:w="2948"/>
          </w:tcPr>
          <w:p>
            <w:pPr>
              <w:spacing w:before="0" w:after="0" w:line="480" w:lineRule="exact"/>
              <w:jc w:val="left"/>
            </w:pPr>
            <w:r/>
            <w:r>
              <w:rPr>
                <w:rFonts w:ascii="Times New Roman" w:hAnsi="Times New Roman" w:eastAsia="方正仿宋_GBK"/>
                <w:b w:val="0"/>
                <w:sz w:val="24"/>
              </w:rPr>
              <w:t>技术负责人</w:t>
            </w:r>
          </w:p>
        </w:tc>
        <w:tc>
          <w:tcPr>
            <w:tcW w:type="dxa" w:w="2948"/>
          </w:tcPr>
          <w:p>
            <w:pPr>
              <w:spacing w:before="0" w:after="0" w:line="480" w:lineRule="exact"/>
              <w:jc w:val="left"/>
            </w:pPr>
            <w:r/>
            <w:r>
              <w:rPr>
                <w:rFonts w:ascii="Times New Roman" w:hAnsi="Times New Roman" w:eastAsia="方正仿宋_GBK"/>
                <w:b w:val="0"/>
                <w:sz w:val="24"/>
              </w:rPr>
              <w:t>1</w:t>
            </w:r>
          </w:p>
        </w:tc>
        <w:tc>
          <w:tcPr>
            <w:tcW w:type="dxa" w:w="2948"/>
          </w:tcPr>
          <w:p>
            <w:pPr>
              <w:spacing w:before="0" w:after="0" w:line="480" w:lineRule="exact"/>
              <w:jc w:val="left"/>
            </w:pPr>
            <w:r/>
            <w:r>
              <w:rPr>
                <w:rFonts w:ascii="Times New Roman" w:hAnsi="Times New Roman" w:eastAsia="方正仿宋_GBK"/>
                <w:b w:val="0"/>
                <w:sz w:val="24"/>
              </w:rPr>
              <w:t>技术决策、复杂故障处置、系统升级方案审核、接口变更评估</w:t>
            </w:r>
          </w:p>
        </w:tc>
      </w:tr>
      <w:tr>
        <w:tc>
          <w:tcPr>
            <w:tcW w:type="dxa" w:w="2948"/>
          </w:tcPr>
          <w:p>
            <w:pPr>
              <w:spacing w:before="0" w:after="0" w:line="480" w:lineRule="exact"/>
              <w:jc w:val="left"/>
            </w:pPr>
            <w:r/>
            <w:r>
              <w:rPr>
                <w:rFonts w:ascii="Times New Roman" w:hAnsi="Times New Roman" w:eastAsia="方正仿宋_GBK"/>
                <w:b w:val="0"/>
                <w:sz w:val="24"/>
              </w:rPr>
              <w:t>运维工程师</w:t>
            </w:r>
          </w:p>
        </w:tc>
        <w:tc>
          <w:tcPr>
            <w:tcW w:type="dxa" w:w="2948"/>
          </w:tcPr>
          <w:p>
            <w:pPr>
              <w:spacing w:before="0" w:after="0" w:line="480" w:lineRule="exact"/>
              <w:jc w:val="left"/>
            </w:pPr>
            <w:r/>
            <w:r>
              <w:rPr>
                <w:rFonts w:ascii="Times New Roman" w:hAnsi="Times New Roman" w:eastAsia="方正仿宋_GBK"/>
                <w:b w:val="0"/>
                <w:sz w:val="24"/>
              </w:rPr>
              <w:t>≥2</w:t>
            </w:r>
          </w:p>
        </w:tc>
        <w:tc>
          <w:tcPr>
            <w:tcW w:type="dxa" w:w="2948"/>
          </w:tcPr>
          <w:p>
            <w:pPr>
              <w:spacing w:before="0" w:after="0" w:line="480" w:lineRule="exact"/>
              <w:jc w:val="left"/>
            </w:pPr>
            <w:r/>
            <w:r>
              <w:rPr>
                <w:rFonts w:ascii="Times New Roman" w:hAnsi="Times New Roman" w:eastAsia="方正仿宋_GBK"/>
                <w:b w:val="0"/>
                <w:sz w:val="24"/>
              </w:rPr>
              <w:t>日常巡检、故障现场处理、接口维护、安全服务执行</w:t>
            </w:r>
          </w:p>
        </w:tc>
      </w:tr>
    </w:tbl>
    <w:p>
      <w:pPr>
        <w:spacing w:before="120" w:after="0" w:line="200" w:lineRule="exact"/>
      </w:pPr>
    </w:p>
    <w:p>
      <w:pPr>
        <w:spacing w:before="0" w:after="0" w:line="560" w:lineRule="exact"/>
        <w:ind w:firstLine="420"/>
      </w:pPr>
      <w:r>
        <w:rPr>
          <w:rFonts w:ascii="Times New Roman" w:hAnsi="Times New Roman" w:eastAsia="方正仿宋_GBK"/>
          <w:b w:val="0"/>
          <w:sz w:val="28"/>
        </w:rPr>
        <w:t>&gt; 注：团队成员姓名、职称/证书、同类项目经验详见附件"拟派团队信息表"。</w:t>
      </w:r>
    </w:p>
    <w:p>
      <w:pPr>
        <w:spacing w:before="240" w:after="120" w:line="560" w:lineRule="exact"/>
        <w:jc w:val="left"/>
      </w:pPr>
      <w:r>
        <w:rPr>
          <w:rFonts w:ascii="Times New Roman" w:hAnsi="Times New Roman" w:eastAsia="方正楷体_GBK"/>
          <w:b/>
          <w:sz w:val="28"/>
        </w:rPr>
        <w:t>3.2 能力要求</w:t>
      </w:r>
    </w:p>
    <w:p>
      <w:pPr>
        <w:spacing w:before="0" w:after="0" w:line="560" w:lineRule="exact"/>
        <w:ind w:firstLine="420"/>
      </w:pPr>
      <w:r>
        <w:rPr>
          <w:rFonts w:ascii="Times New Roman" w:hAnsi="Times New Roman" w:eastAsia="方正仿宋_GBK"/>
          <w:b w:val="0"/>
          <w:sz w:val="28"/>
        </w:rPr>
        <w:t>团队成员具备软件开发能力、系统运维能力及安全服务能力，能够胜任本项目应用软件维护、数据库管理、硬件维修及多系统接口维护工作。核心岗位实行双人备份，避免单点人员依赖，保障服务连续性。</w:t>
      </w:r>
    </w:p>
    <w:p>
      <w:pPr>
        <w:spacing w:before="360" w:after="240" w:line="640" w:lineRule="exact"/>
        <w:jc w:val="left"/>
      </w:pPr>
      <w:r>
        <w:rPr>
          <w:rFonts w:ascii="Times New Roman" w:hAnsi="Times New Roman" w:eastAsia="方正黑体_GBK"/>
          <w:b/>
          <w:sz w:val="32"/>
        </w:rPr>
        <w:t>四、重难点分析</w:t>
      </w:r>
    </w:p>
    <w:p>
      <w:pPr>
        <w:spacing w:before="240" w:after="120" w:line="560" w:lineRule="exact"/>
        <w:jc w:val="left"/>
      </w:pPr>
      <w:r>
        <w:rPr>
          <w:rFonts w:ascii="Times New Roman" w:hAnsi="Times New Roman" w:eastAsia="方正楷体_GBK"/>
          <w:b/>
          <w:sz w:val="28"/>
        </w:rPr>
        <w:t>4.1 公安专网信息安全合规（重点）</w:t>
      </w:r>
    </w:p>
    <w:p>
      <w:pPr>
        <w:spacing w:before="0" w:after="0" w:line="560" w:lineRule="exact"/>
        <w:ind w:firstLine="420"/>
      </w:pPr>
      <w:r>
        <w:rPr>
          <w:rFonts w:ascii="Times New Roman" w:hAnsi="Times New Roman" w:eastAsia="方正黑体_GBK"/>
          <w:b/>
          <w:sz w:val="28"/>
        </w:rPr>
        <w:t>难点描述</w:t>
      </w:r>
    </w:p>
    <w:p>
      <w:pPr>
        <w:spacing w:before="0" w:after="0" w:line="560" w:lineRule="exact"/>
        <w:ind w:firstLine="420"/>
      </w:pPr>
      <w:r>
        <w:rPr>
          <w:rFonts w:ascii="Times New Roman" w:hAnsi="Times New Roman" w:eastAsia="方正仿宋_GBK"/>
          <w:b w:val="0"/>
          <w:sz w:val="28"/>
        </w:rPr>
        <w:t>本系统运行于公安内网，承载案件信息、人员信息及涉案财物数据，任何运维操作失当均可能引发信息安全事故。运维人员需在高安全约束环境下完成日常维护，信息安全合规是本项目的第一要务。</w:t>
      </w:r>
    </w:p>
    <w:p>
      <w:pPr>
        <w:spacing w:before="0" w:after="0" w:line="560" w:lineRule="exact"/>
        <w:ind w:firstLine="420"/>
      </w:pPr>
      <w:r>
        <w:rPr>
          <w:rFonts w:ascii="Times New Roman" w:hAnsi="Times New Roman" w:eastAsia="方正黑体_GBK"/>
          <w:b/>
          <w:sz w:val="28"/>
        </w:rPr>
        <w:t>应对措施</w:t>
      </w:r>
    </w:p>
    <w:p>
      <w:pPr>
        <w:spacing w:before="0" w:after="0" w:line="560" w:lineRule="exact"/>
        <w:ind w:firstLine="420"/>
      </w:pPr>
      <w:r>
        <w:rPr>
          <w:rFonts w:ascii="Times New Roman" w:hAnsi="Times New Roman" w:eastAsia="方正仿宋_GBK"/>
          <w:b w:val="0"/>
          <w:sz w:val="28"/>
        </w:rPr>
        <w:t>所有运维人员须通过公安网安全培训并获得入网授权，严格遵守相关保密规定。建立运维操作审批制度，高危操作须经采购人确认后方可执行。运维终端实行专机专用，禁止接入外网设备。操作全程留痕，日志保留不少于合同期满后6个月。对外出具完善的保密管理制度，确保信息安全管理有制度可循、有记录可查。</w:t>
      </w:r>
    </w:p>
    <w:p>
      <w:pPr>
        <w:spacing w:before="240" w:after="120" w:line="560" w:lineRule="exact"/>
        <w:jc w:val="left"/>
      </w:pPr>
      <w:r>
        <w:rPr>
          <w:rFonts w:ascii="Times New Roman" w:hAnsi="Times New Roman" w:eastAsia="方正楷体_GBK"/>
          <w:b/>
          <w:sz w:val="28"/>
        </w:rPr>
        <w:t>4.2 多系统对接稳定性（重点）</w:t>
      </w:r>
    </w:p>
    <w:p>
      <w:pPr>
        <w:spacing w:before="0" w:after="0" w:line="560" w:lineRule="exact"/>
        <w:ind w:firstLine="420"/>
      </w:pPr>
      <w:r>
        <w:rPr>
          <w:rFonts w:ascii="Times New Roman" w:hAnsi="Times New Roman" w:eastAsia="方正黑体_GBK"/>
          <w:b/>
          <w:sz w:val="28"/>
        </w:rPr>
        <w:t>难点描述</w:t>
      </w:r>
    </w:p>
    <w:p>
      <w:pPr>
        <w:spacing w:before="0" w:after="0" w:line="560" w:lineRule="exact"/>
        <w:ind w:firstLine="420"/>
      </w:pPr>
      <w:r>
        <w:rPr>
          <w:rFonts w:ascii="Times New Roman" w:hAnsi="Times New Roman" w:eastAsia="方正仿宋_GBK"/>
          <w:b w:val="0"/>
          <w:sz w:val="28"/>
        </w:rPr>
        <w:t>本系统与执法办案平台、政法系统、远程示证等多个外部系统存在数据对接关系，各系统版本迭代节奏不同，接口兼容性问题是持续运维中的主要技术风险。任一对接中断将直接影响流转数据回传，影响司法业务。</w:t>
      </w:r>
    </w:p>
    <w:p>
      <w:pPr>
        <w:spacing w:before="0" w:after="0" w:line="560" w:lineRule="exact"/>
        <w:ind w:firstLine="420"/>
      </w:pPr>
      <w:r>
        <w:rPr>
          <w:rFonts w:ascii="Times New Roman" w:hAnsi="Times New Roman" w:eastAsia="方正黑体_GBK"/>
          <w:b/>
          <w:sz w:val="28"/>
        </w:rPr>
        <w:t>应对措施</w:t>
      </w:r>
    </w:p>
    <w:p>
      <w:pPr>
        <w:spacing w:before="0" w:after="0" w:line="560" w:lineRule="exact"/>
        <w:ind w:firstLine="420"/>
      </w:pPr>
      <w:r>
        <w:rPr>
          <w:rFonts w:ascii="Times New Roman" w:hAnsi="Times New Roman" w:eastAsia="方正仿宋_GBK"/>
          <w:b w:val="0"/>
          <w:sz w:val="28"/>
        </w:rPr>
        <w:t>建立接口变更感知机制，主动跟踪各对接方系统的版本更新计划。与各对接系统管理单位建立技术联络渠道，版本升级时提前协调适配。接口变更前充分测试，验证通过后再切换，避免全量中断。维护期间对接口可用性实施持续监控，异常时立即响应处理。</w:t>
      </w:r>
    </w:p>
    <w:p>
      <w:pPr>
        <w:spacing w:before="240" w:after="120" w:line="560" w:lineRule="exact"/>
        <w:jc w:val="left"/>
      </w:pPr>
      <w:r>
        <w:rPr>
          <w:rFonts w:ascii="Times New Roman" w:hAnsi="Times New Roman" w:eastAsia="方正楷体_GBK"/>
          <w:b/>
          <w:sz w:val="28"/>
        </w:rPr>
        <w:t>4.3 硬件大规模设备可用性保障（难点）</w:t>
      </w:r>
    </w:p>
    <w:p>
      <w:pPr>
        <w:spacing w:before="0" w:after="0" w:line="560" w:lineRule="exact"/>
        <w:ind w:firstLine="420"/>
      </w:pPr>
      <w:r>
        <w:rPr>
          <w:rFonts w:ascii="Times New Roman" w:hAnsi="Times New Roman" w:eastAsia="方正黑体_GBK"/>
          <w:b/>
          <w:sz w:val="28"/>
        </w:rPr>
        <w:t>难点描述</w:t>
      </w:r>
    </w:p>
    <w:p>
      <w:pPr>
        <w:spacing w:before="0" w:after="0" w:line="560" w:lineRule="exact"/>
        <w:ind w:firstLine="420"/>
      </w:pPr>
      <w:r>
        <w:rPr>
          <w:rFonts w:ascii="Times New Roman" w:hAnsi="Times New Roman" w:eastAsia="方正仿宋_GBK"/>
          <w:b w:val="0"/>
          <w:sz w:val="28"/>
        </w:rPr>
        <w:t>本系统硬件规模较大，包括摄像机151路、网络门禁控制器26个、磁盘阵列机12台、监控硬盘408块等，设备老化和随机故障不可避免。在招标文件规定的5小时修复时限内完成大规模硬件故障处置，对备件保障体系和现场响应能力要求较高。</w:t>
      </w:r>
    </w:p>
    <w:p>
      <w:pPr>
        <w:spacing w:before="0" w:after="0" w:line="560" w:lineRule="exact"/>
        <w:ind w:firstLine="420"/>
      </w:pPr>
      <w:r>
        <w:rPr>
          <w:rFonts w:ascii="Times New Roman" w:hAnsi="Times New Roman" w:eastAsia="方正黑体_GBK"/>
          <w:b/>
          <w:sz w:val="28"/>
        </w:rPr>
        <w:t>应对措施</w:t>
      </w:r>
    </w:p>
    <w:p>
      <w:pPr>
        <w:spacing w:before="0" w:after="0" w:line="560" w:lineRule="exact"/>
        <w:ind w:firstLine="420"/>
      </w:pPr>
      <w:r>
        <w:rPr>
          <w:rFonts w:ascii="Times New Roman" w:hAnsi="Times New Roman" w:eastAsia="方正仿宋_GBK"/>
          <w:b w:val="0"/>
          <w:sz w:val="28"/>
        </w:rPr>
        <w:t>建立设备台账与健康状态档案，对高龄设备提前预警。对高损耗部件（监控硬盘、门禁读卡器、电磁锁等）建立库存保障，确保故障时立即更换，不因备件缺货延误时效。采用预防性维护策略，在周度巡检中识别潜在硬件风险并主动处置，将故障概率降至最低。所有更换备件须为全新正品设备。</w:t>
      </w:r>
    </w:p>
    <w:p>
      <w:pPr>
        <w:spacing w:before="240" w:after="120" w:line="560" w:lineRule="exact"/>
        <w:jc w:val="left"/>
      </w:pPr>
      <w:r>
        <w:rPr>
          <w:rFonts w:ascii="Times New Roman" w:hAnsi="Times New Roman" w:eastAsia="方正楷体_GBK"/>
          <w:b/>
          <w:sz w:val="28"/>
        </w:rPr>
        <w:t>4.4 系统升级与业务连续性平衡（难点）</w:t>
      </w:r>
    </w:p>
    <w:p>
      <w:pPr>
        <w:spacing w:before="0" w:after="0" w:line="560" w:lineRule="exact"/>
        <w:ind w:firstLine="420"/>
      </w:pPr>
      <w:r>
        <w:rPr>
          <w:rFonts w:ascii="Times New Roman" w:hAnsi="Times New Roman" w:eastAsia="方正黑体_GBK"/>
          <w:b/>
          <w:sz w:val="28"/>
        </w:rPr>
        <w:t>难点描述</w:t>
      </w:r>
    </w:p>
    <w:p>
      <w:pPr>
        <w:spacing w:before="0" w:after="0" w:line="560" w:lineRule="exact"/>
        <w:ind w:firstLine="420"/>
      </w:pPr>
      <w:r>
        <w:rPr>
          <w:rFonts w:ascii="Times New Roman" w:hAnsi="Times New Roman" w:eastAsia="方正仿宋_GBK"/>
          <w:b w:val="0"/>
          <w:sz w:val="28"/>
        </w:rPr>
        <w:t>招标文件要求中标后30日历日内完成法院判决文书PDF自动识别功能升级，该功能涉及AI运算，对硬件资源有一定要求，且须在不中断现有业务的前提下完成部署，实施窗口紧张，兼容性风险需提前识别。</w:t>
      </w:r>
    </w:p>
    <w:p>
      <w:pPr>
        <w:spacing w:before="0" w:after="0" w:line="560" w:lineRule="exact"/>
        <w:ind w:firstLine="420"/>
      </w:pPr>
      <w:r>
        <w:rPr>
          <w:rFonts w:ascii="Times New Roman" w:hAnsi="Times New Roman" w:eastAsia="方正黑体_GBK"/>
          <w:b/>
          <w:sz w:val="28"/>
        </w:rPr>
        <w:t>应对措施</w:t>
      </w:r>
    </w:p>
    <w:p>
      <w:pPr>
        <w:spacing w:before="0" w:after="0" w:line="560" w:lineRule="exact"/>
        <w:ind w:firstLine="420"/>
      </w:pPr>
      <w:r>
        <w:rPr>
          <w:rFonts w:ascii="Times New Roman" w:hAnsi="Times New Roman" w:eastAsia="方正仿宋_GBK"/>
          <w:b w:val="0"/>
          <w:sz w:val="28"/>
        </w:rPr>
        <w:t>中标后立即开展现场勘察，确认市局云平台及服务器实际硬件条件，据此制定最优部署方案。采用灰度发布策略，先在测试环境完整验证后再切换生产环境。升级窗口选择业务低峰期，制定详细回滚预案，确保升级失败时可快速恢复，业务影响时间最短。升级完成后进行全功能验证，提交升级验收报告。</w:t>
      </w:r>
    </w:p>
    <w:p>
      <w:pPr>
        <w:spacing w:before="240" w:after="120" w:line="560" w:lineRule="exact"/>
        <w:jc w:val="left"/>
      </w:pPr>
      <w:r>
        <w:rPr>
          <w:rFonts w:ascii="Times New Roman" w:hAnsi="Times New Roman" w:eastAsia="方正楷体_GBK"/>
          <w:b/>
          <w:sz w:val="28"/>
        </w:rPr>
        <w:t>4.5 长期运维人员稳定性与知识传承（重点）</w:t>
      </w:r>
    </w:p>
    <w:p>
      <w:pPr>
        <w:spacing w:before="0" w:after="0" w:line="560" w:lineRule="exact"/>
        <w:ind w:firstLine="420"/>
      </w:pPr>
      <w:r>
        <w:rPr>
          <w:rFonts w:ascii="Times New Roman" w:hAnsi="Times New Roman" w:eastAsia="方正黑体_GBK"/>
          <w:b/>
          <w:sz w:val="28"/>
        </w:rPr>
        <w:t>难点描述</w:t>
      </w:r>
    </w:p>
    <w:p>
      <w:pPr>
        <w:spacing w:before="0" w:after="0" w:line="560" w:lineRule="exact"/>
        <w:ind w:firstLine="420"/>
      </w:pPr>
      <w:r>
        <w:rPr>
          <w:rFonts w:ascii="Times New Roman" w:hAnsi="Times New Roman" w:eastAsia="方正仿宋_GBK"/>
          <w:b w:val="0"/>
          <w:sz w:val="28"/>
        </w:rPr>
        <w:t>运维服务的质量与连续性高度依赖核心人员对系统的掌握程度，人员更替存在系统知识断层风险，对长期服务质量稳定性构成挑战。</w:t>
      </w:r>
    </w:p>
    <w:p>
      <w:pPr>
        <w:spacing w:before="0" w:after="0" w:line="560" w:lineRule="exact"/>
        <w:ind w:firstLine="420"/>
      </w:pPr>
      <w:r>
        <w:rPr>
          <w:rFonts w:ascii="Times New Roman" w:hAnsi="Times New Roman" w:eastAsia="方正黑体_GBK"/>
          <w:b/>
          <w:sz w:val="28"/>
        </w:rPr>
        <w:t>应对措施</w:t>
      </w:r>
    </w:p>
    <w:p>
      <w:pPr>
        <w:spacing w:before="0" w:after="0" w:line="560" w:lineRule="exact"/>
        <w:ind w:firstLine="420"/>
      </w:pPr>
      <w:r>
        <w:rPr>
          <w:rFonts w:ascii="Times New Roman" w:hAnsi="Times New Roman" w:eastAsia="方正仿宋_GBK"/>
          <w:b w:val="0"/>
          <w:sz w:val="28"/>
        </w:rPr>
        <w:t>建立完整的系统知识文档体系，包括系统运行说明、配置参数、历史故障处置记录及接口说明，形成可传承的运维知识库。核心岗位实行双人备份机制，任一人员变更前须完成不少于2周的正式交接，交接记录经采购人确认。人员变更提前5个工作日告知采购人，保障服务交接有序进行。</w:t>
      </w:r>
    </w:p>
    <w:p>
      <w:pPr>
        <w:spacing w:before="0" w:after="0" w:line="560" w:lineRule="exact"/>
        <w:ind w:firstLine="420"/>
      </w:pPr>
      <w:r>
        <w:rPr>
          <w:rFonts w:ascii="Times New Roman" w:hAnsi="Times New Roman" w:eastAsia="方正仿宋_GBK"/>
          <w:b w:val="0"/>
          <w:sz w:val="28"/>
        </w:rPr>
        <w:t>*本技术方案依据招标文件第四部分"项目需求"及第七部分"评分标准"编制，全面响应采购人运维服务需求，响应内容与招标文件要求不存在实质性负偏离。*</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60" w:lineRule="exact"/>
    </w:pPr>
    <w:rPr>
      <w:rFonts w:ascii="Times New Roman" w:hAnsi="Times New Roman" w:eastAsia="方正仿宋_GBK"/>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