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5DC1F">
      <w:pPr>
        <w:spacing w:before="0" w:after="0" w:line="560" w:lineRule="exact"/>
      </w:pPr>
    </w:p>
    <w:p w14:paraId="00C0FB9E">
      <w:pPr>
        <w:spacing w:before="0" w:after="0" w:line="560" w:lineRule="exact"/>
      </w:pPr>
    </w:p>
    <w:p w14:paraId="18C35ED4">
      <w:pPr>
        <w:spacing w:before="0" w:after="0" w:line="560" w:lineRule="exact"/>
      </w:pPr>
    </w:p>
    <w:p w14:paraId="47341D0B">
      <w:pPr>
        <w:spacing w:before="0" w:after="0" w:line="560" w:lineRule="exact"/>
      </w:pPr>
    </w:p>
    <w:p w14:paraId="62151583">
      <w:pPr>
        <w:spacing w:before="0" w:after="240" w:line="800" w:lineRule="exact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52"/>
        </w:rPr>
        <w:t>执法音视频集中存储与管理系统</w:t>
      </w:r>
    </w:p>
    <w:p w14:paraId="4EC9A7BD">
      <w:pPr>
        <w:spacing w:before="0" w:after="480" w:line="800" w:lineRule="exact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52"/>
        </w:rPr>
        <w:t>建  设  方  案</w:t>
      </w:r>
    </w:p>
    <w:p w14:paraId="476869DC">
      <w:pPr>
        <w:spacing w:before="0" w:after="0" w:line="560" w:lineRule="exact"/>
      </w:pPr>
    </w:p>
    <w:p w14:paraId="1999D756">
      <w:pPr>
        <w:spacing w:before="0" w:after="0" w:line="560" w:lineRule="exact"/>
      </w:pPr>
    </w:p>
    <w:p w14:paraId="2E82F8BD">
      <w:pPr>
        <w:spacing w:before="0" w:after="0" w:line="560" w:lineRule="exact"/>
      </w:pPr>
    </w:p>
    <w:p w14:paraId="11BFA52D">
      <w:pPr>
        <w:spacing w:before="0" w:after="0" w:line="560" w:lineRule="exact"/>
      </w:pPr>
    </w:p>
    <w:p w14:paraId="59C0B095">
      <w:pPr>
        <w:spacing w:before="0" w:after="0" w:line="560" w:lineRule="exact"/>
      </w:pPr>
    </w:p>
    <w:p w14:paraId="68664916">
      <w:pPr>
        <w:spacing w:before="0" w:after="0" w:line="560" w:lineRule="exact"/>
      </w:pPr>
    </w:p>
    <w:p w14:paraId="5B61BFF5">
      <w:pPr>
        <w:spacing w:before="120" w:after="120" w:line="560" w:lineRule="exact"/>
        <w:jc w:val="center"/>
      </w:pPr>
      <w:r>
        <w:rPr>
          <w:rFonts w:ascii="Times New Roman" w:hAnsi="Times New Roman" w:eastAsia="方正黑体_GBK"/>
          <w:b w:val="0"/>
          <w:sz w:val="28"/>
        </w:rPr>
        <w:t>文件状态：</w:t>
      </w:r>
      <w:r>
        <w:rPr>
          <w:rFonts w:ascii="Times New Roman" w:hAnsi="Times New Roman" w:eastAsia="方正仿宋_GBK"/>
          <w:b w:val="0"/>
          <w:sz w:val="28"/>
        </w:rPr>
        <w:t>交付稿</w:t>
      </w:r>
    </w:p>
    <w:p w14:paraId="44BF354C">
      <w:pPr>
        <w:spacing w:before="120" w:after="120" w:line="560" w:lineRule="exact"/>
        <w:jc w:val="center"/>
      </w:pPr>
      <w:r>
        <w:rPr>
          <w:rFonts w:ascii="Times New Roman" w:hAnsi="Times New Roman" w:eastAsia="方正黑体_GBK"/>
          <w:b w:val="0"/>
          <w:sz w:val="28"/>
        </w:rPr>
        <w:t>密级等级：</w:t>
      </w:r>
      <w:r>
        <w:rPr>
          <w:rFonts w:ascii="Times New Roman" w:hAnsi="Times New Roman" w:eastAsia="方正仿宋_GBK"/>
          <w:b w:val="0"/>
          <w:sz w:val="28"/>
        </w:rPr>
        <w:t>内部</w:t>
      </w:r>
    </w:p>
    <w:p w14:paraId="29A64211">
      <w:pPr>
        <w:spacing w:before="120" w:after="120" w:line="560" w:lineRule="exact"/>
        <w:jc w:val="center"/>
      </w:pPr>
      <w:r>
        <w:rPr>
          <w:rFonts w:ascii="Times New Roman" w:hAnsi="Times New Roman" w:eastAsia="方正黑体_GBK"/>
          <w:b w:val="0"/>
          <w:sz w:val="28"/>
        </w:rPr>
        <w:t>版 本 号：</w:t>
      </w:r>
      <w:r>
        <w:rPr>
          <w:rFonts w:ascii="Times New Roman" w:hAnsi="Times New Roman" w:eastAsia="方正仿宋_GBK"/>
          <w:b w:val="0"/>
          <w:sz w:val="28"/>
        </w:rPr>
        <w:t>V1.0</w:t>
      </w:r>
      <w:bookmarkStart w:id="166" w:name="_GoBack"/>
      <w:bookmarkEnd w:id="166"/>
      <w:r>
        <w:br w:type="page"/>
      </w:r>
    </w:p>
    <w:p w14:paraId="43573B3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 录</w:t>
      </w:r>
    </w:p>
    <w:p w14:paraId="6BD2578B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"1-3" \h \u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_Toc20088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1. 项目理解</w:t>
      </w:r>
      <w:r>
        <w:tab/>
      </w:r>
      <w:r>
        <w:fldChar w:fldCharType="begin"/>
      </w:r>
      <w:r>
        <w:instrText xml:space="preserve"> PAGEREF _Toc20088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F7EBDD7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_Toc28165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1.1 目标理解</w:t>
      </w:r>
      <w:r>
        <w:tab/>
      </w:r>
      <w:r>
        <w:fldChar w:fldCharType="begin"/>
      </w:r>
      <w:r>
        <w:instrText xml:space="preserve"> PAGEREF _Toc28165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F86F60E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_Toc28832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1.2 建设背景理解</w:t>
      </w:r>
      <w:r>
        <w:tab/>
      </w:r>
      <w:r>
        <w:fldChar w:fldCharType="begin"/>
      </w:r>
      <w:r>
        <w:instrText xml:space="preserve"> PAGEREF _Toc28832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1A4839C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_Toc20351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1.3 建设必要性理解</w:t>
      </w:r>
      <w:r>
        <w:tab/>
      </w:r>
      <w:r>
        <w:fldChar w:fldCharType="begin"/>
      </w:r>
      <w:r>
        <w:instrText xml:space="preserve"> PAGEREF _Toc20351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2890DAF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_Toc8065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1.4 数据特征理解</w:t>
      </w:r>
      <w:r>
        <w:tab/>
      </w:r>
      <w:r>
        <w:fldChar w:fldCharType="begin"/>
      </w:r>
      <w:r>
        <w:instrText xml:space="preserve"> PAGEREF _Toc8065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40D6824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_Toc18317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1.5 技术路线理解</w:t>
      </w:r>
      <w:r>
        <w:tab/>
      </w:r>
      <w:r>
        <w:fldChar w:fldCharType="begin"/>
      </w:r>
      <w:r>
        <w:instrText xml:space="preserve"> PAGEREF _Toc18317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8BAAEC0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_Toc11613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2. 建设目标</w:t>
      </w:r>
      <w:r>
        <w:tab/>
      </w:r>
      <w:r>
        <w:fldChar w:fldCharType="begin"/>
      </w:r>
      <w:r>
        <w:instrText xml:space="preserve"> PAGEREF _Toc11613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31CF6AD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_Toc12161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2.1 总体建设目标</w:t>
      </w:r>
      <w:r>
        <w:tab/>
      </w:r>
      <w:r>
        <w:fldChar w:fldCharType="begin"/>
      </w:r>
      <w:r>
        <w:instrText xml:space="preserve"> PAGEREF _Toc12161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B13C311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_Toc26127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2.2 能力形成目标</w:t>
      </w:r>
      <w:r>
        <w:tab/>
      </w:r>
      <w:r>
        <w:fldChar w:fldCharType="begin"/>
      </w:r>
      <w:r>
        <w:instrText xml:space="preserve"> PAGEREF _Toc26127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A38B09F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_Toc17511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2.3 管理支撑目标</w:t>
      </w:r>
      <w:r>
        <w:tab/>
      </w:r>
      <w:r>
        <w:fldChar w:fldCharType="begin"/>
      </w:r>
      <w:r>
        <w:instrText xml:space="preserve"> PAGEREF _Toc17511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D946693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_Toc14470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2.4 运行保障目标</w:t>
      </w:r>
      <w:r>
        <w:tab/>
      </w:r>
      <w:r>
        <w:fldChar w:fldCharType="begin"/>
      </w:r>
      <w:r>
        <w:instrText xml:space="preserve"> PAGEREF _Toc14470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9C48804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_Toc12073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3. 建设原则</w:t>
      </w:r>
      <w:r>
        <w:tab/>
      </w:r>
      <w:r>
        <w:fldChar w:fldCharType="begin"/>
      </w:r>
      <w:r>
        <w:instrText xml:space="preserve"> PAGEREF _Toc12073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D004148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_Toc4336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3.1 总体原则</w:t>
      </w:r>
      <w:r>
        <w:tab/>
      </w:r>
      <w:r>
        <w:fldChar w:fldCharType="begin"/>
      </w:r>
      <w:r>
        <w:instrText xml:space="preserve"> PAGEREF _Toc4336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3182EAB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_Toc7800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3.2 技术原则</w:t>
      </w:r>
      <w:r>
        <w:tab/>
      </w:r>
      <w:r>
        <w:fldChar w:fldCharType="begin"/>
      </w:r>
      <w:r>
        <w:instrText xml:space="preserve"> PAGEREF _Toc7800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594E495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_Toc4466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3.3 数据原则</w:t>
      </w:r>
      <w:r>
        <w:tab/>
      </w:r>
      <w:r>
        <w:fldChar w:fldCharType="begin"/>
      </w:r>
      <w:r>
        <w:instrText xml:space="preserve"> PAGEREF _Toc4466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2FA736A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_Toc2367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3.4 安全原则</w:t>
      </w:r>
      <w:r>
        <w:tab/>
      </w:r>
      <w:r>
        <w:fldChar w:fldCharType="begin"/>
      </w:r>
      <w:r>
        <w:instrText xml:space="preserve"> PAGEREF _Toc2367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B4566F5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_Toc1372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3.5 运维原则</w:t>
      </w:r>
      <w:r>
        <w:tab/>
      </w:r>
      <w:r>
        <w:fldChar w:fldCharType="begin"/>
      </w:r>
      <w:r>
        <w:instrText xml:space="preserve"> PAGEREF _Toc1372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063629E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_Toc9580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4. 建设范围</w:t>
      </w:r>
      <w:r>
        <w:tab/>
      </w:r>
      <w:r>
        <w:fldChar w:fldCharType="begin"/>
      </w:r>
      <w:r>
        <w:instrText xml:space="preserve"> PAGEREF _Toc9580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19B7305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_Toc2870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4.1 系统边界</w:t>
      </w:r>
      <w:r>
        <w:tab/>
      </w:r>
      <w:r>
        <w:fldChar w:fldCharType="begin"/>
      </w:r>
      <w:r>
        <w:instrText xml:space="preserve"> PAGEREF _Toc2870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9E29F5D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_Toc15959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4.2 功能边界</w:t>
      </w:r>
      <w:r>
        <w:tab/>
      </w:r>
      <w:r>
        <w:fldChar w:fldCharType="begin"/>
      </w:r>
      <w:r>
        <w:instrText xml:space="preserve"> PAGEREF _Toc15959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396AD69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_Toc5159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4.3 数据边界</w:t>
      </w:r>
      <w:r>
        <w:tab/>
      </w:r>
      <w:r>
        <w:fldChar w:fldCharType="begin"/>
      </w:r>
      <w:r>
        <w:instrText xml:space="preserve"> PAGEREF _Toc5159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C4C140B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_Toc12048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4.4 与既有系统关系</w:t>
      </w:r>
      <w:r>
        <w:tab/>
      </w:r>
      <w:r>
        <w:fldChar w:fldCharType="begin"/>
      </w:r>
      <w:r>
        <w:instrText xml:space="preserve"> PAGEREF _Toc12048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D5E7FD0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_Toc2935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4.5 不包含范围</w:t>
      </w:r>
      <w:r>
        <w:tab/>
      </w:r>
      <w:r>
        <w:fldChar w:fldCharType="begin"/>
      </w:r>
      <w:r>
        <w:instrText xml:space="preserve"> PAGEREF _Toc2935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458219C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_Toc10323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5. 总体架构设计</w:t>
      </w:r>
      <w:r>
        <w:tab/>
      </w:r>
      <w:r>
        <w:fldChar w:fldCharType="begin"/>
      </w:r>
      <w:r>
        <w:instrText xml:space="preserve"> PAGEREF _Toc10323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2C224EF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_Toc20283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5.1 架构设计思想</w:t>
      </w:r>
      <w:r>
        <w:tab/>
      </w:r>
      <w:r>
        <w:fldChar w:fldCharType="begin"/>
      </w:r>
      <w:r>
        <w:instrText xml:space="preserve"> PAGEREF _Toc20283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9DD012F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_Toc26363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5.2 逻辑架构</w:t>
      </w:r>
      <w:r>
        <w:tab/>
      </w:r>
      <w:r>
        <w:fldChar w:fldCharType="begin"/>
      </w:r>
      <w:r>
        <w:instrText xml:space="preserve"> PAGEREF _Toc26363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C7D976E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_Toc11132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5.3 技术架构</w:t>
      </w:r>
      <w:r>
        <w:tab/>
      </w:r>
      <w:r>
        <w:fldChar w:fldCharType="begin"/>
      </w:r>
      <w:r>
        <w:instrText xml:space="preserve"> PAGEREF _Toc11132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2CDBF44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_Toc26409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5.4 部署架构</w:t>
      </w:r>
      <w:r>
        <w:tab/>
      </w:r>
      <w:r>
        <w:fldChar w:fldCharType="begin"/>
      </w:r>
      <w:r>
        <w:instrText xml:space="preserve"> PAGEREF _Toc26409 \h </w:instrText>
      </w:r>
      <w:r>
        <w:fldChar w:fldCharType="separate"/>
      </w:r>
      <w:r>
        <w:t>17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AFADBC5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_Toc21318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5.5 数据架构</w:t>
      </w:r>
      <w:r>
        <w:tab/>
      </w:r>
      <w:r>
        <w:fldChar w:fldCharType="begin"/>
      </w:r>
      <w:r>
        <w:instrText xml:space="preserve"> PAGEREF _Toc21318 \h </w:instrText>
      </w:r>
      <w:r>
        <w:fldChar w:fldCharType="separate"/>
      </w:r>
      <w:r>
        <w:t>19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4F8EA01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_Toc16756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6. 功能与能力设计</w:t>
      </w:r>
      <w:r>
        <w:tab/>
      </w:r>
      <w:r>
        <w:fldChar w:fldCharType="begin"/>
      </w:r>
      <w:r>
        <w:instrText xml:space="preserve"> PAGEREF _Toc16756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64AA736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_Toc28551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6.1 核心能力说明</w:t>
      </w:r>
      <w:r>
        <w:tab/>
      </w:r>
      <w:r>
        <w:fldChar w:fldCharType="begin"/>
      </w:r>
      <w:r>
        <w:instrText xml:space="preserve"> PAGEREF _Toc28551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4FEB589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_Toc2790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6.2 功能模块划分</w:t>
      </w:r>
      <w:r>
        <w:tab/>
      </w:r>
      <w:r>
        <w:fldChar w:fldCharType="begin"/>
      </w:r>
      <w:r>
        <w:instrText xml:space="preserve"> PAGEREF _Toc2790 \h </w:instrText>
      </w:r>
      <w:r>
        <w:fldChar w:fldCharType="separate"/>
      </w:r>
      <w:r>
        <w:t>21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9CADC51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_Toc22960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6.3 关键机制设计</w:t>
      </w:r>
      <w:r>
        <w:tab/>
      </w:r>
      <w:r>
        <w:fldChar w:fldCharType="begin"/>
      </w:r>
      <w:r>
        <w:instrText xml:space="preserve"> PAGEREF _Toc22960 \h </w:instrText>
      </w:r>
      <w:r>
        <w:fldChar w:fldCharType="separate"/>
      </w:r>
      <w:r>
        <w:t>22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A7E083B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_Toc5520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6.4 业务支撑方式</w:t>
      </w:r>
      <w:r>
        <w:tab/>
      </w:r>
      <w:r>
        <w:fldChar w:fldCharType="begin"/>
      </w:r>
      <w:r>
        <w:instrText xml:space="preserve"> PAGEREF _Toc5520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1475836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_Toc2150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6.5 扩展能力设计</w:t>
      </w:r>
      <w:r>
        <w:tab/>
      </w:r>
      <w:r>
        <w:fldChar w:fldCharType="begin"/>
      </w:r>
      <w:r>
        <w:instrText xml:space="preserve"> PAGEREF _Toc2150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10AC877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_Toc7923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7. 数据体系设计</w:t>
      </w:r>
      <w:r>
        <w:tab/>
      </w:r>
      <w:r>
        <w:fldChar w:fldCharType="begin"/>
      </w:r>
      <w:r>
        <w:instrText xml:space="preserve"> PAGEREF _Toc7923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1660227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_Toc9936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7.1 数据来源</w:t>
      </w:r>
      <w:r>
        <w:tab/>
      </w:r>
      <w:r>
        <w:fldChar w:fldCharType="begin"/>
      </w:r>
      <w:r>
        <w:instrText xml:space="preserve"> PAGEREF _Toc9936 \h </w:instrText>
      </w:r>
      <w:r>
        <w:fldChar w:fldCharType="separate"/>
      </w:r>
      <w:r>
        <w:t>23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CAF9392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_Toc8859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7.2 数据分类</w:t>
      </w:r>
      <w:r>
        <w:tab/>
      </w:r>
      <w:r>
        <w:fldChar w:fldCharType="begin"/>
      </w:r>
      <w:r>
        <w:instrText xml:space="preserve"> PAGEREF _Toc8859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6383F831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_Toc21317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7.3 数据存储策略</w:t>
      </w:r>
      <w:r>
        <w:tab/>
      </w:r>
      <w:r>
        <w:fldChar w:fldCharType="begin"/>
      </w:r>
      <w:r>
        <w:instrText xml:space="preserve"> PAGEREF _Toc21317 \h </w:instrText>
      </w:r>
      <w:r>
        <w:fldChar w:fldCharType="separate"/>
      </w:r>
      <w:r>
        <w:t>24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A284729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_Toc31383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7.4 数据生命周期管理</w:t>
      </w:r>
      <w:r>
        <w:tab/>
      </w:r>
      <w:r>
        <w:fldChar w:fldCharType="begin"/>
      </w:r>
      <w:r>
        <w:instrText xml:space="preserve"> PAGEREF _Toc31383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CDF6866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_Toc10335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7.5 数据安全与权限控制</w:t>
      </w:r>
      <w:r>
        <w:tab/>
      </w:r>
      <w:r>
        <w:fldChar w:fldCharType="begin"/>
      </w:r>
      <w:r>
        <w:instrText xml:space="preserve"> PAGEREF _Toc10335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60445E7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_Toc1209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8. 安全体系设计</w:t>
      </w:r>
      <w:r>
        <w:tab/>
      </w:r>
      <w:r>
        <w:fldChar w:fldCharType="begin"/>
      </w:r>
      <w:r>
        <w:instrText xml:space="preserve"> PAGEREF _Toc1209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4D94ED5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_Toc3014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8.1 安全设计原则</w:t>
      </w:r>
      <w:r>
        <w:tab/>
      </w:r>
      <w:r>
        <w:fldChar w:fldCharType="begin"/>
      </w:r>
      <w:r>
        <w:instrText xml:space="preserve"> PAGEREF _Toc3014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1AB73B2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_Toc31422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8.2 网络安全</w:t>
      </w:r>
      <w:r>
        <w:tab/>
      </w:r>
      <w:r>
        <w:fldChar w:fldCharType="begin"/>
      </w:r>
      <w:r>
        <w:instrText xml:space="preserve"> PAGEREF _Toc31422 \h </w:instrText>
      </w:r>
      <w:r>
        <w:fldChar w:fldCharType="separate"/>
      </w:r>
      <w:r>
        <w:t>25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0541BBB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_Toc22573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8.3 数据安全</w:t>
      </w:r>
      <w:r>
        <w:tab/>
      </w:r>
      <w:r>
        <w:fldChar w:fldCharType="begin"/>
      </w:r>
      <w:r>
        <w:instrText xml:space="preserve"> PAGEREF _Toc22573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04E3A07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_Toc23757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8.4 访问控制</w:t>
      </w:r>
      <w:r>
        <w:tab/>
      </w:r>
      <w:r>
        <w:fldChar w:fldCharType="begin"/>
      </w:r>
      <w:r>
        <w:instrText xml:space="preserve"> PAGEREF _Toc23757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2C294B8D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_Toc25684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8.5 审计与追溯机制</w:t>
      </w:r>
      <w:r>
        <w:tab/>
      </w:r>
      <w:r>
        <w:fldChar w:fldCharType="begin"/>
      </w:r>
      <w:r>
        <w:instrText xml:space="preserve"> PAGEREF _Toc25684 \h </w:instrText>
      </w:r>
      <w:r>
        <w:fldChar w:fldCharType="separate"/>
      </w:r>
      <w:r>
        <w:t>26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624338A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_Toc2297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9. 国产化与技术路线</w:t>
      </w:r>
      <w:r>
        <w:tab/>
      </w:r>
      <w:r>
        <w:fldChar w:fldCharType="begin"/>
      </w:r>
      <w:r>
        <w:instrText xml:space="preserve"> PAGEREF _Toc2297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2F0BE1C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_Toc14098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9.1 建设策略</w:t>
      </w:r>
      <w:r>
        <w:tab/>
      </w:r>
      <w:r>
        <w:fldChar w:fldCharType="begin"/>
      </w:r>
      <w:r>
        <w:instrText xml:space="preserve"> PAGEREF _Toc14098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1BAC0C3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_Toc12186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9.2 技术选型原则</w:t>
      </w:r>
      <w:r>
        <w:tab/>
      </w:r>
      <w:r>
        <w:fldChar w:fldCharType="begin"/>
      </w:r>
      <w:r>
        <w:instrText xml:space="preserve"> PAGEREF _Toc12186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5C39720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_Toc30900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9.3 兼容性策略</w:t>
      </w:r>
      <w:r>
        <w:tab/>
      </w:r>
      <w:r>
        <w:fldChar w:fldCharType="begin"/>
      </w:r>
      <w:r>
        <w:instrText xml:space="preserve"> PAGEREF _Toc30900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B3A92CC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_Toc5061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9.4 演进策略</w:t>
      </w:r>
      <w:r>
        <w:tab/>
      </w:r>
      <w:r>
        <w:fldChar w:fldCharType="begin"/>
      </w:r>
      <w:r>
        <w:instrText xml:space="preserve"> PAGEREF _Toc5061 \h </w:instrText>
      </w:r>
      <w:r>
        <w:fldChar w:fldCharType="separate"/>
      </w:r>
      <w:r>
        <w:t>27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3CE4ECB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_Toc29736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10. 存储/性能/容量设计</w:t>
      </w:r>
      <w:r>
        <w:tab/>
      </w:r>
      <w:r>
        <w:fldChar w:fldCharType="begin"/>
      </w:r>
      <w:r>
        <w:instrText xml:space="preserve"> PAGEREF _Toc29736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03B86DC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_Toc16425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10.1 容量规划</w:t>
      </w:r>
      <w:r>
        <w:tab/>
      </w:r>
      <w:r>
        <w:fldChar w:fldCharType="begin"/>
      </w:r>
      <w:r>
        <w:instrText xml:space="preserve"> PAGEREF _Toc16425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DCEBAB4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_Toc20188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10.2 性能策略</w:t>
      </w:r>
      <w:r>
        <w:tab/>
      </w:r>
      <w:r>
        <w:fldChar w:fldCharType="begin"/>
      </w:r>
      <w:r>
        <w:instrText xml:space="preserve"> PAGEREF _Toc20188 \h </w:instrText>
      </w:r>
      <w:r>
        <w:fldChar w:fldCharType="separate"/>
      </w:r>
      <w:r>
        <w:t>28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D61E355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_Toc23568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10.3 扩展策略</w:t>
      </w:r>
      <w:r>
        <w:tab/>
      </w:r>
      <w:r>
        <w:fldChar w:fldCharType="begin"/>
      </w:r>
      <w:r>
        <w:instrText xml:space="preserve"> PAGEREF _Toc23568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1AAA38D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_Toc5175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10.4 冗余与可靠性</w:t>
      </w:r>
      <w:r>
        <w:tab/>
      </w:r>
      <w:r>
        <w:fldChar w:fldCharType="begin"/>
      </w:r>
      <w:r>
        <w:instrText xml:space="preserve"> PAGEREF _Toc5175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90D8CBE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_Toc26986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11. 建设实施方案</w:t>
      </w:r>
      <w:r>
        <w:tab/>
      </w:r>
      <w:r>
        <w:fldChar w:fldCharType="begin"/>
      </w:r>
      <w:r>
        <w:instrText xml:space="preserve"> PAGEREF _Toc26986 \h </w:instrText>
      </w:r>
      <w:r>
        <w:fldChar w:fldCharType="separate"/>
      </w:r>
      <w:r>
        <w:t>29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2699E22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_Toc23049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11.1 实施阶段划分</w:t>
      </w:r>
      <w:r>
        <w:tab/>
      </w:r>
      <w:r>
        <w:fldChar w:fldCharType="begin"/>
      </w:r>
      <w:r>
        <w:instrText xml:space="preserve"> PAGEREF _Toc23049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08B6886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_Toc15353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11.2 实施路径</w:t>
      </w:r>
      <w:r>
        <w:tab/>
      </w:r>
      <w:r>
        <w:fldChar w:fldCharType="begin"/>
      </w:r>
      <w:r>
        <w:instrText xml:space="preserve"> PAGEREF _Toc15353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D60BBB9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_Toc11633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11.3 部署策略</w:t>
      </w:r>
      <w:r>
        <w:tab/>
      </w:r>
      <w:r>
        <w:fldChar w:fldCharType="begin"/>
      </w:r>
      <w:r>
        <w:instrText xml:space="preserve"> PAGEREF _Toc11633 \h </w:instrText>
      </w:r>
      <w:r>
        <w:fldChar w:fldCharType="separate"/>
      </w:r>
      <w:r>
        <w:t>30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6D13920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_Toc15133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11.4 风险控制措施</w:t>
      </w:r>
      <w:r>
        <w:tab/>
      </w:r>
      <w:r>
        <w:fldChar w:fldCharType="begin"/>
      </w:r>
      <w:r>
        <w:instrText xml:space="preserve"> PAGEREF _Toc15133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3D6FC6E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_Toc13324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11.5 对既有系统影响控制</w:t>
      </w:r>
      <w:r>
        <w:tab/>
      </w:r>
      <w:r>
        <w:fldChar w:fldCharType="begin"/>
      </w:r>
      <w:r>
        <w:instrText xml:space="preserve"> PAGEREF _Toc13324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E21792C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_Toc19160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12. 运行与运维体系</w:t>
      </w:r>
      <w:r>
        <w:tab/>
      </w:r>
      <w:r>
        <w:fldChar w:fldCharType="begin"/>
      </w:r>
      <w:r>
        <w:instrText xml:space="preserve"> PAGEREF _Toc19160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225B746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_Toc2912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12.1 运维模式</w:t>
      </w:r>
      <w:r>
        <w:tab/>
      </w:r>
      <w:r>
        <w:fldChar w:fldCharType="begin"/>
      </w:r>
      <w:r>
        <w:instrText xml:space="preserve"> PAGEREF _Toc2912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8818D43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_Toc24051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12.2 保障机制</w:t>
      </w:r>
      <w:r>
        <w:tab/>
      </w:r>
      <w:r>
        <w:fldChar w:fldCharType="begin"/>
      </w:r>
      <w:r>
        <w:instrText xml:space="preserve"> PAGEREF _Toc24051 \h </w:instrText>
      </w:r>
      <w:r>
        <w:fldChar w:fldCharType="separate"/>
      </w:r>
      <w:r>
        <w:t>31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FADA305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_Toc228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12.3 故障处理策略</w:t>
      </w:r>
      <w:r>
        <w:tab/>
      </w:r>
      <w:r>
        <w:fldChar w:fldCharType="begin"/>
      </w:r>
      <w:r>
        <w:instrText xml:space="preserve"> PAGEREF _Toc228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424D2C9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_Toc638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12.4 监测与巡检机制</w:t>
      </w:r>
      <w:r>
        <w:tab/>
      </w:r>
      <w:r>
        <w:fldChar w:fldCharType="begin"/>
      </w:r>
      <w:r>
        <w:instrText xml:space="preserve"> PAGEREF _Toc638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B7B3437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_Toc20252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13. 风险与边界控制</w:t>
      </w:r>
      <w:r>
        <w:tab/>
      </w:r>
      <w:r>
        <w:fldChar w:fldCharType="begin"/>
      </w:r>
      <w:r>
        <w:instrText xml:space="preserve"> PAGEREF _Toc20252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A3D401F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_Toc753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13.1 技术风险</w:t>
      </w:r>
      <w:r>
        <w:tab/>
      </w:r>
      <w:r>
        <w:fldChar w:fldCharType="begin"/>
      </w:r>
      <w:r>
        <w:instrText xml:space="preserve"> PAGEREF _Toc753 \h </w:instrText>
      </w:r>
      <w:r>
        <w:fldChar w:fldCharType="separate"/>
      </w:r>
      <w:r>
        <w:t>32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971B91D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_Toc12434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13.2 数据风险</w:t>
      </w:r>
      <w:r>
        <w:tab/>
      </w:r>
      <w:r>
        <w:fldChar w:fldCharType="begin"/>
      </w:r>
      <w:r>
        <w:instrText xml:space="preserve"> PAGEREF _Toc12434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108E06C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_Toc18878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13.3 实施风险</w:t>
      </w:r>
      <w:r>
        <w:tab/>
      </w:r>
      <w:r>
        <w:fldChar w:fldCharType="begin"/>
      </w:r>
      <w:r>
        <w:instrText xml:space="preserve"> PAGEREF _Toc18878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AA70161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_Toc24513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13.4 运行风险</w:t>
      </w:r>
      <w:r>
        <w:tab/>
      </w:r>
      <w:r>
        <w:fldChar w:fldCharType="begin"/>
      </w:r>
      <w:r>
        <w:instrText xml:space="preserve"> PAGEREF _Toc24513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C7A5047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_Toc25110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13.5 管理与责任边界</w:t>
      </w:r>
      <w:r>
        <w:tab/>
      </w:r>
      <w:r>
        <w:fldChar w:fldCharType="begin"/>
      </w:r>
      <w:r>
        <w:instrText xml:space="preserve"> PAGEREF _Toc25110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433278D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_Toc4905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14. 建设成效与预期价值</w:t>
      </w:r>
      <w:r>
        <w:tab/>
      </w:r>
      <w:r>
        <w:fldChar w:fldCharType="begin"/>
      </w:r>
      <w:r>
        <w:instrText xml:space="preserve"> PAGEREF _Toc4905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811937C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_Toc2092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14.1 能力提升</w:t>
      </w:r>
      <w:r>
        <w:tab/>
      </w:r>
      <w:r>
        <w:fldChar w:fldCharType="begin"/>
      </w:r>
      <w:r>
        <w:instrText xml:space="preserve"> PAGEREF _Toc2092 \h </w:instrText>
      </w:r>
      <w:r>
        <w:fldChar w:fldCharType="separate"/>
      </w:r>
      <w:r>
        <w:t>34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D34FA9F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_Toc16160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14.2 管理提升</w:t>
      </w:r>
      <w:r>
        <w:tab/>
      </w:r>
      <w:r>
        <w:fldChar w:fldCharType="begin"/>
      </w:r>
      <w:r>
        <w:instrText xml:space="preserve"> PAGEREF _Toc16160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A74D24C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_Toc3133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14.3 安全提升</w:t>
      </w:r>
      <w:r>
        <w:tab/>
      </w:r>
      <w:r>
        <w:fldChar w:fldCharType="begin"/>
      </w:r>
      <w:r>
        <w:instrText xml:space="preserve"> PAGEREF _Toc3133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525EE961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_Toc29477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14.4 可持续性提升</w:t>
      </w:r>
      <w:r>
        <w:tab/>
      </w:r>
      <w:r>
        <w:fldChar w:fldCharType="begin"/>
      </w:r>
      <w:r>
        <w:instrText xml:space="preserve"> PAGEREF _Toc29477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7216E92B">
      <w:pPr>
        <w:pStyle w:val="26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_Toc10020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黑体_GBK"/>
        </w:rPr>
        <w:t>15. 结论性说明</w:t>
      </w:r>
      <w:r>
        <w:tab/>
      </w:r>
      <w:r>
        <w:fldChar w:fldCharType="begin"/>
      </w:r>
      <w:r>
        <w:instrText xml:space="preserve"> PAGEREF _Toc10020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3ADF30CA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_Toc5813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15.1 建设合理性总结</w:t>
      </w:r>
      <w:r>
        <w:tab/>
      </w:r>
      <w:r>
        <w:fldChar w:fldCharType="begin"/>
      </w:r>
      <w:r>
        <w:instrText xml:space="preserve"> PAGEREF _Toc5813 \h </w:instrText>
      </w:r>
      <w:r>
        <w:fldChar w:fldCharType="separate"/>
      </w:r>
      <w:r>
        <w:t>35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1328E3E8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_Toc5189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15.2 技术可行性总结</w:t>
      </w:r>
      <w:r>
        <w:tab/>
      </w:r>
      <w:r>
        <w:fldChar w:fldCharType="begin"/>
      </w:r>
      <w:r>
        <w:instrText xml:space="preserve"> PAGEREF _Toc5189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491BC616">
      <w:pPr>
        <w:pStyle w:val="29"/>
        <w:tabs>
          <w:tab w:val="right" w:leader="dot" w:pos="8845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_Toc10749 </w:instrText>
      </w:r>
      <w:r>
        <w:rPr>
          <w:rFonts w:hint="eastAsia"/>
          <w:lang w:val="en-US" w:eastAsia="zh-CN"/>
        </w:rPr>
        <w:fldChar w:fldCharType="separate"/>
      </w:r>
      <w:r>
        <w:rPr>
          <w:rFonts w:ascii="Times New Roman" w:hAnsi="Times New Roman" w:eastAsia="方正楷体_GBK"/>
        </w:rPr>
        <w:t>15.3 风险可控性总结</w:t>
      </w:r>
      <w:r>
        <w:tab/>
      </w:r>
      <w:r>
        <w:fldChar w:fldCharType="begin"/>
      </w:r>
      <w:r>
        <w:instrText xml:space="preserve"> PAGEREF _Toc10749 \h </w:instrText>
      </w:r>
      <w:r>
        <w:fldChar w:fldCharType="separate"/>
      </w:r>
      <w:r>
        <w:t>36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 w14:paraId="06B6CC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</w:p>
    <w:p w14:paraId="42796442">
      <w:pPr>
        <w:rPr>
          <w:rFonts w:hint="eastAsia"/>
          <w:lang w:val="en-US" w:eastAsia="zh-CN"/>
        </w:rPr>
      </w:pPr>
    </w:p>
    <w:p w14:paraId="4E948E7A">
      <w:pPr>
        <w:spacing w:before="360" w:after="240" w:line="640" w:lineRule="exact"/>
        <w:jc w:val="left"/>
        <w:outlineLvl w:val="0"/>
      </w:pPr>
      <w:bookmarkStart w:id="0" w:name="_Toc17805"/>
      <w:bookmarkStart w:id="1" w:name="_Toc20088"/>
      <w:r>
        <w:rPr>
          <w:rFonts w:ascii="Times New Roman" w:hAnsi="Times New Roman" w:eastAsia="方正黑体_GBK"/>
          <w:b/>
          <w:sz w:val="32"/>
        </w:rPr>
        <w:t>1. 项目理解</w:t>
      </w:r>
      <w:bookmarkEnd w:id="0"/>
      <w:bookmarkEnd w:id="1"/>
    </w:p>
    <w:p w14:paraId="5EED8ECE">
      <w:pPr>
        <w:spacing w:before="240" w:after="120" w:line="560" w:lineRule="exact"/>
        <w:jc w:val="left"/>
        <w:outlineLvl w:val="1"/>
      </w:pPr>
      <w:bookmarkStart w:id="2" w:name="_Toc25046"/>
      <w:bookmarkStart w:id="3" w:name="_Toc28165"/>
      <w:r>
        <w:rPr>
          <w:rFonts w:ascii="Times New Roman" w:hAnsi="Times New Roman" w:eastAsia="方正楷体_GBK"/>
          <w:b/>
          <w:sz w:val="28"/>
        </w:rPr>
        <w:t>1.1 目标理解</w:t>
      </w:r>
      <w:bookmarkEnd w:id="2"/>
      <w:bookmarkEnd w:id="3"/>
    </w:p>
    <w:p w14:paraId="4360F95C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本项目旨在建设一套执法音视频数据集中存储与管理基础设施，为执法音视频数据提供统一的承载、存储、检索调阅及监督支撑能力。系统定位为执法音视频数据的存储与管理支撑层，不替代既有执法业务系统，不涉及执法终端设备更新或执法流程制度调整。</w:t>
      </w:r>
    </w:p>
    <w:p w14:paraId="0364B947">
      <w:pPr>
        <w:spacing w:before="240" w:after="120" w:line="560" w:lineRule="exact"/>
        <w:jc w:val="left"/>
        <w:outlineLvl w:val="1"/>
      </w:pPr>
      <w:bookmarkStart w:id="4" w:name="_Toc22914"/>
      <w:bookmarkStart w:id="5" w:name="_Toc28832"/>
      <w:r>
        <w:rPr>
          <w:rFonts w:ascii="Times New Roman" w:hAnsi="Times New Roman" w:eastAsia="方正楷体_GBK"/>
          <w:b/>
          <w:sz w:val="28"/>
        </w:rPr>
        <w:t>1.2 建设背景理解</w:t>
      </w:r>
      <w:bookmarkEnd w:id="4"/>
      <w:bookmarkEnd w:id="5"/>
    </w:p>
    <w:p w14:paraId="73F5CBBA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随着执法规范化建设的深入推进，执法音视频数据量持续增长。现有存储体系在容量、管理效率、数据生命周期管理等方面面临瓶颈。既有系统已积累约 300TB 执法音视频数据，年新增数据量达 200TB 以上，亟需建设集中化、规范化的存储管理基础设施，保障执法音视频数据的完整性、可用性和长期留存能力。</w:t>
      </w:r>
    </w:p>
    <w:p w14:paraId="12FFB7C8">
      <w:pPr>
        <w:spacing w:before="240" w:after="120" w:line="560" w:lineRule="exact"/>
        <w:jc w:val="left"/>
        <w:outlineLvl w:val="1"/>
      </w:pPr>
      <w:bookmarkStart w:id="6" w:name="_Toc22869"/>
      <w:bookmarkStart w:id="7" w:name="_Toc20351"/>
      <w:r>
        <w:rPr>
          <w:rFonts w:ascii="Times New Roman" w:hAnsi="Times New Roman" w:eastAsia="方正楷体_GBK"/>
          <w:b/>
          <w:sz w:val="28"/>
        </w:rPr>
        <w:t>1.3 建设必要性理解</w:t>
      </w:r>
      <w:bookmarkEnd w:id="6"/>
      <w:bookmarkEnd w:id="7"/>
    </w:p>
    <w:p w14:paraId="5D0928C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执法音视频数据属于执法证据数据，对完整性与不可篡改性具有法定要求，需要专业化存储基础设施予以保障。</w:t>
      </w:r>
    </w:p>
    <w:p w14:paraId="240A902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日新增约 0.6TB、年新增 200TB 以上的数据增长规模，要求存储系统具备大容量承载与可扩展能力。</w:t>
      </w:r>
    </w:p>
    <w:p w14:paraId="145F85E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在线存储周期不少于 3 年，有效存储容量需达到 700TB 以上，现有存储资源无法满足中长期数据留存需求。</w:t>
      </w:r>
    </w:p>
    <w:p w14:paraId="75E7415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数据的检索、调阅与监督使用场景要求系统具备高效的数据管理与访问服务能力。</w:t>
      </w:r>
    </w:p>
    <w:p w14:paraId="7F57E2FF">
      <w:pPr>
        <w:spacing w:before="240" w:after="120" w:line="560" w:lineRule="exact"/>
        <w:jc w:val="left"/>
        <w:outlineLvl w:val="1"/>
      </w:pPr>
      <w:bookmarkStart w:id="8" w:name="_Toc8"/>
      <w:bookmarkStart w:id="9" w:name="_Toc8065"/>
      <w:r>
        <w:rPr>
          <w:rFonts w:ascii="Times New Roman" w:hAnsi="Times New Roman" w:eastAsia="方正楷体_GBK"/>
          <w:b/>
          <w:sz w:val="28"/>
        </w:rPr>
        <w:t>1.4 数据特征理解</w:t>
      </w:r>
      <w:bookmarkEnd w:id="8"/>
      <w:bookmarkEnd w:id="9"/>
    </w:p>
    <w:p w14:paraId="0086288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执法音视频数据为非结构化大文件数据，单文件体量大、写入频繁、读取以调阅为主。</w:t>
      </w:r>
    </w:p>
    <w:p w14:paraId="2CFA5BB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数据具有明确的时间属性，访问频率随时间衰减，适合分层存储策略。</w:t>
      </w:r>
    </w:p>
    <w:p w14:paraId="491F0D45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原始数据具有证据效力，不得进行任何形式的内容修改、转码或压缩处理。</w:t>
      </w:r>
    </w:p>
    <w:p w14:paraId="79A3900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空间优化策略仅可作用于访问副本或归档副本，不得影响原始证据数据。</w:t>
      </w:r>
    </w:p>
    <w:p w14:paraId="2BDBAAB2">
      <w:pPr>
        <w:spacing w:before="240" w:after="120" w:line="560" w:lineRule="exact"/>
        <w:jc w:val="left"/>
        <w:outlineLvl w:val="1"/>
      </w:pPr>
      <w:bookmarkStart w:id="10" w:name="_Toc18781"/>
      <w:bookmarkStart w:id="11" w:name="_Toc18317"/>
      <w:r>
        <w:rPr>
          <w:rFonts w:ascii="Times New Roman" w:hAnsi="Times New Roman" w:eastAsia="方正楷体_GBK"/>
          <w:b/>
          <w:sz w:val="28"/>
        </w:rPr>
        <w:t>1.5 技术路线理解</w:t>
      </w:r>
      <w:bookmarkEnd w:id="10"/>
      <w:bookmarkEnd w:id="11"/>
    </w:p>
    <w:p w14:paraId="2A684E5E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系统采用分层存储架构，依据数据访问频率实施热、温、冷分级存储管理。部署于公安专网环境，采用国产化技术路线，在服务器、操作系统、存储设备等层面落实自主可控要求。数据接入采用削峰与分时上传机制，避免对网络造成冲击。</w:t>
      </w:r>
    </w:p>
    <w:p w14:paraId="07C919A3">
      <w:pPr>
        <w:spacing w:before="360" w:after="240" w:line="640" w:lineRule="exact"/>
        <w:jc w:val="left"/>
        <w:outlineLvl w:val="0"/>
      </w:pPr>
      <w:bookmarkStart w:id="12" w:name="_Toc25923"/>
      <w:bookmarkStart w:id="13" w:name="_Toc11613"/>
      <w:r>
        <w:rPr>
          <w:rFonts w:ascii="Times New Roman" w:hAnsi="Times New Roman" w:eastAsia="方正黑体_GBK"/>
          <w:b/>
          <w:sz w:val="32"/>
        </w:rPr>
        <w:t>2. 建设目标</w:t>
      </w:r>
      <w:bookmarkEnd w:id="12"/>
      <w:bookmarkEnd w:id="13"/>
    </w:p>
    <w:p w14:paraId="2757363F">
      <w:pPr>
        <w:spacing w:before="240" w:after="120" w:line="560" w:lineRule="exact"/>
        <w:jc w:val="left"/>
        <w:outlineLvl w:val="1"/>
      </w:pPr>
      <w:bookmarkStart w:id="14" w:name="_Toc22866"/>
      <w:bookmarkStart w:id="15" w:name="_Toc12161"/>
      <w:r>
        <w:rPr>
          <w:rFonts w:ascii="Times New Roman" w:hAnsi="Times New Roman" w:eastAsia="方正楷体_GBK"/>
          <w:b/>
          <w:sz w:val="28"/>
        </w:rPr>
        <w:t>2.1 总体建设目标</w:t>
      </w:r>
      <w:bookmarkEnd w:id="14"/>
      <w:bookmarkEnd w:id="15"/>
    </w:p>
    <w:p w14:paraId="03799062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建设一套面向执法音视频数据的集中存储与管理基础设施，实现执法音视频数据的统一接入、集中存储、高效检索、安全调阅和全生命周期管理，为执法监督与规范执法提供数据存储支撑。</w:t>
      </w:r>
    </w:p>
    <w:p w14:paraId="7E431FE0">
      <w:pPr>
        <w:spacing w:before="240" w:after="120" w:line="560" w:lineRule="exact"/>
        <w:jc w:val="left"/>
        <w:outlineLvl w:val="1"/>
      </w:pPr>
      <w:bookmarkStart w:id="16" w:name="_Toc22418"/>
      <w:bookmarkStart w:id="17" w:name="_Toc26127"/>
      <w:r>
        <w:rPr>
          <w:rFonts w:ascii="Times New Roman" w:hAnsi="Times New Roman" w:eastAsia="方正楷体_GBK"/>
          <w:b/>
          <w:sz w:val="28"/>
        </w:rPr>
        <w:t>2.2 能力形成目标</w:t>
      </w:r>
      <w:bookmarkEnd w:id="16"/>
      <w:bookmarkEnd w:id="17"/>
    </w:p>
    <w:p w14:paraId="03B65FB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数据承载能力</w:t>
      </w:r>
      <w:r>
        <w:rPr>
          <w:rFonts w:ascii="Times New Roman" w:hAnsi="Times New Roman" w:eastAsia="方正仿宋_GBK"/>
          <w:b w:val="0"/>
          <w:sz w:val="28"/>
        </w:rPr>
        <w:t>：系统有效可用存储容量不低于 700TB，满足不少于 3 年在线存储周期要求。</w:t>
      </w:r>
    </w:p>
    <w:p w14:paraId="7A4685E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数据接入能力</w:t>
      </w:r>
      <w:r>
        <w:rPr>
          <w:rFonts w:ascii="Times New Roman" w:hAnsi="Times New Roman" w:eastAsia="方正仿宋_GBK"/>
          <w:b w:val="0"/>
          <w:sz w:val="28"/>
        </w:rPr>
        <w:t>：支持多种执法终端数据接入方式，日均承载不低于 0.6TB 新增数据写入。</w:t>
      </w:r>
    </w:p>
    <w:p w14:paraId="0999B086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检索调阅能力</w:t>
      </w:r>
      <w:r>
        <w:rPr>
          <w:rFonts w:ascii="Times New Roman" w:hAnsi="Times New Roman" w:eastAsia="方正仿宋_GBK"/>
          <w:b w:val="0"/>
          <w:sz w:val="28"/>
        </w:rPr>
        <w:t>：支持不少于 20 名用户并发操作，不少于 20 路音视频并发播放。</w:t>
      </w:r>
    </w:p>
    <w:p w14:paraId="5CCC9A05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生命周期管理能力</w:t>
      </w:r>
      <w:r>
        <w:rPr>
          <w:rFonts w:ascii="Times New Roman" w:hAnsi="Times New Roman" w:eastAsia="方正仿宋_GBK"/>
          <w:b w:val="0"/>
          <w:sz w:val="28"/>
        </w:rPr>
        <w:t>：实现数据从接入、在线存储、归档到到期处理的全生命周期自动化管理。</w:t>
      </w:r>
    </w:p>
    <w:p w14:paraId="5F20596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数据完整性保障能力</w:t>
      </w:r>
      <w:r>
        <w:rPr>
          <w:rFonts w:ascii="Times New Roman" w:hAnsi="Times New Roman" w:eastAsia="方正仿宋_GBK"/>
          <w:b w:val="0"/>
          <w:sz w:val="28"/>
        </w:rPr>
        <w:t>：原始执法证据数据全程完整保存，具备防篡改校验机制。</w:t>
      </w:r>
    </w:p>
    <w:p w14:paraId="11F99FE1">
      <w:pPr>
        <w:spacing w:before="240" w:after="120" w:line="560" w:lineRule="exact"/>
        <w:jc w:val="left"/>
        <w:outlineLvl w:val="1"/>
      </w:pPr>
      <w:bookmarkStart w:id="18" w:name="_Toc30841"/>
      <w:bookmarkStart w:id="19" w:name="_Toc17511"/>
      <w:r>
        <w:rPr>
          <w:rFonts w:ascii="Times New Roman" w:hAnsi="Times New Roman" w:eastAsia="方正楷体_GBK"/>
          <w:b/>
          <w:sz w:val="28"/>
        </w:rPr>
        <w:t>2.3 管理支撑目标</w:t>
      </w:r>
      <w:bookmarkEnd w:id="18"/>
      <w:bookmarkEnd w:id="19"/>
    </w:p>
    <w:p w14:paraId="1BA87C0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为执法监督提供音视频数据的快速检索与调阅服务。</w:t>
      </w:r>
    </w:p>
    <w:p w14:paraId="5C25E12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为数据管理提供容量监测、存储健康度评估、数据分布统计等运营数据。</w:t>
      </w:r>
    </w:p>
    <w:p w14:paraId="30EF684D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为上级平台提供标准化数据上报通道。</w:t>
      </w:r>
    </w:p>
    <w:p w14:paraId="2445E8C1">
      <w:pPr>
        <w:spacing w:before="240" w:after="120" w:line="560" w:lineRule="exact"/>
        <w:jc w:val="left"/>
        <w:outlineLvl w:val="1"/>
      </w:pPr>
      <w:bookmarkStart w:id="20" w:name="_Toc514"/>
      <w:bookmarkStart w:id="21" w:name="_Toc14470"/>
      <w:r>
        <w:rPr>
          <w:rFonts w:ascii="Times New Roman" w:hAnsi="Times New Roman" w:eastAsia="方正楷体_GBK"/>
          <w:b/>
          <w:sz w:val="28"/>
        </w:rPr>
        <w:t>2.4 运行保障目标</w:t>
      </w:r>
      <w:bookmarkEnd w:id="20"/>
      <w:bookmarkEnd w:id="21"/>
    </w:p>
    <w:p w14:paraId="72379CE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系统在公安专网环境下稳定运行，具备故障容错与数据冗余保护能力。</w:t>
      </w:r>
    </w:p>
    <w:p w14:paraId="5E9935B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存储基础设施支持在线扩容，满足未来数据增长需求。</w:t>
      </w:r>
    </w:p>
    <w:p w14:paraId="7C765915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系统运维具备可视化监控、主动告警和故障快速定位能力。</w:t>
      </w:r>
    </w:p>
    <w:p w14:paraId="38617E2F">
      <w:pPr>
        <w:spacing w:before="360" w:after="240" w:line="640" w:lineRule="exact"/>
        <w:jc w:val="left"/>
        <w:outlineLvl w:val="0"/>
      </w:pPr>
      <w:bookmarkStart w:id="22" w:name="_Toc8989"/>
      <w:bookmarkStart w:id="23" w:name="_Toc12073"/>
      <w:r>
        <w:rPr>
          <w:rFonts w:ascii="Times New Roman" w:hAnsi="Times New Roman" w:eastAsia="方正黑体_GBK"/>
          <w:b/>
          <w:sz w:val="32"/>
        </w:rPr>
        <w:t>3. 建设原则</w:t>
      </w:r>
      <w:bookmarkEnd w:id="22"/>
      <w:bookmarkEnd w:id="23"/>
    </w:p>
    <w:p w14:paraId="35BD54A1">
      <w:pPr>
        <w:spacing w:before="240" w:after="120" w:line="560" w:lineRule="exact"/>
        <w:jc w:val="left"/>
        <w:outlineLvl w:val="1"/>
      </w:pPr>
      <w:bookmarkStart w:id="24" w:name="_Toc16217"/>
      <w:bookmarkStart w:id="25" w:name="_Toc4336"/>
      <w:r>
        <w:rPr>
          <w:rFonts w:ascii="Times New Roman" w:hAnsi="Times New Roman" w:eastAsia="方正楷体_GBK"/>
          <w:b/>
          <w:sz w:val="28"/>
        </w:rPr>
        <w:t>3.1 总体原则</w:t>
      </w:r>
      <w:bookmarkEnd w:id="24"/>
      <w:bookmarkEnd w:id="25"/>
    </w:p>
    <w:p w14:paraId="737041B8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统一性原则</w:t>
      </w:r>
      <w:r>
        <w:rPr>
          <w:rFonts w:ascii="Times New Roman" w:hAnsi="Times New Roman" w:eastAsia="方正仿宋_GBK"/>
          <w:b w:val="0"/>
          <w:sz w:val="28"/>
        </w:rPr>
        <w:t>：建设统一的执法音视频数据存储管理平台，实现数据集中存储、统一管理。</w:t>
      </w:r>
    </w:p>
    <w:p w14:paraId="4557F4B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稳定性原则</w:t>
      </w:r>
      <w:r>
        <w:rPr>
          <w:rFonts w:ascii="Times New Roman" w:hAnsi="Times New Roman" w:eastAsia="方正仿宋_GBK"/>
          <w:b w:val="0"/>
          <w:sz w:val="28"/>
        </w:rPr>
        <w:t>：系统以稳定可靠运行为首要目标，关键组件采用冗余设计。</w:t>
      </w:r>
    </w:p>
    <w:p w14:paraId="18E2231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安全性原则</w:t>
      </w:r>
      <w:r>
        <w:rPr>
          <w:rFonts w:ascii="Times New Roman" w:hAnsi="Times New Roman" w:eastAsia="方正仿宋_GBK"/>
          <w:b w:val="0"/>
          <w:sz w:val="28"/>
        </w:rPr>
        <w:t>：满足公安专网安全管理要求，保障执法证据数据安全。</w:t>
      </w:r>
    </w:p>
    <w:p w14:paraId="1861E9D0">
      <w:pPr>
        <w:spacing w:before="240" w:after="120" w:line="560" w:lineRule="exact"/>
        <w:jc w:val="left"/>
        <w:outlineLvl w:val="1"/>
      </w:pPr>
      <w:bookmarkStart w:id="26" w:name="_Toc493"/>
      <w:bookmarkStart w:id="27" w:name="_Toc7800"/>
      <w:r>
        <w:rPr>
          <w:rFonts w:ascii="Times New Roman" w:hAnsi="Times New Roman" w:eastAsia="方正楷体_GBK"/>
          <w:b/>
          <w:sz w:val="28"/>
        </w:rPr>
        <w:t>3.2 技术原则</w:t>
      </w:r>
      <w:bookmarkEnd w:id="26"/>
      <w:bookmarkEnd w:id="27"/>
    </w:p>
    <w:p w14:paraId="6B740EE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自主可控原则</w:t>
      </w:r>
      <w:r>
        <w:rPr>
          <w:rFonts w:ascii="Times New Roman" w:hAnsi="Times New Roman" w:eastAsia="方正仿宋_GBK"/>
          <w:b w:val="0"/>
          <w:sz w:val="28"/>
        </w:rPr>
        <w:t>：核心设备采用国产 CPU、国产操作系统，落实信息技术自主可控要求。</w:t>
      </w:r>
    </w:p>
    <w:p w14:paraId="61785E9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兼容开放原则</w:t>
      </w:r>
      <w:r>
        <w:rPr>
          <w:rFonts w:ascii="Times New Roman" w:hAnsi="Times New Roman" w:eastAsia="方正仿宋_GBK"/>
          <w:b w:val="0"/>
          <w:sz w:val="28"/>
        </w:rPr>
        <w:t>：系统提供标准化接口，与既有执法管理平台及上级警务综合平台实现对接。</w:t>
      </w:r>
    </w:p>
    <w:p w14:paraId="6B5093D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弹性扩展原则</w:t>
      </w:r>
      <w:r>
        <w:rPr>
          <w:rFonts w:ascii="Times New Roman" w:hAnsi="Times New Roman" w:eastAsia="方正仿宋_GBK"/>
          <w:b w:val="0"/>
          <w:sz w:val="28"/>
        </w:rPr>
        <w:t>：存储容量与处理能力支持按需扩展，适应数据持续增长。</w:t>
      </w:r>
    </w:p>
    <w:p w14:paraId="48126D2F">
      <w:pPr>
        <w:spacing w:before="240" w:after="120" w:line="560" w:lineRule="exact"/>
        <w:jc w:val="left"/>
        <w:outlineLvl w:val="1"/>
      </w:pPr>
      <w:bookmarkStart w:id="28" w:name="_Toc29317"/>
      <w:bookmarkStart w:id="29" w:name="_Toc4466"/>
      <w:r>
        <w:rPr>
          <w:rFonts w:ascii="Times New Roman" w:hAnsi="Times New Roman" w:eastAsia="方正楷体_GBK"/>
          <w:b/>
          <w:sz w:val="28"/>
        </w:rPr>
        <w:t>3.3 数据原则</w:t>
      </w:r>
      <w:bookmarkEnd w:id="28"/>
      <w:bookmarkEnd w:id="29"/>
    </w:p>
    <w:p w14:paraId="3AF986D5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完整性原则</w:t>
      </w:r>
      <w:r>
        <w:rPr>
          <w:rFonts w:ascii="Times New Roman" w:hAnsi="Times New Roman" w:eastAsia="方正仿宋_GBK"/>
          <w:b w:val="0"/>
          <w:sz w:val="28"/>
        </w:rPr>
        <w:t>：原始执法音视频数据完整保存，不得以任何形式改变原始数据内容、结构、编码属性及证据效力。</w:t>
      </w:r>
    </w:p>
    <w:p w14:paraId="3695098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可追溯原则</w:t>
      </w:r>
      <w:r>
        <w:rPr>
          <w:rFonts w:ascii="Times New Roman" w:hAnsi="Times New Roman" w:eastAsia="方正仿宋_GBK"/>
          <w:b w:val="0"/>
          <w:sz w:val="28"/>
        </w:rPr>
        <w:t>：数据操作全程记录，支持操作审计与追溯。</w:t>
      </w:r>
    </w:p>
    <w:p w14:paraId="4B3724B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分级管理原则</w:t>
      </w:r>
      <w:r>
        <w:rPr>
          <w:rFonts w:ascii="Times New Roman" w:hAnsi="Times New Roman" w:eastAsia="方正仿宋_GBK"/>
          <w:b w:val="0"/>
          <w:sz w:val="28"/>
        </w:rPr>
        <w:t>：依据数据访问频率与留存需求，实施分层分级存储管理。</w:t>
      </w:r>
    </w:p>
    <w:p w14:paraId="4D3DC1AC">
      <w:pPr>
        <w:spacing w:before="240" w:after="120" w:line="560" w:lineRule="exact"/>
        <w:jc w:val="left"/>
        <w:outlineLvl w:val="1"/>
      </w:pPr>
      <w:bookmarkStart w:id="30" w:name="_Toc15668"/>
      <w:bookmarkStart w:id="31" w:name="_Toc2367"/>
      <w:r>
        <w:rPr>
          <w:rFonts w:ascii="Times New Roman" w:hAnsi="Times New Roman" w:eastAsia="方正楷体_GBK"/>
          <w:b/>
          <w:sz w:val="28"/>
        </w:rPr>
        <w:t>3.4 安全原则</w:t>
      </w:r>
      <w:bookmarkEnd w:id="30"/>
      <w:bookmarkEnd w:id="31"/>
    </w:p>
    <w:p w14:paraId="77AB271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系统部署于公安专网环境，网络边界实施安全防护。</w:t>
      </w:r>
    </w:p>
    <w:p w14:paraId="6528E9B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数据访问实行身份认证与权限管控。</w:t>
      </w:r>
    </w:p>
    <w:p w14:paraId="3791D43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原始证据数据存储区具备防篡改保护机制。</w:t>
      </w:r>
    </w:p>
    <w:p w14:paraId="0BB7B2BD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全部操作行为纳入审计日志管理。</w:t>
      </w:r>
    </w:p>
    <w:p w14:paraId="51993DE1">
      <w:pPr>
        <w:spacing w:before="240" w:after="120" w:line="560" w:lineRule="exact"/>
        <w:jc w:val="left"/>
        <w:outlineLvl w:val="1"/>
      </w:pPr>
      <w:bookmarkStart w:id="32" w:name="_Toc30576"/>
      <w:bookmarkStart w:id="33" w:name="_Toc1372"/>
      <w:r>
        <w:rPr>
          <w:rFonts w:ascii="Times New Roman" w:hAnsi="Times New Roman" w:eastAsia="方正楷体_GBK"/>
          <w:b/>
          <w:sz w:val="28"/>
        </w:rPr>
        <w:t>3.5 运维原则</w:t>
      </w:r>
      <w:bookmarkEnd w:id="32"/>
      <w:bookmarkEnd w:id="33"/>
    </w:p>
    <w:p w14:paraId="7457AFE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系统运维采用主动监测与被动响应相结合的模式。</w:t>
      </w:r>
    </w:p>
    <w:p w14:paraId="31D991F5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存储设备支持在线维护与在线扩容，降低运维中断风险。</w:t>
      </w:r>
    </w:p>
    <w:p w14:paraId="466AD2F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运维操作实行分级授权管理。</w:t>
      </w:r>
    </w:p>
    <w:p w14:paraId="729FB1D8">
      <w:pPr>
        <w:spacing w:before="360" w:after="240" w:line="640" w:lineRule="exact"/>
        <w:jc w:val="left"/>
        <w:outlineLvl w:val="0"/>
      </w:pPr>
      <w:bookmarkStart w:id="34" w:name="_Toc27350"/>
      <w:bookmarkStart w:id="35" w:name="_Toc9580"/>
      <w:r>
        <w:rPr>
          <w:rFonts w:ascii="Times New Roman" w:hAnsi="Times New Roman" w:eastAsia="方正黑体_GBK"/>
          <w:b/>
          <w:sz w:val="32"/>
        </w:rPr>
        <w:t>4. 建设范围</w:t>
      </w:r>
      <w:bookmarkEnd w:id="34"/>
      <w:bookmarkEnd w:id="35"/>
    </w:p>
    <w:p w14:paraId="402F668C">
      <w:pPr>
        <w:spacing w:before="240" w:after="120" w:line="560" w:lineRule="exact"/>
        <w:jc w:val="left"/>
        <w:outlineLvl w:val="1"/>
      </w:pPr>
      <w:bookmarkStart w:id="36" w:name="_Toc6022"/>
      <w:bookmarkStart w:id="37" w:name="_Toc2870"/>
      <w:r>
        <w:rPr>
          <w:rFonts w:ascii="Times New Roman" w:hAnsi="Times New Roman" w:eastAsia="方正楷体_GBK"/>
          <w:b/>
          <w:sz w:val="28"/>
        </w:rPr>
        <w:t>4.1 系统边界</w:t>
      </w:r>
      <w:bookmarkEnd w:id="36"/>
      <w:bookmarkEnd w:id="37"/>
    </w:p>
    <w:p w14:paraId="05A6D8FA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本项目建设范围限定于执法音视频存储与管理基础设施层，包含数据接入、集中存储、检索调阅、生命周期管理、运维监控等基础设施能力建设。</w:t>
      </w:r>
    </w:p>
    <w:p w14:paraId="456912A1">
      <w:pPr>
        <w:spacing w:before="240" w:after="120" w:line="560" w:lineRule="exact"/>
        <w:jc w:val="left"/>
        <w:outlineLvl w:val="1"/>
      </w:pPr>
      <w:bookmarkStart w:id="38" w:name="_Toc30011"/>
      <w:bookmarkStart w:id="39" w:name="_Toc15959"/>
      <w:r>
        <w:rPr>
          <w:rFonts w:ascii="Times New Roman" w:hAnsi="Times New Roman" w:eastAsia="方正楷体_GBK"/>
          <w:b/>
          <w:sz w:val="28"/>
        </w:rPr>
        <w:t>4.2 功能边界</w:t>
      </w:r>
      <w:bookmarkEnd w:id="38"/>
      <w:bookmarkEnd w:id="39"/>
    </w:p>
    <w:p w14:paraId="76D06C0C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执法音视频数据的统一接入与校验。</w:t>
      </w:r>
    </w:p>
    <w:p w14:paraId="26C621A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执法音视频数据的集中存储与分层管理。</w:t>
      </w:r>
    </w:p>
    <w:p w14:paraId="6EE9C31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执法音视频数据的检索、调阅与播放服务。</w:t>
      </w:r>
    </w:p>
    <w:p w14:paraId="77A45BE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数据生命周期管理（热存储、温存储、冷存储、归档处理）。</w:t>
      </w:r>
    </w:p>
    <w:p w14:paraId="6E4065C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存储优化服务（仅作用于访问副本或归档副本）。</w:t>
      </w:r>
    </w:p>
    <w:p w14:paraId="5357353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系统运维监控与告警服务。</w:t>
      </w:r>
    </w:p>
    <w:p w14:paraId="7FC02C1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与既有执法管理平台及上级警务综合平台的数据对接。</w:t>
      </w:r>
    </w:p>
    <w:p w14:paraId="07624893">
      <w:pPr>
        <w:spacing w:before="240" w:after="120" w:line="560" w:lineRule="exact"/>
        <w:jc w:val="left"/>
        <w:outlineLvl w:val="1"/>
      </w:pPr>
      <w:bookmarkStart w:id="40" w:name="_Toc1916"/>
      <w:bookmarkStart w:id="41" w:name="_Toc5159"/>
      <w:r>
        <w:rPr>
          <w:rFonts w:ascii="Times New Roman" w:hAnsi="Times New Roman" w:eastAsia="方正楷体_GBK"/>
          <w:b/>
          <w:sz w:val="28"/>
        </w:rPr>
        <w:t>4.3 数据边界</w:t>
      </w:r>
      <w:bookmarkEnd w:id="40"/>
      <w:bookmarkEnd w:id="41"/>
    </w:p>
    <w:p w14:paraId="143E8EC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本系统承载新增执法音视频数据，既有约 300TB 历史数据由原系统继续承担查询与调阅职能。</w:t>
      </w:r>
    </w:p>
    <w:p w14:paraId="42094195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存储有效容量不低于 700TB，满足年新增 200TB 以上、在线存储不少于 3 年的要求。</w:t>
      </w:r>
    </w:p>
    <w:p w14:paraId="07D60352">
      <w:pPr>
        <w:spacing w:before="240" w:after="120" w:line="560" w:lineRule="exact"/>
        <w:jc w:val="left"/>
        <w:outlineLvl w:val="1"/>
      </w:pPr>
      <w:bookmarkStart w:id="42" w:name="_Toc2702"/>
      <w:bookmarkStart w:id="43" w:name="_Toc12048"/>
      <w:r>
        <w:rPr>
          <w:rFonts w:ascii="Times New Roman" w:hAnsi="Times New Roman" w:eastAsia="方正楷体_GBK"/>
          <w:b/>
          <w:sz w:val="28"/>
        </w:rPr>
        <w:t>4.4 与既有系统关系</w:t>
      </w:r>
      <w:bookmarkEnd w:id="42"/>
      <w:bookmarkEnd w:id="43"/>
    </w:p>
    <w:p w14:paraId="47FDCB5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既有执法音视频系统保留运行，承担历史数据查询与调阅职能。</w:t>
      </w:r>
    </w:p>
    <w:p w14:paraId="269ABCD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新建系统通过标准接口与既有执法管理平台实现数据归集对接。</w:t>
      </w:r>
    </w:p>
    <w:p w14:paraId="5DD7E27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新建系统通过标准接口向市局警务综合平台提供数据上报能力。</w:t>
      </w:r>
    </w:p>
    <w:p w14:paraId="1BC125EC">
      <w:pPr>
        <w:spacing w:before="240" w:after="120" w:line="560" w:lineRule="exact"/>
        <w:jc w:val="left"/>
        <w:outlineLvl w:val="1"/>
      </w:pPr>
      <w:bookmarkStart w:id="44" w:name="_Toc24583"/>
      <w:bookmarkStart w:id="45" w:name="_Toc2935"/>
      <w:r>
        <w:rPr>
          <w:rFonts w:ascii="Times New Roman" w:hAnsi="Times New Roman" w:eastAsia="方正楷体_GBK"/>
          <w:b/>
          <w:sz w:val="28"/>
        </w:rPr>
        <w:t>4.5 不包含范围</w:t>
      </w:r>
      <w:bookmarkEnd w:id="44"/>
      <w:bookmarkEnd w:id="45"/>
    </w:p>
    <w:p w14:paraId="4FEB57A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不涉及既有执法业务系统功能改造。</w:t>
      </w:r>
    </w:p>
    <w:p w14:paraId="7378EB4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不涉及执法终端设备更新或替换。</w:t>
      </w:r>
    </w:p>
    <w:p w14:paraId="655D388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不涉及执法流程制度调整。</w:t>
      </w:r>
    </w:p>
    <w:p w14:paraId="4221F73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不包含历史系统替换或全量数据迁移。</w:t>
      </w:r>
    </w:p>
    <w:p w14:paraId="18276F5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不包含实时视频监控、视频调度、指挥调度或实时流媒体分发能力。</w:t>
      </w:r>
    </w:p>
    <w:p w14:paraId="41C0DA8C">
      <w:pPr>
        <w:spacing w:before="360" w:after="240" w:line="640" w:lineRule="exact"/>
        <w:jc w:val="left"/>
        <w:outlineLvl w:val="0"/>
      </w:pPr>
      <w:bookmarkStart w:id="46" w:name="_Toc24316"/>
      <w:bookmarkStart w:id="47" w:name="_Toc10323"/>
      <w:r>
        <w:rPr>
          <w:rFonts w:ascii="Times New Roman" w:hAnsi="Times New Roman" w:eastAsia="方正黑体_GBK"/>
          <w:b/>
          <w:sz w:val="32"/>
        </w:rPr>
        <w:t>5. 总体架构设计</w:t>
      </w:r>
      <w:bookmarkEnd w:id="46"/>
      <w:bookmarkEnd w:id="47"/>
    </w:p>
    <w:p w14:paraId="5976289E">
      <w:pPr>
        <w:spacing w:before="240" w:after="120" w:line="560" w:lineRule="exact"/>
        <w:jc w:val="left"/>
        <w:outlineLvl w:val="1"/>
      </w:pPr>
      <w:bookmarkStart w:id="48" w:name="_Toc20912"/>
      <w:bookmarkStart w:id="49" w:name="_Toc20283"/>
      <w:r>
        <w:rPr>
          <w:rFonts w:ascii="Times New Roman" w:hAnsi="Times New Roman" w:eastAsia="方正楷体_GBK"/>
          <w:b/>
          <w:sz w:val="28"/>
        </w:rPr>
        <w:t>5.1 架构设计思想</w:t>
      </w:r>
      <w:bookmarkEnd w:id="48"/>
      <w:bookmarkEnd w:id="49"/>
    </w:p>
    <w:p w14:paraId="336E57B0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系统采用分层解耦架构设计，自上而下分为外部对接层、设备终端层、传输网络层、接入处理层、平台服务层、数据存储层和基础设施层，安全保障体系贯穿全部层级。各层职责明确、接口标准化，支持独立演进与扩展。</w:t>
      </w:r>
    </w:p>
    <w:p w14:paraId="020B7C63">
      <w:pPr>
        <w:spacing w:before="240" w:after="120" w:line="560" w:lineRule="exact"/>
        <w:jc w:val="left"/>
        <w:outlineLvl w:val="1"/>
      </w:pPr>
      <w:bookmarkStart w:id="50" w:name="_Toc8657"/>
      <w:bookmarkStart w:id="51" w:name="_Toc26363"/>
      <w:r>
        <w:rPr>
          <w:rFonts w:ascii="Times New Roman" w:hAnsi="Times New Roman" w:eastAsia="方正楷体_GBK"/>
          <w:b/>
          <w:sz w:val="28"/>
        </w:rPr>
        <w:t>5.2 逻辑架构</w:t>
      </w:r>
      <w:bookmarkEnd w:id="50"/>
      <w:bookmarkEnd w:id="51"/>
    </w:p>
    <w:p w14:paraId="409E33CE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系统逻辑架构分为七个层级：</w:t>
      </w:r>
    </w:p>
    <w:p w14:paraId="28FD76F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外部对接层</w:t>
      </w:r>
      <w:r>
        <w:rPr>
          <w:rFonts w:ascii="Times New Roman" w:hAnsi="Times New Roman" w:eastAsia="方正仿宋_GBK"/>
          <w:b w:val="0"/>
          <w:sz w:val="28"/>
        </w:rPr>
        <w:t>：与市局警务综合平台、现有执法管理平台对接，提供标准化接口服务，实现数据上报与归集。</w:t>
      </w:r>
    </w:p>
    <w:p w14:paraId="701E3B96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设备终端层</w:t>
      </w:r>
      <w:r>
        <w:rPr>
          <w:rFonts w:ascii="Times New Roman" w:hAnsi="Times New Roman" w:eastAsia="方正仿宋_GBK"/>
          <w:b w:val="0"/>
          <w:sz w:val="28"/>
        </w:rPr>
        <w:t>：支持 5G 执法记录仪、手持式离线执法仪、数据采集站等多类终端设备接入。</w:t>
      </w:r>
    </w:p>
    <w:p w14:paraId="49BC19B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传输网络层</w:t>
      </w:r>
      <w:r>
        <w:rPr>
          <w:rFonts w:ascii="Times New Roman" w:hAnsi="Times New Roman" w:eastAsia="方正仿宋_GBK"/>
          <w:b w:val="0"/>
          <w:sz w:val="28"/>
        </w:rPr>
        <w:t>：基于公安专网进行有线安全传输，同时支持 5G 无线传输通道，配套网络安全设备保障传输安全。</w:t>
      </w:r>
    </w:p>
    <w:p w14:paraId="3A082B8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接入处理层</w:t>
      </w:r>
      <w:r>
        <w:rPr>
          <w:rFonts w:ascii="Times New Roman" w:hAnsi="Times New Roman" w:eastAsia="方正仿宋_GBK"/>
          <w:b w:val="0"/>
          <w:sz w:val="28"/>
        </w:rPr>
        <w:t>：提供数据接入网关、完整性校验、元数据提取、数据标签等数据预处理能力。</w:t>
      </w:r>
    </w:p>
    <w:p w14:paraId="58C8B02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平台服务层</w:t>
      </w:r>
      <w:r>
        <w:rPr>
          <w:rFonts w:ascii="Times New Roman" w:hAnsi="Times New Roman" w:eastAsia="方正仿宋_GBK"/>
          <w:b w:val="0"/>
          <w:sz w:val="28"/>
        </w:rPr>
        <w:t>：提供数据管理（入库、检索、调阅）、生命周期管理（热温冷自动迁移）、存储优化（副本转码）、运维监控等核心服务。</w:t>
      </w:r>
    </w:p>
    <w:p w14:paraId="52B358E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数据存储层</w:t>
      </w:r>
      <w:r>
        <w:rPr>
          <w:rFonts w:ascii="Times New Roman" w:hAnsi="Times New Roman" w:eastAsia="方正仿宋_GBK"/>
          <w:b w:val="0"/>
          <w:sz w:val="28"/>
        </w:rPr>
        <w:t>：按热存储（SSD 高性能）、温存储（HDD 大容量）、冷存储（归档）三级部署，独立设置原始证据存储区，保障证据数据完整性。</w:t>
      </w:r>
    </w:p>
    <w:p w14:paraId="7F7E0AC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基础设施层</w:t>
      </w:r>
      <w:r>
        <w:rPr>
          <w:rFonts w:ascii="Times New Roman" w:hAnsi="Times New Roman" w:eastAsia="方正仿宋_GBK"/>
          <w:b w:val="0"/>
          <w:sz w:val="28"/>
        </w:rPr>
        <w:t>：采用国产 CPU 服务器、国产操作系统，配套机房供电、制冷、机柜等基础设施。</w:t>
      </w:r>
    </w:p>
    <w:p w14:paraId="3CD8D176">
      <w:pPr>
        <w:spacing w:before="0" w:after="240"/>
        <w:jc w:val="center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-6230620</wp:posOffset>
            </wp:positionV>
            <wp:extent cx="5615940" cy="6506210"/>
            <wp:effectExtent l="0" t="0" r="3810" b="8890"/>
            <wp:wrapTight wrapText="bothSides">
              <wp:wrapPolygon>
                <wp:start x="0" y="0"/>
                <wp:lineTo x="0" y="21566"/>
                <wp:lineTo x="21541" y="21566"/>
                <wp:lineTo x="2154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506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方正黑体_GBK"/>
          <w:b/>
          <w:sz w:val="24"/>
        </w:rPr>
        <w:t>图：系统总体架构图</w:t>
      </w:r>
    </w:p>
    <w:p w14:paraId="1210F753">
      <w:pPr>
        <w:spacing w:before="0" w:after="240"/>
        <w:jc w:val="center"/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-6230620</wp:posOffset>
            </wp:positionV>
            <wp:extent cx="5615940" cy="6506210"/>
            <wp:effectExtent l="0" t="0" r="3810" b="8890"/>
            <wp:wrapTight wrapText="bothSides">
              <wp:wrapPolygon>
                <wp:start x="0" y="0"/>
                <wp:lineTo x="0" y="21566"/>
                <wp:lineTo x="21541" y="21566"/>
                <wp:lineTo x="2154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506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D004B">
      <w:r>
        <w:br w:type="page"/>
      </w:r>
    </w:p>
    <w:p w14:paraId="20D25E03">
      <w:pPr>
        <w:spacing w:before="0" w:after="0" w:line="200" w:lineRule="exact"/>
      </w:pPr>
    </w:p>
    <w:p w14:paraId="2595EF22">
      <w:pPr>
        <w:spacing w:before="240" w:after="120" w:line="560" w:lineRule="exact"/>
        <w:jc w:val="left"/>
        <w:outlineLvl w:val="1"/>
      </w:pPr>
      <w:bookmarkStart w:id="52" w:name="_Toc5094"/>
      <w:bookmarkStart w:id="53" w:name="_Toc11132"/>
      <w:r>
        <w:rPr>
          <w:rFonts w:ascii="Times New Roman" w:hAnsi="Times New Roman" w:eastAsia="方正楷体_GBK"/>
          <w:b/>
          <w:sz w:val="28"/>
        </w:rPr>
        <w:t>5.3 技术架构</w:t>
      </w:r>
      <w:bookmarkEnd w:id="52"/>
      <w:bookmarkEnd w:id="53"/>
    </w:p>
    <w:p w14:paraId="49B4B13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服务器采用国产 CPU（鲲鹏/飞腾/海光）架构，运行国产操作系统（麒麟/统信）。</w:t>
      </w:r>
    </w:p>
    <w:p w14:paraId="403186C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核心交换采用万兆双机堆叠冗余部署，业务网络与存储网络物理隔离。</w:t>
      </w:r>
    </w:p>
    <w:p w14:paraId="0D517F59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数据接入网关采用协议适配设计，支持多类终端设备的数据接入。</w:t>
      </w:r>
    </w:p>
    <w:p w14:paraId="4F73ACC8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存储系统采用分布式架构，支持在线扩容与数据自动分层迁移。</w:t>
      </w:r>
    </w:p>
    <w:p w14:paraId="3DC140C6">
      <w:pPr>
        <w:spacing w:before="240" w:after="120" w:line="560" w:lineRule="exact"/>
        <w:jc w:val="left"/>
        <w:outlineLvl w:val="1"/>
      </w:pPr>
      <w:bookmarkStart w:id="54" w:name="_Toc17580"/>
      <w:bookmarkStart w:id="55" w:name="_Toc26409"/>
      <w:r>
        <w:rPr>
          <w:rFonts w:ascii="Times New Roman" w:hAnsi="Times New Roman" w:eastAsia="方正楷体_GBK"/>
          <w:b/>
          <w:sz w:val="28"/>
        </w:rPr>
        <w:t>5.4 部署架构</w:t>
      </w:r>
      <w:bookmarkEnd w:id="54"/>
      <w:bookmarkEnd w:id="55"/>
    </w:p>
    <w:p w14:paraId="35E1FB9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系统集中部署于公安专网机房环境。</w:t>
      </w:r>
    </w:p>
    <w:p w14:paraId="6811E219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核心交换区采用双机冗余部署。</w:t>
      </w:r>
    </w:p>
    <w:p w14:paraId="1E19B358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服务器区与存储区通过独立存储交换网络隔离，避免业务流量与存储流量争抢带宽。</w:t>
      </w:r>
    </w:p>
    <w:p w14:paraId="0EC9DCB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安全边界区部署防火墙、VPN 网关、入侵检测、网络准入控制等安全设备。</w:t>
      </w:r>
    </w:p>
    <w:p w14:paraId="086190B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前端接入区支持有线导入与 5G 无线回传两种模式。</w:t>
      </w:r>
    </w:p>
    <w:p w14:paraId="1AB1DF19">
      <w:pPr>
        <w:spacing w:before="0" w:after="240"/>
        <w:jc w:val="center"/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-7240270</wp:posOffset>
            </wp:positionV>
            <wp:extent cx="5615940" cy="7515225"/>
            <wp:effectExtent l="0" t="0" r="3810" b="9525"/>
            <wp:wrapTight wrapText="bothSides">
              <wp:wrapPolygon>
                <wp:start x="0" y="0"/>
                <wp:lineTo x="0" y="21573"/>
                <wp:lineTo x="21541" y="21573"/>
                <wp:lineTo x="2154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751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方正黑体_GBK"/>
          <w:b/>
          <w:sz w:val="24"/>
        </w:rPr>
        <w:t>图：网络拓扑结构图</w:t>
      </w:r>
    </w:p>
    <w:p w14:paraId="05DFAD84">
      <w:r>
        <w:br w:type="page"/>
      </w:r>
    </w:p>
    <w:p w14:paraId="21DB2FA6">
      <w:pPr>
        <w:spacing w:before="0" w:after="0" w:line="200" w:lineRule="exact"/>
      </w:pPr>
    </w:p>
    <w:p w14:paraId="3C2413B4">
      <w:pPr>
        <w:spacing w:before="240" w:after="120" w:line="560" w:lineRule="exact"/>
        <w:jc w:val="left"/>
        <w:outlineLvl w:val="1"/>
      </w:pPr>
      <w:bookmarkStart w:id="56" w:name="_Toc20987"/>
      <w:bookmarkStart w:id="57" w:name="_Toc21318"/>
      <w:r>
        <w:rPr>
          <w:rFonts w:ascii="Times New Roman" w:hAnsi="Times New Roman" w:eastAsia="方正楷体_GBK"/>
          <w:b/>
          <w:sz w:val="28"/>
        </w:rPr>
        <w:t>5.5 数据架构</w:t>
      </w:r>
      <w:bookmarkEnd w:id="56"/>
      <w:bookmarkEnd w:id="57"/>
    </w:p>
    <w:p w14:paraId="6ED61095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系统数据架构围绕执法音视频数据的接入、存储、流转与使用进行设计：</w:t>
      </w:r>
    </w:p>
    <w:p w14:paraId="2D2D5EC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数据接入</w:t>
      </w:r>
      <w:r>
        <w:rPr>
          <w:rFonts w:ascii="Times New Roman" w:hAnsi="Times New Roman" w:eastAsia="方正仿宋_GBK"/>
          <w:b w:val="0"/>
          <w:sz w:val="28"/>
        </w:rPr>
        <w:t>：支持五种数据接入路径——5G 实时回传、采集站导入、直接导入、平台归集、上报市局。所有数据经数据接入网关统一校验与登记后入库。</w:t>
      </w:r>
    </w:p>
    <w:p w14:paraId="20C6E8B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数据存储</w:t>
      </w:r>
      <w:r>
        <w:rPr>
          <w:rFonts w:ascii="Times New Roman" w:hAnsi="Times New Roman" w:eastAsia="方正仿宋_GBK"/>
          <w:b w:val="0"/>
          <w:sz w:val="28"/>
        </w:rPr>
        <w:t>：原始证据数据与优化副本分别存储、独立管理。原始数据具有法律效力，副本用于日常调阅。</w:t>
      </w:r>
    </w:p>
    <w:p w14:paraId="67012A0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数据流转</w:t>
      </w:r>
      <w:r>
        <w:rPr>
          <w:rFonts w:ascii="Times New Roman" w:hAnsi="Times New Roman" w:eastAsia="方正仿宋_GBK"/>
          <w:b w:val="0"/>
          <w:sz w:val="28"/>
        </w:rPr>
        <w:t>：数据按生命周期自动从热存储向温存储、冷存储迁移，到期后按规定留存或合规销毁。</w:t>
      </w:r>
    </w:p>
    <w:p w14:paraId="7835B16E"/>
    <w:p w14:paraId="12E9036D"/>
    <w:p w14:paraId="08A6FD14">
      <w:pPr>
        <w:spacing w:before="0" w:after="240"/>
        <w:jc w:val="center"/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-6230620</wp:posOffset>
            </wp:positionV>
            <wp:extent cx="5615940" cy="6506210"/>
            <wp:effectExtent l="0" t="0" r="3810" b="8890"/>
            <wp:wrapTight wrapText="bothSides">
              <wp:wrapPolygon>
                <wp:start x="0" y="0"/>
                <wp:lineTo x="0" y="21566"/>
                <wp:lineTo x="21541" y="21566"/>
                <wp:lineTo x="2154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506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方正黑体_GBK"/>
          <w:b/>
          <w:sz w:val="24"/>
        </w:rPr>
        <w:t>图：数据流转图</w:t>
      </w:r>
    </w:p>
    <w:p w14:paraId="1236C521">
      <w:pPr>
        <w:rPr>
          <w:rFonts w:ascii="Times New Roman" w:hAnsi="Times New Roman" w:eastAsia="方正黑体_GBK"/>
          <w:b/>
          <w:sz w:val="32"/>
        </w:rPr>
      </w:pPr>
      <w:bookmarkStart w:id="58" w:name="_Toc27934"/>
      <w:r>
        <w:rPr>
          <w:rFonts w:ascii="Times New Roman" w:hAnsi="Times New Roman" w:eastAsia="方正黑体_GBK"/>
          <w:b/>
          <w:sz w:val="32"/>
        </w:rPr>
        <w:br w:type="page"/>
      </w:r>
    </w:p>
    <w:p w14:paraId="37B19C49">
      <w:pPr>
        <w:spacing w:before="360" w:after="240" w:line="640" w:lineRule="exact"/>
        <w:jc w:val="left"/>
        <w:outlineLvl w:val="0"/>
      </w:pPr>
      <w:bookmarkStart w:id="59" w:name="_Toc16756"/>
      <w:r>
        <w:rPr>
          <w:rFonts w:ascii="Times New Roman" w:hAnsi="Times New Roman" w:eastAsia="方正黑体_GBK"/>
          <w:b/>
          <w:sz w:val="32"/>
        </w:rPr>
        <w:t>6. 功能与能力设计</w:t>
      </w:r>
      <w:bookmarkEnd w:id="58"/>
      <w:bookmarkEnd w:id="59"/>
    </w:p>
    <w:p w14:paraId="53D094FA">
      <w:pPr>
        <w:spacing w:before="240" w:after="120" w:line="560" w:lineRule="exact"/>
        <w:jc w:val="left"/>
        <w:outlineLvl w:val="1"/>
      </w:pPr>
      <w:bookmarkStart w:id="60" w:name="_Toc11441"/>
      <w:bookmarkStart w:id="61" w:name="_Toc28551"/>
      <w:r>
        <w:rPr>
          <w:rFonts w:ascii="Times New Roman" w:hAnsi="Times New Roman" w:eastAsia="方正楷体_GBK"/>
          <w:b/>
          <w:sz w:val="28"/>
        </w:rPr>
        <w:t>6.1 核心能力说明</w:t>
      </w:r>
      <w:bookmarkEnd w:id="60"/>
      <w:bookmarkEnd w:id="61"/>
    </w:p>
    <w:p w14:paraId="2C7E7837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系统核心能力围绕执法音视频数据的"收、存、管、用"四个环节构建：</w:t>
      </w:r>
    </w:p>
    <w:p w14:paraId="0CE2F326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收</w:t>
      </w:r>
      <w:r>
        <w:rPr>
          <w:rFonts w:ascii="Times New Roman" w:hAnsi="Times New Roman" w:eastAsia="方正仿宋_GBK"/>
          <w:b w:val="0"/>
          <w:sz w:val="28"/>
        </w:rPr>
        <w:t>：多源异构数据统一接入，支持实时回传与离线导入。</w:t>
      </w:r>
    </w:p>
    <w:p w14:paraId="7CD5161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存</w:t>
      </w:r>
      <w:r>
        <w:rPr>
          <w:rFonts w:ascii="Times New Roman" w:hAnsi="Times New Roman" w:eastAsia="方正仿宋_GBK"/>
          <w:b w:val="0"/>
          <w:sz w:val="28"/>
        </w:rPr>
        <w:t>：大容量分层存储，原始证据数据完整保护。</w:t>
      </w:r>
    </w:p>
    <w:p w14:paraId="00DFB4A8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管</w:t>
      </w:r>
      <w:r>
        <w:rPr>
          <w:rFonts w:ascii="Times New Roman" w:hAnsi="Times New Roman" w:eastAsia="方正仿宋_GBK"/>
          <w:b w:val="0"/>
          <w:sz w:val="28"/>
        </w:rPr>
        <w:t>：数据全生命周期自动化管理，元数据索引与分类标签。</w:t>
      </w:r>
    </w:p>
    <w:p w14:paraId="3349AC4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用</w:t>
      </w:r>
      <w:r>
        <w:rPr>
          <w:rFonts w:ascii="Times New Roman" w:hAnsi="Times New Roman" w:eastAsia="方正仿宋_GBK"/>
          <w:b w:val="0"/>
          <w:sz w:val="28"/>
        </w:rPr>
        <w:t>：检索调阅、并发播放、数据上报与监督支撑。</w:t>
      </w:r>
    </w:p>
    <w:p w14:paraId="0E5F7710">
      <w:pPr>
        <w:spacing w:before="240" w:after="120" w:line="560" w:lineRule="exact"/>
        <w:jc w:val="left"/>
        <w:outlineLvl w:val="1"/>
      </w:pPr>
      <w:bookmarkStart w:id="62" w:name="_Toc27759"/>
      <w:bookmarkStart w:id="63" w:name="_Toc2790"/>
      <w:r>
        <w:rPr>
          <w:rFonts w:ascii="Times New Roman" w:hAnsi="Times New Roman" w:eastAsia="方正楷体_GBK"/>
          <w:b/>
          <w:sz w:val="28"/>
        </w:rPr>
        <w:t>6.2 功能模块划分</w:t>
      </w:r>
      <w:bookmarkEnd w:id="62"/>
      <w:bookmarkEnd w:id="63"/>
    </w:p>
    <w:p w14:paraId="5D1EA311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数据接入模块</w:t>
      </w:r>
    </w:p>
    <w:p w14:paraId="24CA2D4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数据接入网关：协议适配、格式识别、数据接收。</w:t>
      </w:r>
    </w:p>
    <w:p w14:paraId="55700FB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数据校验服务：数据完整性校验、合规性校验。</w:t>
      </w:r>
    </w:p>
    <w:p w14:paraId="1480520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元数据提取服务：自动提取时间、地点、设备等元数据信息。</w:t>
      </w:r>
    </w:p>
    <w:p w14:paraId="7B192F9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数据标签服务：数据分类标注与索引建立。</w:t>
      </w:r>
    </w:p>
    <w:p w14:paraId="5D2D0106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数据管理模块</w:t>
      </w:r>
    </w:p>
    <w:p w14:paraId="3847DFA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数据入库服务：校验通过后自动入库，关联元数据与标签。</w:t>
      </w:r>
    </w:p>
    <w:p w14:paraId="38CCAD8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检索服务：支持按时间、设备、人员、地点等多维度检索。</w:t>
      </w:r>
    </w:p>
    <w:p w14:paraId="24FCB8C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调阅服务：支持在线播放与下载，满足 20 路并发播放需求。</w:t>
      </w:r>
    </w:p>
    <w:p w14:paraId="69266EA5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生命周期管理模块</w:t>
      </w:r>
    </w:p>
    <w:p w14:paraId="19B4781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数据分层策略：按访问频率与存储周期自动迁移（热→温→冷）。</w:t>
      </w:r>
    </w:p>
    <w:p w14:paraId="776D498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到期处理策略：超过在线周期的数据按规定进行归档或合规销毁。</w:t>
      </w:r>
    </w:p>
    <w:p w14:paraId="42469440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存储优化模块</w:t>
      </w:r>
    </w:p>
    <w:p w14:paraId="543616A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副本管理：为归档数据生成优化副本（转码/压缩），用于辅助查询场景。</w:t>
      </w:r>
    </w:p>
    <w:p w14:paraId="35C8352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空间优化策略仅作用于访问副本或归档副本，不作用于原始证据数据。</w:t>
      </w:r>
    </w:p>
    <w:p w14:paraId="459BC069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优化数据不作为执法证据使用载体。</w:t>
      </w:r>
    </w:p>
    <w:p w14:paraId="7A922FC6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数据对接模块</w:t>
      </w:r>
    </w:p>
    <w:p w14:paraId="53070C7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与现有执法管理平台的数据归集对接。</w:t>
      </w:r>
    </w:p>
    <w:p w14:paraId="34EFB03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向市局警务综合平台的数据上报服务。</w:t>
      </w:r>
    </w:p>
    <w:p w14:paraId="7CFC69E5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标准化 API 接口服务。</w:t>
      </w:r>
    </w:p>
    <w:p w14:paraId="26F06F64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运维监控模块</w:t>
      </w:r>
    </w:p>
    <w:p w14:paraId="12DA81EC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存储容量监测与告警。</w:t>
      </w:r>
    </w:p>
    <w:p w14:paraId="763117CC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系统健康度评估。</w:t>
      </w:r>
    </w:p>
    <w:p w14:paraId="55359125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设备运行状态监控。</w:t>
      </w:r>
    </w:p>
    <w:p w14:paraId="11C4177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操作日志管理。</w:t>
      </w:r>
    </w:p>
    <w:p w14:paraId="5EFFC414">
      <w:pPr>
        <w:spacing w:before="240" w:after="120" w:line="560" w:lineRule="exact"/>
        <w:jc w:val="left"/>
        <w:outlineLvl w:val="1"/>
      </w:pPr>
      <w:bookmarkStart w:id="64" w:name="_Toc23935"/>
      <w:bookmarkStart w:id="65" w:name="_Toc22960"/>
      <w:r>
        <w:rPr>
          <w:rFonts w:ascii="Times New Roman" w:hAnsi="Times New Roman" w:eastAsia="方正楷体_GBK"/>
          <w:b/>
          <w:sz w:val="28"/>
        </w:rPr>
        <w:t>6.3 关键机制设计</w:t>
      </w:r>
      <w:bookmarkEnd w:id="64"/>
      <w:bookmarkEnd w:id="65"/>
    </w:p>
    <w:p w14:paraId="5610B013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削峰与分时上传机制</w:t>
      </w:r>
    </w:p>
    <w:p w14:paraId="67A2D7DB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系统采用削峰与分时上传机制，避免集中上传对公安专网造成冲击。数据采集站与终端管理软件支持上传任务排程，将大批量数据上传分散至低峰时段执行。</w:t>
      </w:r>
    </w:p>
    <w:p w14:paraId="44F99D69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原始数据保护机制</w:t>
      </w:r>
    </w:p>
    <w:p w14:paraId="31F7CC17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原始执法音视频数据写入后即纳入保护，任何后续操作（含存储优化、副本生成）不接触原始数据存储区。原始数据存储采用 WORM（一次写入多次读取）保护机制。</w:t>
      </w:r>
    </w:p>
    <w:p w14:paraId="3C84716A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数据完整性校验机制</w:t>
      </w:r>
    </w:p>
    <w:p w14:paraId="59A2D5EA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数据在接入、传输、入库等各环节实施哈希校验，确保数据在全流程中保持完整一致。</w:t>
      </w:r>
    </w:p>
    <w:p w14:paraId="25C250F1">
      <w:pPr>
        <w:spacing w:before="240" w:after="120" w:line="560" w:lineRule="exact"/>
        <w:jc w:val="left"/>
        <w:outlineLvl w:val="1"/>
      </w:pPr>
      <w:bookmarkStart w:id="66" w:name="_Toc13920"/>
      <w:bookmarkStart w:id="67" w:name="_Toc5520"/>
      <w:r>
        <w:rPr>
          <w:rFonts w:ascii="Times New Roman" w:hAnsi="Times New Roman" w:eastAsia="方正楷体_GBK"/>
          <w:b/>
          <w:sz w:val="28"/>
        </w:rPr>
        <w:t>6.4 业务支撑方式</w:t>
      </w:r>
      <w:bookmarkEnd w:id="66"/>
      <w:bookmarkEnd w:id="67"/>
    </w:p>
    <w:p w14:paraId="224F9AC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为执法监督提供音视频数据的快速检索与调阅能力。</w:t>
      </w:r>
    </w:p>
    <w:p w14:paraId="74E0147C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为执法规范化管理提供数据存储统计与分析基础数据。</w:t>
      </w:r>
    </w:p>
    <w:p w14:paraId="0AE2D84D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为上级平台数据汇聚提供标准化数据推送通道。</w:t>
      </w:r>
    </w:p>
    <w:p w14:paraId="4B9CCA69">
      <w:pPr>
        <w:spacing w:before="240" w:after="120" w:line="560" w:lineRule="exact"/>
        <w:jc w:val="left"/>
        <w:outlineLvl w:val="1"/>
      </w:pPr>
      <w:bookmarkStart w:id="68" w:name="_Toc12475"/>
      <w:bookmarkStart w:id="69" w:name="_Toc2150"/>
      <w:r>
        <w:rPr>
          <w:rFonts w:ascii="Times New Roman" w:hAnsi="Times New Roman" w:eastAsia="方正楷体_GBK"/>
          <w:b/>
          <w:sz w:val="28"/>
        </w:rPr>
        <w:t>6.5 扩展能力设计</w:t>
      </w:r>
      <w:bookmarkEnd w:id="68"/>
      <w:bookmarkEnd w:id="69"/>
    </w:p>
    <w:p w14:paraId="5A59FDD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存储容量支持在线扩展，可按需增加存储节点。</w:t>
      </w:r>
    </w:p>
    <w:p w14:paraId="59F6AA9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数据接入通道支持新型终端设备的协议扩展。</w:t>
      </w:r>
    </w:p>
    <w:p w14:paraId="30880DA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系统接口采用标准化设计，预留与其他业务系统的对接能力。</w:t>
      </w:r>
    </w:p>
    <w:p w14:paraId="3603B667">
      <w:pPr>
        <w:spacing w:before="360" w:after="240" w:line="640" w:lineRule="exact"/>
        <w:jc w:val="left"/>
        <w:outlineLvl w:val="0"/>
      </w:pPr>
      <w:bookmarkStart w:id="70" w:name="_Toc22303"/>
      <w:bookmarkStart w:id="71" w:name="_Toc7923"/>
      <w:r>
        <w:rPr>
          <w:rFonts w:ascii="Times New Roman" w:hAnsi="Times New Roman" w:eastAsia="方正黑体_GBK"/>
          <w:b/>
          <w:sz w:val="32"/>
        </w:rPr>
        <w:t>7. 数据体系设计</w:t>
      </w:r>
      <w:bookmarkEnd w:id="70"/>
      <w:bookmarkEnd w:id="71"/>
    </w:p>
    <w:p w14:paraId="0484BDC4">
      <w:pPr>
        <w:spacing w:before="240" w:after="120" w:line="560" w:lineRule="exact"/>
        <w:jc w:val="left"/>
        <w:outlineLvl w:val="1"/>
      </w:pPr>
      <w:bookmarkStart w:id="72" w:name="_Toc30278"/>
      <w:bookmarkStart w:id="73" w:name="_Toc9936"/>
      <w:r>
        <w:rPr>
          <w:rFonts w:ascii="Times New Roman" w:hAnsi="Times New Roman" w:eastAsia="方正楷体_GBK"/>
          <w:b/>
          <w:sz w:val="28"/>
        </w:rPr>
        <w:t>7.1 数据来源</w:t>
      </w:r>
      <w:bookmarkEnd w:id="72"/>
      <w:bookmarkEnd w:id="73"/>
    </w:p>
    <w:p w14:paraId="736E21D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5G 执法记录仪实时回传数据。</w:t>
      </w:r>
    </w:p>
    <w:p w14:paraId="3F52549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手持式离线执法仪通过采集站或直接导入的数据。</w:t>
      </w:r>
    </w:p>
    <w:p w14:paraId="3A9C2F5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现有执法管理平台归集的新增数据。</w:t>
      </w:r>
    </w:p>
    <w:p w14:paraId="482FE4A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终端管理软件导入的数据。</w:t>
      </w:r>
    </w:p>
    <w:p w14:paraId="7FCA6FD0">
      <w:pPr>
        <w:spacing w:before="240" w:after="120" w:line="560" w:lineRule="exact"/>
        <w:jc w:val="left"/>
        <w:outlineLvl w:val="1"/>
      </w:pPr>
      <w:bookmarkStart w:id="74" w:name="_Toc10702"/>
      <w:bookmarkStart w:id="75" w:name="_Toc8859"/>
      <w:r>
        <w:rPr>
          <w:rFonts w:ascii="Times New Roman" w:hAnsi="Times New Roman" w:eastAsia="方正楷体_GBK"/>
          <w:b/>
          <w:sz w:val="28"/>
        </w:rPr>
        <w:t>7.2 数据分类</w:t>
      </w:r>
      <w:bookmarkEnd w:id="74"/>
      <w:bookmarkEnd w:id="7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32770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9E2F3"/>
          </w:tcPr>
          <w:p w14:paraId="1BE5341C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数据类型</w:t>
            </w:r>
          </w:p>
        </w:tc>
        <w:tc>
          <w:tcPr>
            <w:tcW w:w="2948" w:type="dxa"/>
            <w:shd w:val="clear" w:color="auto" w:fill="D9E2F3"/>
          </w:tcPr>
          <w:p w14:paraId="275760F1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说明</w:t>
            </w:r>
          </w:p>
        </w:tc>
        <w:tc>
          <w:tcPr>
            <w:tcW w:w="2948" w:type="dxa"/>
            <w:shd w:val="clear" w:color="auto" w:fill="D9E2F3"/>
          </w:tcPr>
          <w:p w14:paraId="280CA919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存储要求</w:t>
            </w:r>
          </w:p>
        </w:tc>
      </w:tr>
      <w:tr w14:paraId="7A632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1EE25A4E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原始证据数据</w:t>
            </w:r>
          </w:p>
        </w:tc>
        <w:tc>
          <w:tcPr>
            <w:tcW w:w="2948" w:type="dxa"/>
          </w:tcPr>
          <w:p w14:paraId="0A216037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执法终端采集的原始音视频文件</w:t>
            </w:r>
          </w:p>
        </w:tc>
        <w:tc>
          <w:tcPr>
            <w:tcW w:w="2948" w:type="dxa"/>
          </w:tcPr>
          <w:p w14:paraId="259D3292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完整保存，不可修改</w:t>
            </w:r>
          </w:p>
        </w:tc>
      </w:tr>
      <w:tr w14:paraId="5DF0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2F51854D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元数据</w:t>
            </w:r>
          </w:p>
        </w:tc>
        <w:tc>
          <w:tcPr>
            <w:tcW w:w="2948" w:type="dxa"/>
          </w:tcPr>
          <w:p w14:paraId="0EB15500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时间、地点、设备、人员等结构化信息</w:t>
            </w:r>
          </w:p>
        </w:tc>
        <w:tc>
          <w:tcPr>
            <w:tcW w:w="2948" w:type="dxa"/>
          </w:tcPr>
          <w:p w14:paraId="47F89F9D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关联存储，支持检索</w:t>
            </w:r>
          </w:p>
        </w:tc>
      </w:tr>
      <w:tr w14:paraId="7CFF4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5F8F0102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优化副本数据</w:t>
            </w:r>
          </w:p>
        </w:tc>
        <w:tc>
          <w:tcPr>
            <w:tcW w:w="2948" w:type="dxa"/>
          </w:tcPr>
          <w:p w14:paraId="5F248932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归档副本的转码/压缩版本</w:t>
            </w:r>
          </w:p>
        </w:tc>
        <w:tc>
          <w:tcPr>
            <w:tcW w:w="2948" w:type="dxa"/>
          </w:tcPr>
          <w:p w14:paraId="19A26AF0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独立存储，不作为证据载体</w:t>
            </w:r>
          </w:p>
        </w:tc>
      </w:tr>
      <w:tr w14:paraId="0F1DF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5139AA52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系统运行数据</w:t>
            </w:r>
          </w:p>
        </w:tc>
        <w:tc>
          <w:tcPr>
            <w:tcW w:w="2948" w:type="dxa"/>
          </w:tcPr>
          <w:p w14:paraId="3C73D364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操作日志、审计记录、运维数据</w:t>
            </w:r>
          </w:p>
        </w:tc>
        <w:tc>
          <w:tcPr>
            <w:tcW w:w="2948" w:type="dxa"/>
          </w:tcPr>
          <w:p w14:paraId="0A2024A3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按规定周期留存</w:t>
            </w:r>
          </w:p>
        </w:tc>
      </w:tr>
    </w:tbl>
    <w:p w14:paraId="7B090DDE">
      <w:pPr>
        <w:spacing w:before="120" w:after="0" w:line="200" w:lineRule="exact"/>
      </w:pPr>
    </w:p>
    <w:p w14:paraId="19760E0D">
      <w:pPr>
        <w:spacing w:before="240" w:after="120" w:line="560" w:lineRule="exact"/>
        <w:jc w:val="left"/>
        <w:outlineLvl w:val="1"/>
      </w:pPr>
      <w:bookmarkStart w:id="76" w:name="_Toc17520"/>
      <w:bookmarkStart w:id="77" w:name="_Toc21317"/>
      <w:r>
        <w:rPr>
          <w:rFonts w:ascii="Times New Roman" w:hAnsi="Times New Roman" w:eastAsia="方正楷体_GBK"/>
          <w:b/>
          <w:sz w:val="28"/>
        </w:rPr>
        <w:t>7.3 数据存储策略</w:t>
      </w:r>
      <w:bookmarkEnd w:id="76"/>
      <w:bookmarkEnd w:id="77"/>
    </w:p>
    <w:p w14:paraId="468E8822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分层存储策略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 w14:paraId="54314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11" w:type="dxa"/>
            <w:shd w:val="clear" w:color="auto" w:fill="D9E2F3"/>
          </w:tcPr>
          <w:p w14:paraId="02D95552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存储层级</w:t>
            </w:r>
          </w:p>
        </w:tc>
        <w:tc>
          <w:tcPr>
            <w:tcW w:w="2211" w:type="dxa"/>
            <w:shd w:val="clear" w:color="auto" w:fill="D9E2F3"/>
          </w:tcPr>
          <w:p w14:paraId="14DFD163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存储介质</w:t>
            </w:r>
          </w:p>
        </w:tc>
        <w:tc>
          <w:tcPr>
            <w:tcW w:w="2211" w:type="dxa"/>
            <w:shd w:val="clear" w:color="auto" w:fill="D9E2F3"/>
          </w:tcPr>
          <w:p w14:paraId="094663E3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数据特征</w:t>
            </w:r>
          </w:p>
        </w:tc>
        <w:tc>
          <w:tcPr>
            <w:tcW w:w="2211" w:type="dxa"/>
            <w:shd w:val="clear" w:color="auto" w:fill="D9E2F3"/>
          </w:tcPr>
          <w:p w14:paraId="198190E3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参考周期</w:t>
            </w:r>
          </w:p>
        </w:tc>
      </w:tr>
      <w:tr w14:paraId="43B33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6691DCF1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热存储</w:t>
            </w:r>
          </w:p>
        </w:tc>
        <w:tc>
          <w:tcPr>
            <w:tcW w:w="2211" w:type="dxa"/>
          </w:tcPr>
          <w:p w14:paraId="355EF438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SSD 高性能存储</w:t>
            </w:r>
          </w:p>
        </w:tc>
        <w:tc>
          <w:tcPr>
            <w:tcW w:w="2211" w:type="dxa"/>
          </w:tcPr>
          <w:p w14:paraId="6D3D52B2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近期高频访问数据</w:t>
            </w:r>
          </w:p>
        </w:tc>
        <w:tc>
          <w:tcPr>
            <w:tcW w:w="2211" w:type="dxa"/>
          </w:tcPr>
          <w:p w14:paraId="445131F0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0～30 天</w:t>
            </w:r>
          </w:p>
        </w:tc>
      </w:tr>
      <w:tr w14:paraId="5BAB5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4157D586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温存储</w:t>
            </w:r>
          </w:p>
        </w:tc>
        <w:tc>
          <w:tcPr>
            <w:tcW w:w="2211" w:type="dxa"/>
          </w:tcPr>
          <w:p w14:paraId="06DBE57B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HDD 大容量存储</w:t>
            </w:r>
          </w:p>
        </w:tc>
        <w:tc>
          <w:tcPr>
            <w:tcW w:w="2211" w:type="dxa"/>
          </w:tcPr>
          <w:p w14:paraId="58EF4E40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中期中频访问数据</w:t>
            </w:r>
          </w:p>
        </w:tc>
        <w:tc>
          <w:tcPr>
            <w:tcW w:w="2211" w:type="dxa"/>
          </w:tcPr>
          <w:p w14:paraId="15E981C3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30 天～6 个月</w:t>
            </w:r>
          </w:p>
        </w:tc>
      </w:tr>
      <w:tr w14:paraId="3A24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</w:tcPr>
          <w:p w14:paraId="22ED621D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冷存储</w:t>
            </w:r>
          </w:p>
        </w:tc>
        <w:tc>
          <w:tcPr>
            <w:tcW w:w="2211" w:type="dxa"/>
          </w:tcPr>
          <w:p w14:paraId="715F5942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高密度归档存储</w:t>
            </w:r>
          </w:p>
        </w:tc>
        <w:tc>
          <w:tcPr>
            <w:tcW w:w="2211" w:type="dxa"/>
          </w:tcPr>
          <w:p w14:paraId="1CFF8426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长期低频访问数据</w:t>
            </w:r>
          </w:p>
        </w:tc>
        <w:tc>
          <w:tcPr>
            <w:tcW w:w="2211" w:type="dxa"/>
          </w:tcPr>
          <w:p w14:paraId="509CA023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6 个月～3 年</w:t>
            </w:r>
          </w:p>
        </w:tc>
      </w:tr>
    </w:tbl>
    <w:p w14:paraId="5D378283">
      <w:pPr>
        <w:spacing w:before="120" w:after="0" w:line="200" w:lineRule="exact"/>
      </w:pPr>
    </w:p>
    <w:p w14:paraId="3F93A31E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原始证据存储策略</w:t>
      </w:r>
    </w:p>
    <w:p w14:paraId="47CBAC81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原始证据数据独立存储于专用存储区，采用 WORM 保护机制，全生命周期保持完整不动。存储优化（转码/压缩）仅作用于归档副本，两者独立存储、独立管理。</w:t>
      </w:r>
    </w:p>
    <w:p w14:paraId="72C36270">
      <w:pPr>
        <w:spacing w:before="240" w:after="120" w:line="560" w:lineRule="exact"/>
        <w:jc w:val="left"/>
        <w:outlineLvl w:val="1"/>
      </w:pPr>
      <w:bookmarkStart w:id="78" w:name="_Toc23625"/>
      <w:bookmarkStart w:id="79" w:name="_Toc31383"/>
      <w:r>
        <w:rPr>
          <w:rFonts w:ascii="Times New Roman" w:hAnsi="Times New Roman" w:eastAsia="方正楷体_GBK"/>
          <w:b/>
          <w:sz w:val="28"/>
        </w:rPr>
        <w:t>7.4 数据生命周期管理</w:t>
      </w:r>
      <w:bookmarkEnd w:id="78"/>
      <w:bookmarkEnd w:id="79"/>
    </w:p>
    <w:p w14:paraId="12051EAD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接入阶段</w:t>
      </w:r>
      <w:r>
        <w:rPr>
          <w:rFonts w:ascii="Times New Roman" w:hAnsi="Times New Roman" w:eastAsia="方正仿宋_GBK"/>
          <w:b w:val="0"/>
          <w:sz w:val="28"/>
        </w:rPr>
        <w:t>：数据通过接入网关校验后写入热存储，同步提取元数据建立索引。</w:t>
      </w:r>
    </w:p>
    <w:p w14:paraId="178758C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在线阶段</w:t>
      </w:r>
      <w:r>
        <w:rPr>
          <w:rFonts w:ascii="Times New Roman" w:hAnsi="Times New Roman" w:eastAsia="方正仿宋_GBK"/>
          <w:b w:val="0"/>
          <w:sz w:val="28"/>
        </w:rPr>
        <w:t>：数据在热→温→冷存储间按策略自动迁移，保障在线存储周期不少于 3 年。</w:t>
      </w:r>
    </w:p>
    <w:p w14:paraId="770D036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归档阶段</w:t>
      </w:r>
      <w:r>
        <w:rPr>
          <w:rFonts w:ascii="Times New Roman" w:hAnsi="Times New Roman" w:eastAsia="方正仿宋_GBK"/>
          <w:b w:val="0"/>
          <w:sz w:val="28"/>
        </w:rPr>
        <w:t>：超过在线周期的数据，可生成优化副本用于历史留存与辅助查询。</w:t>
      </w:r>
    </w:p>
    <w:p w14:paraId="31832798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— </w:t>
      </w:r>
      <w:r>
        <w:rPr>
          <w:rFonts w:ascii="Times New Roman" w:hAnsi="Times New Roman" w:eastAsia="方正黑体_GBK"/>
          <w:b/>
          <w:sz w:val="28"/>
        </w:rPr>
        <w:t>到期处理</w:t>
      </w:r>
      <w:r>
        <w:rPr>
          <w:rFonts w:ascii="Times New Roman" w:hAnsi="Times New Roman" w:eastAsia="方正仿宋_GBK"/>
          <w:b w:val="0"/>
          <w:sz w:val="28"/>
        </w:rPr>
        <w:t>：按数据留存规定进行合规销毁或长期归档。</w:t>
      </w:r>
    </w:p>
    <w:p w14:paraId="429224E0">
      <w:pPr>
        <w:spacing w:before="240" w:after="120" w:line="560" w:lineRule="exact"/>
        <w:jc w:val="left"/>
        <w:outlineLvl w:val="1"/>
      </w:pPr>
      <w:bookmarkStart w:id="80" w:name="_Toc1840"/>
      <w:bookmarkStart w:id="81" w:name="_Toc10335"/>
      <w:r>
        <w:rPr>
          <w:rFonts w:ascii="Times New Roman" w:hAnsi="Times New Roman" w:eastAsia="方正楷体_GBK"/>
          <w:b/>
          <w:sz w:val="28"/>
        </w:rPr>
        <w:t>7.5 数据安全与权限控制</w:t>
      </w:r>
      <w:bookmarkEnd w:id="80"/>
      <w:bookmarkEnd w:id="81"/>
    </w:p>
    <w:p w14:paraId="6C54D3EC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数据访问实行基于角色的权限控制，按岗位职责分配检索、调阅、下载等操作权限。</w:t>
      </w:r>
    </w:p>
    <w:p w14:paraId="5F722A9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原始证据数据存储区实施物理与逻辑隔离保护。</w:t>
      </w:r>
    </w:p>
    <w:p w14:paraId="0122163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全部数据操作行为纳入审计日志，支持追溯查询。</w:t>
      </w:r>
    </w:p>
    <w:p w14:paraId="1A32007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数据传输采用加密通道保护。</w:t>
      </w:r>
    </w:p>
    <w:p w14:paraId="60F8BF78">
      <w:pPr>
        <w:spacing w:before="360" w:after="240" w:line="640" w:lineRule="exact"/>
        <w:jc w:val="left"/>
        <w:outlineLvl w:val="0"/>
      </w:pPr>
      <w:bookmarkStart w:id="82" w:name="_Toc29200"/>
      <w:bookmarkStart w:id="83" w:name="_Toc1209"/>
      <w:r>
        <w:rPr>
          <w:rFonts w:ascii="Times New Roman" w:hAnsi="Times New Roman" w:eastAsia="方正黑体_GBK"/>
          <w:b/>
          <w:sz w:val="32"/>
        </w:rPr>
        <w:t>8. 安全体系设计</w:t>
      </w:r>
      <w:bookmarkEnd w:id="82"/>
      <w:bookmarkEnd w:id="83"/>
    </w:p>
    <w:p w14:paraId="767C8CF0">
      <w:pPr>
        <w:spacing w:before="240" w:after="120" w:line="560" w:lineRule="exact"/>
        <w:jc w:val="left"/>
        <w:outlineLvl w:val="1"/>
      </w:pPr>
      <w:bookmarkStart w:id="84" w:name="_Toc26085"/>
      <w:bookmarkStart w:id="85" w:name="_Toc3014"/>
      <w:r>
        <w:rPr>
          <w:rFonts w:ascii="Times New Roman" w:hAnsi="Times New Roman" w:eastAsia="方正楷体_GBK"/>
          <w:b/>
          <w:sz w:val="28"/>
        </w:rPr>
        <w:t>8.1 安全设计原则</w:t>
      </w:r>
      <w:bookmarkEnd w:id="84"/>
      <w:bookmarkEnd w:id="85"/>
    </w:p>
    <w:p w14:paraId="0F50C93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满足公安信息系统安全等级保护要求。</w:t>
      </w:r>
    </w:p>
    <w:p w14:paraId="2976377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安全保障体系贯穿系统全部层级。</w:t>
      </w:r>
    </w:p>
    <w:p w14:paraId="1936C0C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安全措施不影响系统正常业务运行效率。</w:t>
      </w:r>
    </w:p>
    <w:p w14:paraId="58AA78AC">
      <w:pPr>
        <w:spacing w:before="240" w:after="120" w:line="560" w:lineRule="exact"/>
        <w:jc w:val="left"/>
        <w:outlineLvl w:val="1"/>
      </w:pPr>
      <w:bookmarkStart w:id="86" w:name="_Toc18297"/>
      <w:bookmarkStart w:id="87" w:name="_Toc31422"/>
      <w:r>
        <w:rPr>
          <w:rFonts w:ascii="Times New Roman" w:hAnsi="Times New Roman" w:eastAsia="方正楷体_GBK"/>
          <w:b/>
          <w:sz w:val="28"/>
        </w:rPr>
        <w:t>8.2 网络安全</w:t>
      </w:r>
      <w:bookmarkEnd w:id="86"/>
      <w:bookmarkEnd w:id="87"/>
    </w:p>
    <w:p w14:paraId="5E988E2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系统部署于公安专网环境，与外部网络物理隔离。</w:t>
      </w:r>
    </w:p>
    <w:p w14:paraId="395FFC2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安全边界区部署防火墙，实施访问控制策略。</w:t>
      </w:r>
    </w:p>
    <w:p w14:paraId="00E2516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部署入侵检测系统（IDS），实时监测网络威胁。</w:t>
      </w:r>
    </w:p>
    <w:p w14:paraId="7EB03AAD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部署 VPN 网关，为远程接入提供加密隧道。</w:t>
      </w:r>
    </w:p>
    <w:p w14:paraId="6216EA96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实施网络准入控制，对接入设备进行身份认证。</w:t>
      </w:r>
    </w:p>
    <w:p w14:paraId="31DFA416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业务网络与存储网络独立部署，实现流量隔离。</w:t>
      </w:r>
    </w:p>
    <w:p w14:paraId="2635890E">
      <w:pPr>
        <w:spacing w:before="240" w:after="120" w:line="560" w:lineRule="exact"/>
        <w:jc w:val="left"/>
        <w:outlineLvl w:val="1"/>
      </w:pPr>
      <w:bookmarkStart w:id="88" w:name="_Toc7216"/>
      <w:bookmarkStart w:id="89" w:name="_Toc22573"/>
      <w:r>
        <w:rPr>
          <w:rFonts w:ascii="Times New Roman" w:hAnsi="Times New Roman" w:eastAsia="方正楷体_GBK"/>
          <w:b/>
          <w:sz w:val="28"/>
        </w:rPr>
        <w:t>8.3 数据安全</w:t>
      </w:r>
      <w:bookmarkEnd w:id="88"/>
      <w:bookmarkEnd w:id="89"/>
    </w:p>
    <w:p w14:paraId="6313103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原始证据数据采用 WORM 保护机制，防止数据篡改。</w:t>
      </w:r>
    </w:p>
    <w:p w14:paraId="11F48FE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数据传输全程加密保护。</w:t>
      </w:r>
    </w:p>
    <w:p w14:paraId="6BA3C869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数据完整性通过哈希校验机制保障。</w:t>
      </w:r>
    </w:p>
    <w:p w14:paraId="22802D5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关键数据实施冗余保护，防止因硬件故障导致数据丢失。</w:t>
      </w:r>
    </w:p>
    <w:p w14:paraId="21FA63DD">
      <w:pPr>
        <w:spacing w:before="240" w:after="120" w:line="560" w:lineRule="exact"/>
        <w:jc w:val="left"/>
        <w:outlineLvl w:val="1"/>
      </w:pPr>
      <w:bookmarkStart w:id="90" w:name="_Toc24483"/>
      <w:bookmarkStart w:id="91" w:name="_Toc23757"/>
      <w:r>
        <w:rPr>
          <w:rFonts w:ascii="Times New Roman" w:hAnsi="Times New Roman" w:eastAsia="方正楷体_GBK"/>
          <w:b/>
          <w:sz w:val="28"/>
        </w:rPr>
        <w:t>8.4 访问控制</w:t>
      </w:r>
      <w:bookmarkEnd w:id="90"/>
      <w:bookmarkEnd w:id="91"/>
    </w:p>
    <w:p w14:paraId="1FA5AAA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实行基于角色的访问控制（RBAC），按岗位职责分配系统操作权限。</w:t>
      </w:r>
    </w:p>
    <w:p w14:paraId="518FE6F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系统访问实行身份认证，支持与公安统一身份认证体系对接。</w:t>
      </w:r>
    </w:p>
    <w:p w14:paraId="6943C4D8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敏感操作实行二次确认机制。</w:t>
      </w:r>
    </w:p>
    <w:p w14:paraId="031ED728">
      <w:pPr>
        <w:spacing w:before="240" w:after="120" w:line="560" w:lineRule="exact"/>
        <w:jc w:val="left"/>
        <w:outlineLvl w:val="1"/>
      </w:pPr>
      <w:bookmarkStart w:id="92" w:name="_Toc1716"/>
      <w:bookmarkStart w:id="93" w:name="_Toc25684"/>
      <w:r>
        <w:rPr>
          <w:rFonts w:ascii="Times New Roman" w:hAnsi="Times New Roman" w:eastAsia="方正楷体_GBK"/>
          <w:b/>
          <w:sz w:val="28"/>
        </w:rPr>
        <w:t>8.5 审计与追溯机制</w:t>
      </w:r>
      <w:bookmarkEnd w:id="92"/>
      <w:bookmarkEnd w:id="93"/>
    </w:p>
    <w:p w14:paraId="1A1C1AA1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全部系统操作行为纳入审计日志管理。</w:t>
      </w:r>
    </w:p>
    <w:p w14:paraId="293E2BD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审计日志独立存储，具备防篡改保护。</w:t>
      </w:r>
    </w:p>
    <w:p w14:paraId="63D81FB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支持按时间、用户、操作类型等维度的审计日志查询。</w:t>
      </w:r>
    </w:p>
    <w:p w14:paraId="3293928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关键操作（数据调阅、数据导出、权限变更等）实施重点审计。</w:t>
      </w:r>
    </w:p>
    <w:p w14:paraId="1F8ED08E">
      <w:pPr>
        <w:spacing w:before="360" w:after="240" w:line="640" w:lineRule="exact"/>
        <w:jc w:val="left"/>
        <w:outlineLvl w:val="0"/>
      </w:pPr>
      <w:bookmarkStart w:id="94" w:name="_Toc23224"/>
      <w:bookmarkStart w:id="95" w:name="_Toc2297"/>
      <w:r>
        <w:rPr>
          <w:rFonts w:ascii="Times New Roman" w:hAnsi="Times New Roman" w:eastAsia="方正黑体_GBK"/>
          <w:b/>
          <w:sz w:val="32"/>
        </w:rPr>
        <w:t>9. 国产化与技术路线</w:t>
      </w:r>
      <w:bookmarkEnd w:id="94"/>
      <w:bookmarkEnd w:id="95"/>
    </w:p>
    <w:p w14:paraId="107B9B62">
      <w:pPr>
        <w:spacing w:before="240" w:after="120" w:line="560" w:lineRule="exact"/>
        <w:jc w:val="left"/>
        <w:outlineLvl w:val="1"/>
      </w:pPr>
      <w:bookmarkStart w:id="96" w:name="_Toc27320"/>
      <w:bookmarkStart w:id="97" w:name="_Toc14098"/>
      <w:r>
        <w:rPr>
          <w:rFonts w:ascii="Times New Roman" w:hAnsi="Times New Roman" w:eastAsia="方正楷体_GBK"/>
          <w:b/>
          <w:sz w:val="28"/>
        </w:rPr>
        <w:t>9.1 建设策略</w:t>
      </w:r>
      <w:bookmarkEnd w:id="96"/>
      <w:bookmarkEnd w:id="97"/>
    </w:p>
    <w:p w14:paraId="0E765573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本项目在核心基础设施层面落实国产化要求，服务器、操作系统、存储设备等关键环节采用国产化产品，确保系统自主可控。</w:t>
      </w:r>
    </w:p>
    <w:p w14:paraId="315223F8">
      <w:pPr>
        <w:spacing w:before="240" w:after="120" w:line="560" w:lineRule="exact"/>
        <w:jc w:val="left"/>
        <w:outlineLvl w:val="1"/>
      </w:pPr>
      <w:bookmarkStart w:id="98" w:name="_Toc8062"/>
      <w:bookmarkStart w:id="99" w:name="_Toc12186"/>
      <w:r>
        <w:rPr>
          <w:rFonts w:ascii="Times New Roman" w:hAnsi="Times New Roman" w:eastAsia="方正楷体_GBK"/>
          <w:b/>
          <w:sz w:val="28"/>
        </w:rPr>
        <w:t>9.2 技术选型原则</w:t>
      </w:r>
      <w:bookmarkEnd w:id="98"/>
      <w:bookmarkEnd w:id="99"/>
    </w:p>
    <w:p w14:paraId="2850DA4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服务器采用国产 CPU 架构（鲲鹏/飞腾/海光），确保计算能力满足业务需求。</w:t>
      </w:r>
    </w:p>
    <w:p w14:paraId="3594476C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操作系统采用国产操作系统（麒麟/统信），具备成熟的运维生态支撑。</w:t>
      </w:r>
    </w:p>
    <w:p w14:paraId="0D81463C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存储设备采用国产化存储方案，满足大容量、高可靠性要求。</w:t>
      </w:r>
    </w:p>
    <w:p w14:paraId="677BBB86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优先选用经过公安行业验证的国产化产品。</w:t>
      </w:r>
    </w:p>
    <w:p w14:paraId="2FAA3D8D">
      <w:pPr>
        <w:spacing w:before="240" w:after="120" w:line="560" w:lineRule="exact"/>
        <w:jc w:val="left"/>
        <w:outlineLvl w:val="1"/>
      </w:pPr>
      <w:bookmarkStart w:id="100" w:name="_Toc30726"/>
      <w:bookmarkStart w:id="101" w:name="_Toc30900"/>
      <w:r>
        <w:rPr>
          <w:rFonts w:ascii="Times New Roman" w:hAnsi="Times New Roman" w:eastAsia="方正楷体_GBK"/>
          <w:b/>
          <w:sz w:val="28"/>
        </w:rPr>
        <w:t>9.3 兼容性策略</w:t>
      </w:r>
      <w:bookmarkEnd w:id="100"/>
      <w:bookmarkEnd w:id="101"/>
    </w:p>
    <w:p w14:paraId="796AB5B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系统接口采用标准化协议设计，确保与既有平台的对接兼容。</w:t>
      </w:r>
    </w:p>
    <w:p w14:paraId="1276F75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国产化基础设施上层应用采用跨平台技术栈开发，降低平台绑定风险。</w:t>
      </w:r>
    </w:p>
    <w:p w14:paraId="39EE69B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数据格式采用通用标准，保障数据互通能力。</w:t>
      </w:r>
    </w:p>
    <w:p w14:paraId="4EAE5D74">
      <w:pPr>
        <w:spacing w:before="240" w:after="120" w:line="560" w:lineRule="exact"/>
        <w:jc w:val="left"/>
        <w:outlineLvl w:val="1"/>
      </w:pPr>
      <w:bookmarkStart w:id="102" w:name="_Toc23122"/>
      <w:bookmarkStart w:id="103" w:name="_Toc5061"/>
      <w:r>
        <w:rPr>
          <w:rFonts w:ascii="Times New Roman" w:hAnsi="Times New Roman" w:eastAsia="方正楷体_GBK"/>
          <w:b/>
          <w:sz w:val="28"/>
        </w:rPr>
        <w:t>9.4 演进策略</w:t>
      </w:r>
      <w:bookmarkEnd w:id="102"/>
      <w:bookmarkEnd w:id="103"/>
    </w:p>
    <w:p w14:paraId="6BF8661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国产化能力随技术生态成熟度逐步深化，优先保障核心环节国产化落地。</w:t>
      </w:r>
    </w:p>
    <w:p w14:paraId="05E3D43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系统架构预留技术演进空间，支持后续国产化组件的替代升级。</w:t>
      </w:r>
    </w:p>
    <w:p w14:paraId="00C284A7">
      <w:pPr>
        <w:spacing w:before="360" w:after="240" w:line="640" w:lineRule="exact"/>
        <w:jc w:val="left"/>
        <w:outlineLvl w:val="0"/>
      </w:pPr>
      <w:bookmarkStart w:id="104" w:name="_Toc15986"/>
      <w:bookmarkStart w:id="105" w:name="_Toc29736"/>
      <w:r>
        <w:rPr>
          <w:rFonts w:ascii="Times New Roman" w:hAnsi="Times New Roman" w:eastAsia="方正黑体_GBK"/>
          <w:b/>
          <w:sz w:val="32"/>
        </w:rPr>
        <w:t>10. 存储/性能/容量设计</w:t>
      </w:r>
      <w:bookmarkEnd w:id="104"/>
      <w:bookmarkEnd w:id="105"/>
    </w:p>
    <w:p w14:paraId="66DA8785">
      <w:pPr>
        <w:spacing w:before="240" w:after="120" w:line="560" w:lineRule="exact"/>
        <w:jc w:val="left"/>
        <w:outlineLvl w:val="1"/>
      </w:pPr>
      <w:bookmarkStart w:id="106" w:name="_Toc17654"/>
      <w:bookmarkStart w:id="107" w:name="_Toc16425"/>
      <w:r>
        <w:rPr>
          <w:rFonts w:ascii="Times New Roman" w:hAnsi="Times New Roman" w:eastAsia="方正楷体_GBK"/>
          <w:b/>
          <w:sz w:val="28"/>
        </w:rPr>
        <w:t>10.1 容量规划</w:t>
      </w:r>
      <w:bookmarkEnd w:id="106"/>
      <w:bookmarkEnd w:id="107"/>
    </w:p>
    <w:p w14:paraId="4D05CC4D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基线数据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4422"/>
      </w:tblGrid>
      <w:tr w14:paraId="6DE06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shd w:val="clear" w:color="auto" w:fill="D9E2F3"/>
          </w:tcPr>
          <w:p w14:paraId="30F5EB90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指标</w:t>
            </w:r>
          </w:p>
        </w:tc>
        <w:tc>
          <w:tcPr>
            <w:tcW w:w="4422" w:type="dxa"/>
            <w:shd w:val="clear" w:color="auto" w:fill="D9E2F3"/>
          </w:tcPr>
          <w:p w14:paraId="050C2D61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数值</w:t>
            </w:r>
          </w:p>
        </w:tc>
      </w:tr>
      <w:tr w14:paraId="3FB7B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</w:tcPr>
          <w:p w14:paraId="2D7AC4F1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日新增数据量</w:t>
            </w:r>
          </w:p>
        </w:tc>
        <w:tc>
          <w:tcPr>
            <w:tcW w:w="4422" w:type="dxa"/>
          </w:tcPr>
          <w:p w14:paraId="73CEEC3B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约 0.6TB</w:t>
            </w:r>
          </w:p>
        </w:tc>
      </w:tr>
      <w:tr w14:paraId="27138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</w:tcPr>
          <w:p w14:paraId="3D1D5DC0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年新增数据量</w:t>
            </w:r>
          </w:p>
        </w:tc>
        <w:tc>
          <w:tcPr>
            <w:tcW w:w="4422" w:type="dxa"/>
          </w:tcPr>
          <w:p w14:paraId="107E1C7F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200TB 以上</w:t>
            </w:r>
          </w:p>
        </w:tc>
      </w:tr>
      <w:tr w14:paraId="625B8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</w:tcPr>
          <w:p w14:paraId="7C90C5E9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在线存储周期</w:t>
            </w:r>
          </w:p>
        </w:tc>
        <w:tc>
          <w:tcPr>
            <w:tcW w:w="4422" w:type="dxa"/>
          </w:tcPr>
          <w:p w14:paraId="1BD40F85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不少于 3 年</w:t>
            </w:r>
          </w:p>
        </w:tc>
      </w:tr>
      <w:tr w14:paraId="5900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</w:tcPr>
          <w:p w14:paraId="1E3DEB45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有效存储容量</w:t>
            </w:r>
          </w:p>
        </w:tc>
        <w:tc>
          <w:tcPr>
            <w:tcW w:w="4422" w:type="dxa"/>
          </w:tcPr>
          <w:p w14:paraId="006B3AC0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不低于 700TB</w:t>
            </w:r>
          </w:p>
        </w:tc>
      </w:tr>
    </w:tbl>
    <w:p w14:paraId="51C1F4F1">
      <w:pPr>
        <w:spacing w:before="120" w:after="0" w:line="200" w:lineRule="exact"/>
      </w:pPr>
    </w:p>
    <w:p w14:paraId="591BBF1F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上述存储容量均指有效可用容量，即扣除冗余及数据保护机制开销后的实际可用空间。</w:t>
      </w:r>
    </w:p>
    <w:p w14:paraId="1763A8C4">
      <w:pPr>
        <w:spacing w:before="0" w:after="0" w:line="560" w:lineRule="exact"/>
        <w:ind w:firstLine="420"/>
      </w:pPr>
      <w:r>
        <w:rPr>
          <w:rFonts w:ascii="Times New Roman" w:hAnsi="Times New Roman" w:eastAsia="方正黑体_GBK"/>
          <w:b/>
          <w:sz w:val="28"/>
        </w:rPr>
        <w:t>分层容量分配</w:t>
      </w:r>
    </w:p>
    <w:p w14:paraId="4029EC55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系统按数据访问频率将有效容量分配至热、温、冷三级存储。热存储承载近期高频访问数据，配置较小容量但高性能 SSD 介质；温存储为主力存储层，承载中期数据，采用大容量 HDD 介质；冷存储承载长期低频数据及优化副本，采用高密度归档存储。三级存储间通过自动迁移策略实现容量的动态平衡。</w:t>
      </w:r>
    </w:p>
    <w:p w14:paraId="2482586F">
      <w:pPr>
        <w:spacing w:before="240" w:after="120" w:line="560" w:lineRule="exact"/>
        <w:jc w:val="left"/>
        <w:outlineLvl w:val="1"/>
      </w:pPr>
      <w:bookmarkStart w:id="108" w:name="_Toc23793"/>
      <w:bookmarkStart w:id="109" w:name="_Toc20188"/>
      <w:r>
        <w:rPr>
          <w:rFonts w:ascii="Times New Roman" w:hAnsi="Times New Roman" w:eastAsia="方正楷体_GBK"/>
          <w:b/>
          <w:sz w:val="28"/>
        </w:rPr>
        <w:t>10.2 性能策略</w:t>
      </w:r>
      <w:bookmarkEnd w:id="108"/>
      <w:bookmarkEnd w:id="109"/>
    </w:p>
    <w:p w14:paraId="3833AE25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系统定位为存储访问与调阅型系统，性能设计以执法调阅与监督使用场景为基准。</w:t>
      </w:r>
    </w:p>
    <w:p w14:paraId="44A44A6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支持不少于 20 名用户并发操作。</w:t>
      </w:r>
    </w:p>
    <w:p w14:paraId="7D7DE1B8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支持不少于 20 路音视频并发播放。</w:t>
      </w:r>
    </w:p>
    <w:p w14:paraId="54AECB7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热存储层采用 SSD 介质，保障近期数据的快速读写响应。</w:t>
      </w:r>
    </w:p>
    <w:p w14:paraId="43D2DE5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业务网络与存储网络独立部署，避免流量争抢影响存储性能。</w:t>
      </w:r>
    </w:p>
    <w:p w14:paraId="4865B3E9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数据接入采用削峰与分时上传机制，平滑写入负载。</w:t>
      </w:r>
    </w:p>
    <w:p w14:paraId="22B4E0FF">
      <w:pPr>
        <w:spacing w:before="240" w:after="120" w:line="560" w:lineRule="exact"/>
        <w:jc w:val="left"/>
        <w:outlineLvl w:val="1"/>
      </w:pPr>
      <w:bookmarkStart w:id="110" w:name="_Toc1501"/>
      <w:bookmarkStart w:id="111" w:name="_Toc23568"/>
      <w:r>
        <w:rPr>
          <w:rFonts w:ascii="Times New Roman" w:hAnsi="Times New Roman" w:eastAsia="方正楷体_GBK"/>
          <w:b/>
          <w:sz w:val="28"/>
        </w:rPr>
        <w:t>10.3 扩展策略</w:t>
      </w:r>
      <w:bookmarkEnd w:id="110"/>
      <w:bookmarkEnd w:id="111"/>
    </w:p>
    <w:p w14:paraId="69285DE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存储系统采用分布式架构，支持在线扩容，按需增加存储节点扩展容量。</w:t>
      </w:r>
    </w:p>
    <w:p w14:paraId="0C6DAAC9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服务器资源支持水平扩展，可根据业务增长增加处理节点。</w:t>
      </w:r>
    </w:p>
    <w:p w14:paraId="05FED496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网络架构预留扩展端口与带宽升级空间。</w:t>
      </w:r>
    </w:p>
    <w:p w14:paraId="398B77E6">
      <w:pPr>
        <w:spacing w:before="240" w:after="120" w:line="560" w:lineRule="exact"/>
        <w:jc w:val="left"/>
        <w:outlineLvl w:val="1"/>
      </w:pPr>
      <w:bookmarkStart w:id="112" w:name="_Toc7729"/>
      <w:bookmarkStart w:id="113" w:name="_Toc5175"/>
      <w:r>
        <w:rPr>
          <w:rFonts w:ascii="Times New Roman" w:hAnsi="Times New Roman" w:eastAsia="方正楷体_GBK"/>
          <w:b/>
          <w:sz w:val="28"/>
        </w:rPr>
        <w:t>10.4 冗余与可靠性</w:t>
      </w:r>
      <w:bookmarkEnd w:id="112"/>
      <w:bookmarkEnd w:id="113"/>
    </w:p>
    <w:p w14:paraId="5515545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核心交换设备采用双机堆叠冗余部署。</w:t>
      </w:r>
    </w:p>
    <w:p w14:paraId="5AD2C07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存储系统采用 RAID 或纠删码等数据保护机制，防止磁盘故障导致数据丢失。</w:t>
      </w:r>
    </w:p>
    <w:p w14:paraId="0485EE2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关键服务器组件支持热备或热插拔维护。</w:t>
      </w:r>
    </w:p>
    <w:p w14:paraId="369BE6D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供电系统采用冗余电源设计。</w:t>
      </w:r>
    </w:p>
    <w:p w14:paraId="60A28959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有效存储容量的计算已扣除冗余与数据保护机制所需开销。</w:t>
      </w:r>
    </w:p>
    <w:p w14:paraId="7991BC57">
      <w:pPr>
        <w:spacing w:before="360" w:after="240" w:line="640" w:lineRule="exact"/>
        <w:jc w:val="left"/>
        <w:outlineLvl w:val="0"/>
      </w:pPr>
      <w:bookmarkStart w:id="114" w:name="_Toc10975"/>
      <w:bookmarkStart w:id="115" w:name="_Toc26986"/>
      <w:r>
        <w:rPr>
          <w:rFonts w:ascii="Times New Roman" w:hAnsi="Times New Roman" w:eastAsia="方正黑体_GBK"/>
          <w:b/>
          <w:sz w:val="32"/>
        </w:rPr>
        <w:t>11. 建设实施方案</w:t>
      </w:r>
      <w:bookmarkEnd w:id="114"/>
      <w:bookmarkEnd w:id="115"/>
    </w:p>
    <w:p w14:paraId="7434A712">
      <w:pPr>
        <w:spacing w:before="240" w:after="120" w:line="560" w:lineRule="exact"/>
        <w:jc w:val="left"/>
        <w:outlineLvl w:val="1"/>
      </w:pPr>
      <w:bookmarkStart w:id="116" w:name="_Toc5893"/>
      <w:bookmarkStart w:id="117" w:name="_Toc23049"/>
      <w:r>
        <w:rPr>
          <w:rFonts w:ascii="Times New Roman" w:hAnsi="Times New Roman" w:eastAsia="方正楷体_GBK"/>
          <w:b/>
          <w:sz w:val="28"/>
        </w:rPr>
        <w:t>11.1 实施阶段划分</w:t>
      </w:r>
      <w:bookmarkEnd w:id="116"/>
      <w:bookmarkEnd w:id="117"/>
    </w:p>
    <w:p w14:paraId="696269C9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项目实施分为以下阶段：</w:t>
      </w:r>
    </w:p>
    <w:p w14:paraId="671EA62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1. </w:t>
      </w:r>
      <w:r>
        <w:rPr>
          <w:rFonts w:ascii="Times New Roman" w:hAnsi="Times New Roman" w:eastAsia="方正黑体_GBK"/>
          <w:b/>
          <w:sz w:val="28"/>
        </w:rPr>
        <w:t>项目准备阶段</w:t>
      </w:r>
      <w:r>
        <w:rPr>
          <w:rFonts w:ascii="Times New Roman" w:hAnsi="Times New Roman" w:eastAsia="方正仿宋_GBK"/>
          <w:b w:val="0"/>
          <w:sz w:val="28"/>
        </w:rPr>
        <w:t>：完成需求确认、技术方案评审、设备选型与采购。</w:t>
      </w:r>
    </w:p>
    <w:p w14:paraId="20690A6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2. </w:t>
      </w:r>
      <w:r>
        <w:rPr>
          <w:rFonts w:ascii="Times New Roman" w:hAnsi="Times New Roman" w:eastAsia="方正黑体_GBK"/>
          <w:b/>
          <w:sz w:val="28"/>
        </w:rPr>
        <w:t>基础设施建设阶段</w:t>
      </w:r>
      <w:r>
        <w:rPr>
          <w:rFonts w:ascii="Times New Roman" w:hAnsi="Times New Roman" w:eastAsia="方正仿宋_GBK"/>
          <w:b w:val="0"/>
          <w:sz w:val="28"/>
        </w:rPr>
        <w:t>：完成机房环境改造、网络布线、设备上架与基础安装调试。</w:t>
      </w:r>
    </w:p>
    <w:p w14:paraId="78782D0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3. </w:t>
      </w:r>
      <w:r>
        <w:rPr>
          <w:rFonts w:ascii="Times New Roman" w:hAnsi="Times New Roman" w:eastAsia="方正黑体_GBK"/>
          <w:b/>
          <w:sz w:val="28"/>
        </w:rPr>
        <w:t>系统部署阶段</w:t>
      </w:r>
      <w:r>
        <w:rPr>
          <w:rFonts w:ascii="Times New Roman" w:hAnsi="Times New Roman" w:eastAsia="方正仿宋_GBK"/>
          <w:b w:val="0"/>
          <w:sz w:val="28"/>
        </w:rPr>
        <w:t>：完成服务器部署、存储系统部署、平台软件安装配置与联调。</w:t>
      </w:r>
    </w:p>
    <w:p w14:paraId="65553395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4. </w:t>
      </w:r>
      <w:r>
        <w:rPr>
          <w:rFonts w:ascii="Times New Roman" w:hAnsi="Times New Roman" w:eastAsia="方正黑体_GBK"/>
          <w:b/>
          <w:sz w:val="28"/>
        </w:rPr>
        <w:t>系统集成与测试阶段</w:t>
      </w:r>
      <w:r>
        <w:rPr>
          <w:rFonts w:ascii="Times New Roman" w:hAnsi="Times New Roman" w:eastAsia="方正仿宋_GBK"/>
          <w:b w:val="0"/>
          <w:sz w:val="28"/>
        </w:rPr>
        <w:t>：完成与既有系统的接口对接、功能测试、性能测试、安全测试。</w:t>
      </w:r>
    </w:p>
    <w:p w14:paraId="12B3E0E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 xml:space="preserve">5. </w:t>
      </w:r>
      <w:r>
        <w:rPr>
          <w:rFonts w:ascii="Times New Roman" w:hAnsi="Times New Roman" w:eastAsia="方正黑体_GBK"/>
          <w:b/>
          <w:sz w:val="28"/>
        </w:rPr>
        <w:t>试运行与验收阶段</w:t>
      </w:r>
      <w:r>
        <w:rPr>
          <w:rFonts w:ascii="Times New Roman" w:hAnsi="Times New Roman" w:eastAsia="方正仿宋_GBK"/>
          <w:b w:val="0"/>
          <w:sz w:val="28"/>
        </w:rPr>
        <w:t>：系统试运行，完成用户培训、问题整改、项目验收。</w:t>
      </w:r>
    </w:p>
    <w:p w14:paraId="6D84BB97">
      <w:pPr>
        <w:spacing w:before="240" w:after="120" w:line="560" w:lineRule="exact"/>
        <w:jc w:val="left"/>
        <w:outlineLvl w:val="1"/>
      </w:pPr>
      <w:bookmarkStart w:id="118" w:name="_Toc8822"/>
      <w:bookmarkStart w:id="119" w:name="_Toc15353"/>
      <w:r>
        <w:rPr>
          <w:rFonts w:ascii="Times New Roman" w:hAnsi="Times New Roman" w:eastAsia="方正楷体_GBK"/>
          <w:b/>
          <w:sz w:val="28"/>
        </w:rPr>
        <w:t>11.2 实施路径</w:t>
      </w:r>
      <w:bookmarkEnd w:id="118"/>
      <w:bookmarkEnd w:id="119"/>
    </w:p>
    <w:p w14:paraId="5CFD4F4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优先完成基础设施层与存储系统部署，建立数据承载能力。</w:t>
      </w:r>
    </w:p>
    <w:p w14:paraId="76FF5F0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再完成平台服务层部署与功能联调。</w:t>
      </w:r>
    </w:p>
    <w:p w14:paraId="4540E69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最后完成与既有系统的接口对接与数据通路打通。</w:t>
      </w:r>
    </w:p>
    <w:p w14:paraId="27718661">
      <w:pPr>
        <w:spacing w:before="240" w:after="120" w:line="560" w:lineRule="exact"/>
        <w:jc w:val="left"/>
        <w:outlineLvl w:val="1"/>
      </w:pPr>
      <w:bookmarkStart w:id="120" w:name="_Toc15655"/>
      <w:bookmarkStart w:id="121" w:name="_Toc11633"/>
      <w:r>
        <w:rPr>
          <w:rFonts w:ascii="Times New Roman" w:hAnsi="Times New Roman" w:eastAsia="方正楷体_GBK"/>
          <w:b/>
          <w:sz w:val="28"/>
        </w:rPr>
        <w:t>11.3 部署策略</w:t>
      </w:r>
      <w:bookmarkEnd w:id="120"/>
      <w:bookmarkEnd w:id="121"/>
    </w:p>
    <w:p w14:paraId="1007F0B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新建系统独立部署，不影响既有执法音视频系统正常运行。</w:t>
      </w:r>
    </w:p>
    <w:p w14:paraId="1A9FD97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部署过程中涉及网络变更时，采用分时段操作，避免影响在用业务。</w:t>
      </w:r>
    </w:p>
    <w:p w14:paraId="1A700E1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存储系统采用分步扩容策略，初期按规划容量部署，后期按需扩展。</w:t>
      </w:r>
    </w:p>
    <w:p w14:paraId="0D548DC4">
      <w:pPr>
        <w:spacing w:before="240" w:after="120" w:line="560" w:lineRule="exact"/>
        <w:jc w:val="left"/>
        <w:outlineLvl w:val="1"/>
      </w:pPr>
      <w:bookmarkStart w:id="122" w:name="_Toc28660"/>
      <w:bookmarkStart w:id="123" w:name="_Toc15133"/>
      <w:r>
        <w:rPr>
          <w:rFonts w:ascii="Times New Roman" w:hAnsi="Times New Roman" w:eastAsia="方正楷体_GBK"/>
          <w:b/>
          <w:sz w:val="28"/>
        </w:rPr>
        <w:t>11.4 风险控制措施</w:t>
      </w:r>
      <w:bookmarkEnd w:id="122"/>
      <w:bookmarkEnd w:id="123"/>
    </w:p>
    <w:p w14:paraId="357AC2F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制定详细的实施计划与应急预案，关键节点设置检查点。</w:t>
      </w:r>
    </w:p>
    <w:p w14:paraId="61AA02C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设备到货后进行预验收与兼容性测试，确认设备满足技术要求。</w:t>
      </w:r>
    </w:p>
    <w:p w14:paraId="11082A7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系统上线前进行充分的功能测试与压力测试。</w:t>
      </w:r>
    </w:p>
    <w:p w14:paraId="58DCEA4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试运行期间保留原系统正常运行，确保业务连续性。</w:t>
      </w:r>
    </w:p>
    <w:p w14:paraId="694D3B72">
      <w:pPr>
        <w:spacing w:before="240" w:after="120" w:line="560" w:lineRule="exact"/>
        <w:jc w:val="left"/>
        <w:outlineLvl w:val="1"/>
      </w:pPr>
      <w:bookmarkStart w:id="124" w:name="_Toc24865"/>
      <w:bookmarkStart w:id="125" w:name="_Toc13324"/>
      <w:r>
        <w:rPr>
          <w:rFonts w:ascii="Times New Roman" w:hAnsi="Times New Roman" w:eastAsia="方正楷体_GBK"/>
          <w:b/>
          <w:sz w:val="28"/>
        </w:rPr>
        <w:t>11.5 对既有系统影响控制</w:t>
      </w:r>
      <w:bookmarkEnd w:id="124"/>
      <w:bookmarkEnd w:id="125"/>
    </w:p>
    <w:p w14:paraId="419D9B7C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新建系统与既有系统独立部署，不改变既有系统架构或功能。</w:t>
      </w:r>
    </w:p>
    <w:p w14:paraId="220349AC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接口对接采用标准化方式，不对既有系统进行侵入式改造。</w:t>
      </w:r>
    </w:p>
    <w:p w14:paraId="75B97F48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既有系统继续承担约 300TB 历史数据的查询与调阅职能，不发生变化。</w:t>
      </w:r>
    </w:p>
    <w:p w14:paraId="41A64DBC">
      <w:pPr>
        <w:spacing w:before="360" w:after="240" w:line="640" w:lineRule="exact"/>
        <w:jc w:val="left"/>
        <w:outlineLvl w:val="0"/>
      </w:pPr>
      <w:bookmarkStart w:id="126" w:name="_Toc31310"/>
      <w:bookmarkStart w:id="127" w:name="_Toc19160"/>
      <w:r>
        <w:rPr>
          <w:rFonts w:ascii="Times New Roman" w:hAnsi="Times New Roman" w:eastAsia="方正黑体_GBK"/>
          <w:b/>
          <w:sz w:val="32"/>
        </w:rPr>
        <w:t>12. 运行与运维体系</w:t>
      </w:r>
      <w:bookmarkEnd w:id="126"/>
      <w:bookmarkEnd w:id="127"/>
    </w:p>
    <w:p w14:paraId="3183B6E0">
      <w:pPr>
        <w:spacing w:before="240" w:after="120" w:line="560" w:lineRule="exact"/>
        <w:jc w:val="left"/>
        <w:outlineLvl w:val="1"/>
      </w:pPr>
      <w:bookmarkStart w:id="128" w:name="_Toc3160"/>
      <w:bookmarkStart w:id="129" w:name="_Toc2912"/>
      <w:r>
        <w:rPr>
          <w:rFonts w:ascii="Times New Roman" w:hAnsi="Times New Roman" w:eastAsia="方正楷体_GBK"/>
          <w:b/>
          <w:sz w:val="28"/>
        </w:rPr>
        <w:t>12.1 运维模式</w:t>
      </w:r>
      <w:bookmarkEnd w:id="128"/>
      <w:bookmarkEnd w:id="129"/>
    </w:p>
    <w:p w14:paraId="2ED19E4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采用日常运维与专项运维相结合的模式。</w:t>
      </w:r>
    </w:p>
    <w:p w14:paraId="058EB74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日常运维包括系统巡检、容量监测、告警处理、日志审查等常规工作。</w:t>
      </w:r>
    </w:p>
    <w:p w14:paraId="7AC39FD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专项运维包括存储扩容、系统升级、安全加固等计划性工作。</w:t>
      </w:r>
    </w:p>
    <w:p w14:paraId="76D8EE6A">
      <w:pPr>
        <w:spacing w:before="240" w:after="120" w:line="560" w:lineRule="exact"/>
        <w:jc w:val="left"/>
        <w:outlineLvl w:val="1"/>
      </w:pPr>
      <w:bookmarkStart w:id="130" w:name="_Toc4729"/>
      <w:bookmarkStart w:id="131" w:name="_Toc24051"/>
      <w:r>
        <w:rPr>
          <w:rFonts w:ascii="Times New Roman" w:hAnsi="Times New Roman" w:eastAsia="方正楷体_GBK"/>
          <w:b/>
          <w:sz w:val="28"/>
        </w:rPr>
        <w:t>12.2 保障机制</w:t>
      </w:r>
      <w:bookmarkEnd w:id="130"/>
      <w:bookmarkEnd w:id="131"/>
    </w:p>
    <w:p w14:paraId="6C8CAB6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建立运维管理制度，明确运维职责与操作规范。</w:t>
      </w:r>
    </w:p>
    <w:p w14:paraId="59C4737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关键设备配置备品备件，缩短故障修复时间。</w:t>
      </w:r>
    </w:p>
    <w:p w14:paraId="654A149D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建立运维知识库，积累典型问题处理经验。</w:t>
      </w:r>
    </w:p>
    <w:p w14:paraId="0161DD19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存储设备供应商提供原厂技术支持服务。</w:t>
      </w:r>
    </w:p>
    <w:p w14:paraId="2243333F">
      <w:pPr>
        <w:spacing w:before="240" w:after="120" w:line="560" w:lineRule="exact"/>
        <w:jc w:val="left"/>
        <w:outlineLvl w:val="1"/>
      </w:pPr>
      <w:bookmarkStart w:id="132" w:name="_Toc3211"/>
      <w:bookmarkStart w:id="133" w:name="_Toc228"/>
      <w:r>
        <w:rPr>
          <w:rFonts w:ascii="Times New Roman" w:hAnsi="Times New Roman" w:eastAsia="方正楷体_GBK"/>
          <w:b/>
          <w:sz w:val="28"/>
        </w:rPr>
        <w:t>12.3 故障处理策略</w:t>
      </w:r>
      <w:bookmarkEnd w:id="132"/>
      <w:bookmarkEnd w:id="133"/>
    </w:p>
    <w:p w14:paraId="313F187B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关键组件冗余部署，单点故障不影响系统整体运行。</w:t>
      </w:r>
    </w:p>
    <w:p w14:paraId="5041C29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建立分级故障处理流程：一般故障由运维人员处理，重大故障启动应急预案。</w:t>
      </w:r>
    </w:p>
    <w:p w14:paraId="61EA933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数据保护机制保障磁盘故障时数据不丢失，支持在线重建。</w:t>
      </w:r>
    </w:p>
    <w:p w14:paraId="42BA7E3E">
      <w:pPr>
        <w:spacing w:before="240" w:after="120" w:line="560" w:lineRule="exact"/>
        <w:jc w:val="left"/>
        <w:outlineLvl w:val="1"/>
      </w:pPr>
      <w:bookmarkStart w:id="134" w:name="_Toc30054"/>
      <w:bookmarkStart w:id="135" w:name="_Toc638"/>
      <w:r>
        <w:rPr>
          <w:rFonts w:ascii="Times New Roman" w:hAnsi="Times New Roman" w:eastAsia="方正楷体_GBK"/>
          <w:b/>
          <w:sz w:val="28"/>
        </w:rPr>
        <w:t>12.4 监测与巡检机制</w:t>
      </w:r>
      <w:bookmarkEnd w:id="134"/>
      <w:bookmarkEnd w:id="135"/>
    </w:p>
    <w:p w14:paraId="7EE3F84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运维监控系统实时监测服务器、存储设备、网络设备的运行状态。</w:t>
      </w:r>
    </w:p>
    <w:p w14:paraId="3FE88213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存储容量实施阈值告警，容量使用率达到预设阈值时主动通知运维人员。</w:t>
      </w:r>
    </w:p>
    <w:p w14:paraId="1E74AAF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系统定期执行数据完整性校验巡检，发现异常及时告警。</w:t>
      </w:r>
    </w:p>
    <w:p w14:paraId="148A3A4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设备健康度评估定期生成报告，为容量规划与设备更新提供决策依据。</w:t>
      </w:r>
    </w:p>
    <w:p w14:paraId="3538101C">
      <w:pPr>
        <w:spacing w:before="360" w:after="240" w:line="640" w:lineRule="exact"/>
        <w:jc w:val="left"/>
        <w:outlineLvl w:val="0"/>
      </w:pPr>
      <w:bookmarkStart w:id="136" w:name="_Toc78"/>
      <w:bookmarkStart w:id="137" w:name="_Toc20252"/>
      <w:r>
        <w:rPr>
          <w:rFonts w:ascii="Times New Roman" w:hAnsi="Times New Roman" w:eastAsia="方正黑体_GBK"/>
          <w:b/>
          <w:sz w:val="32"/>
        </w:rPr>
        <w:t>13. 风险与边界控制</w:t>
      </w:r>
      <w:bookmarkEnd w:id="136"/>
      <w:bookmarkEnd w:id="137"/>
    </w:p>
    <w:p w14:paraId="7DB853D4">
      <w:pPr>
        <w:spacing w:before="240" w:after="120" w:line="560" w:lineRule="exact"/>
        <w:jc w:val="left"/>
        <w:outlineLvl w:val="1"/>
      </w:pPr>
      <w:bookmarkStart w:id="138" w:name="_Toc28446"/>
      <w:bookmarkStart w:id="139" w:name="_Toc753"/>
      <w:r>
        <w:rPr>
          <w:rFonts w:ascii="Times New Roman" w:hAnsi="Times New Roman" w:eastAsia="方正楷体_GBK"/>
          <w:b/>
          <w:sz w:val="28"/>
        </w:rPr>
        <w:t>13.1 技术风险</w:t>
      </w:r>
      <w:bookmarkEnd w:id="138"/>
      <w:bookmarkEnd w:id="139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01D36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9E2F3"/>
          </w:tcPr>
          <w:p w14:paraId="6ED08E65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风险项</w:t>
            </w:r>
          </w:p>
        </w:tc>
        <w:tc>
          <w:tcPr>
            <w:tcW w:w="2948" w:type="dxa"/>
            <w:shd w:val="clear" w:color="auto" w:fill="D9E2F3"/>
          </w:tcPr>
          <w:p w14:paraId="7CE031AE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风险说明</w:t>
            </w:r>
          </w:p>
        </w:tc>
        <w:tc>
          <w:tcPr>
            <w:tcW w:w="2948" w:type="dxa"/>
            <w:shd w:val="clear" w:color="auto" w:fill="D9E2F3"/>
          </w:tcPr>
          <w:p w14:paraId="1F170985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应对措施</w:t>
            </w:r>
          </w:p>
        </w:tc>
      </w:tr>
      <w:tr w14:paraId="56EA8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699C61BB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国产化兼容性风险</w:t>
            </w:r>
          </w:p>
        </w:tc>
        <w:tc>
          <w:tcPr>
            <w:tcW w:w="2948" w:type="dxa"/>
          </w:tcPr>
          <w:p w14:paraId="28893C49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国产 CPU 与操作系统上应用软件的兼容性</w:t>
            </w:r>
          </w:p>
        </w:tc>
        <w:tc>
          <w:tcPr>
            <w:tcW w:w="2948" w:type="dxa"/>
          </w:tcPr>
          <w:p w14:paraId="36B627F8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选用经过公安行业验证的国产化方案，部署前进行充分兼容性测试</w:t>
            </w:r>
          </w:p>
        </w:tc>
      </w:tr>
      <w:tr w14:paraId="4622E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5914D9EA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存储性能风险</w:t>
            </w:r>
          </w:p>
        </w:tc>
        <w:tc>
          <w:tcPr>
            <w:tcW w:w="2948" w:type="dxa"/>
          </w:tcPr>
          <w:p w14:paraId="2A09D8EB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分层存储迁移对业务性能的影响</w:t>
            </w:r>
          </w:p>
        </w:tc>
        <w:tc>
          <w:tcPr>
            <w:tcW w:w="2948" w:type="dxa"/>
          </w:tcPr>
          <w:p w14:paraId="0D4CA82B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迁移任务安排在业务低峰时段执行，设定迁移带宽上限</w:t>
            </w:r>
          </w:p>
        </w:tc>
      </w:tr>
      <w:tr w14:paraId="4F1E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7410C7AF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数据接入稳定性风险</w:t>
            </w:r>
          </w:p>
        </w:tc>
        <w:tc>
          <w:tcPr>
            <w:tcW w:w="2948" w:type="dxa"/>
          </w:tcPr>
          <w:p w14:paraId="1A70CA93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多源异构设备接入的协议适配问题</w:t>
            </w:r>
          </w:p>
        </w:tc>
        <w:tc>
          <w:tcPr>
            <w:tcW w:w="2948" w:type="dxa"/>
          </w:tcPr>
          <w:p w14:paraId="5C9E0752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数据接入网关采用模块化协议适配设计，逐步对接验证</w:t>
            </w:r>
          </w:p>
        </w:tc>
      </w:tr>
    </w:tbl>
    <w:p w14:paraId="3A0D0991">
      <w:pPr>
        <w:spacing w:before="120" w:after="0" w:line="200" w:lineRule="exact"/>
      </w:pPr>
    </w:p>
    <w:p w14:paraId="04827412">
      <w:pPr>
        <w:spacing w:before="240" w:after="120" w:line="560" w:lineRule="exact"/>
        <w:jc w:val="left"/>
        <w:outlineLvl w:val="1"/>
      </w:pPr>
      <w:bookmarkStart w:id="140" w:name="_Toc5184"/>
      <w:bookmarkStart w:id="141" w:name="_Toc12434"/>
      <w:r>
        <w:rPr>
          <w:rFonts w:ascii="Times New Roman" w:hAnsi="Times New Roman" w:eastAsia="方正楷体_GBK"/>
          <w:b/>
          <w:sz w:val="28"/>
        </w:rPr>
        <w:t>13.2 数据风险</w:t>
      </w:r>
      <w:bookmarkEnd w:id="140"/>
      <w:bookmarkEnd w:id="141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5FBD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9E2F3"/>
          </w:tcPr>
          <w:p w14:paraId="3F6A3D05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风险项</w:t>
            </w:r>
          </w:p>
        </w:tc>
        <w:tc>
          <w:tcPr>
            <w:tcW w:w="2948" w:type="dxa"/>
            <w:shd w:val="clear" w:color="auto" w:fill="D9E2F3"/>
          </w:tcPr>
          <w:p w14:paraId="6B4273C6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风险说明</w:t>
            </w:r>
          </w:p>
        </w:tc>
        <w:tc>
          <w:tcPr>
            <w:tcW w:w="2948" w:type="dxa"/>
            <w:shd w:val="clear" w:color="auto" w:fill="D9E2F3"/>
          </w:tcPr>
          <w:p w14:paraId="51419969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应对措施</w:t>
            </w:r>
          </w:p>
        </w:tc>
      </w:tr>
      <w:tr w14:paraId="56296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457036B6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数据完整性风险</w:t>
            </w:r>
          </w:p>
        </w:tc>
        <w:tc>
          <w:tcPr>
            <w:tcW w:w="2948" w:type="dxa"/>
          </w:tcPr>
          <w:p w14:paraId="26CDC223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传输或存储过程中数据损坏</w:t>
            </w:r>
          </w:p>
        </w:tc>
        <w:tc>
          <w:tcPr>
            <w:tcW w:w="2948" w:type="dxa"/>
          </w:tcPr>
          <w:p w14:paraId="7150DEDB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全流程哈希校验，存储层数据冗余保护</w:t>
            </w:r>
          </w:p>
        </w:tc>
      </w:tr>
      <w:tr w14:paraId="7F7A6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18232F76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证据数据安全风险</w:t>
            </w:r>
          </w:p>
        </w:tc>
        <w:tc>
          <w:tcPr>
            <w:tcW w:w="2948" w:type="dxa"/>
          </w:tcPr>
          <w:p w14:paraId="57E7E1E6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原始证据数据被非授权访问或篡改</w:t>
            </w:r>
          </w:p>
        </w:tc>
        <w:tc>
          <w:tcPr>
            <w:tcW w:w="2948" w:type="dxa"/>
          </w:tcPr>
          <w:p w14:paraId="5F7CFC56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WORM 保护、权限管控、审计追溯</w:t>
            </w:r>
          </w:p>
        </w:tc>
      </w:tr>
      <w:tr w14:paraId="1627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7D9C620E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存储容量风险</w:t>
            </w:r>
          </w:p>
        </w:tc>
        <w:tc>
          <w:tcPr>
            <w:tcW w:w="2948" w:type="dxa"/>
          </w:tcPr>
          <w:p w14:paraId="5A4208CB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数据增长超出预期导致容量不足</w:t>
            </w:r>
          </w:p>
        </w:tc>
        <w:tc>
          <w:tcPr>
            <w:tcW w:w="2948" w:type="dxa"/>
          </w:tcPr>
          <w:p w14:paraId="1C270585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容量监测告警，存储系统支持在线扩容</w:t>
            </w:r>
          </w:p>
        </w:tc>
      </w:tr>
    </w:tbl>
    <w:p w14:paraId="4935937E">
      <w:pPr>
        <w:spacing w:before="120" w:after="0" w:line="200" w:lineRule="exact"/>
      </w:pPr>
    </w:p>
    <w:p w14:paraId="15D92BC7">
      <w:pPr>
        <w:spacing w:before="240" w:after="120" w:line="560" w:lineRule="exact"/>
        <w:jc w:val="left"/>
        <w:outlineLvl w:val="1"/>
      </w:pPr>
      <w:bookmarkStart w:id="142" w:name="_Toc12182"/>
      <w:bookmarkStart w:id="143" w:name="_Toc18878"/>
      <w:r>
        <w:rPr>
          <w:rFonts w:ascii="Times New Roman" w:hAnsi="Times New Roman" w:eastAsia="方正楷体_GBK"/>
          <w:b/>
          <w:sz w:val="28"/>
        </w:rPr>
        <w:t>13.3 实施风险</w:t>
      </w:r>
      <w:bookmarkEnd w:id="142"/>
      <w:bookmarkEnd w:id="143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7ECE5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9E2F3"/>
          </w:tcPr>
          <w:p w14:paraId="4707FAD9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风险项</w:t>
            </w:r>
          </w:p>
        </w:tc>
        <w:tc>
          <w:tcPr>
            <w:tcW w:w="2948" w:type="dxa"/>
            <w:shd w:val="clear" w:color="auto" w:fill="D9E2F3"/>
          </w:tcPr>
          <w:p w14:paraId="2AD6408D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风险说明</w:t>
            </w:r>
          </w:p>
        </w:tc>
        <w:tc>
          <w:tcPr>
            <w:tcW w:w="2948" w:type="dxa"/>
            <w:shd w:val="clear" w:color="auto" w:fill="D9E2F3"/>
          </w:tcPr>
          <w:p w14:paraId="7DBD2309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应对措施</w:t>
            </w:r>
          </w:p>
        </w:tc>
      </w:tr>
      <w:tr w14:paraId="598F2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7B3144F6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既有系统影响风险</w:t>
            </w:r>
          </w:p>
        </w:tc>
        <w:tc>
          <w:tcPr>
            <w:tcW w:w="2948" w:type="dxa"/>
          </w:tcPr>
          <w:p w14:paraId="20FACA06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建设过程影响既有系统运行</w:t>
            </w:r>
          </w:p>
        </w:tc>
        <w:tc>
          <w:tcPr>
            <w:tcW w:w="2948" w:type="dxa"/>
          </w:tcPr>
          <w:p w14:paraId="3283A792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新建系统独立部署，接口对接采用非侵入式方式</w:t>
            </w:r>
          </w:p>
        </w:tc>
      </w:tr>
      <w:tr w14:paraId="6127C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1B7C6EFC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网络冲击风险</w:t>
            </w:r>
          </w:p>
        </w:tc>
        <w:tc>
          <w:tcPr>
            <w:tcW w:w="2948" w:type="dxa"/>
          </w:tcPr>
          <w:p w14:paraId="4D57ED29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数据集中上传占用网络带宽</w:t>
            </w:r>
          </w:p>
        </w:tc>
        <w:tc>
          <w:tcPr>
            <w:tcW w:w="2948" w:type="dxa"/>
          </w:tcPr>
          <w:p w14:paraId="631D72C1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采用削峰与分时上传机制，控制上传带宽占用</w:t>
            </w:r>
          </w:p>
        </w:tc>
      </w:tr>
    </w:tbl>
    <w:p w14:paraId="635446B6">
      <w:pPr>
        <w:spacing w:before="120" w:after="0" w:line="200" w:lineRule="exact"/>
      </w:pPr>
    </w:p>
    <w:p w14:paraId="62949867">
      <w:pPr>
        <w:spacing w:before="240" w:after="120" w:line="560" w:lineRule="exact"/>
        <w:jc w:val="left"/>
        <w:outlineLvl w:val="1"/>
      </w:pPr>
      <w:bookmarkStart w:id="144" w:name="_Toc24335"/>
      <w:bookmarkStart w:id="145" w:name="_Toc24513"/>
      <w:r>
        <w:rPr>
          <w:rFonts w:ascii="Times New Roman" w:hAnsi="Times New Roman" w:eastAsia="方正楷体_GBK"/>
          <w:b/>
          <w:sz w:val="28"/>
        </w:rPr>
        <w:t>13.4 运行风险</w:t>
      </w:r>
      <w:bookmarkEnd w:id="144"/>
      <w:bookmarkEnd w:id="145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2948"/>
        <w:gridCol w:w="2948"/>
      </w:tblGrid>
      <w:tr w14:paraId="44DCC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9E2F3"/>
          </w:tcPr>
          <w:p w14:paraId="1AD544E7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风险项</w:t>
            </w:r>
          </w:p>
        </w:tc>
        <w:tc>
          <w:tcPr>
            <w:tcW w:w="2948" w:type="dxa"/>
            <w:shd w:val="clear" w:color="auto" w:fill="D9E2F3"/>
          </w:tcPr>
          <w:p w14:paraId="1B3BD278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风险说明</w:t>
            </w:r>
          </w:p>
        </w:tc>
        <w:tc>
          <w:tcPr>
            <w:tcW w:w="2948" w:type="dxa"/>
            <w:shd w:val="clear" w:color="auto" w:fill="D9E2F3"/>
          </w:tcPr>
          <w:p w14:paraId="5EE9CD35">
            <w:pPr>
              <w:spacing w:before="0" w:after="0" w:line="480" w:lineRule="exact"/>
              <w:jc w:val="center"/>
            </w:pPr>
            <w:r>
              <w:rPr>
                <w:rFonts w:ascii="Times New Roman" w:hAnsi="Times New Roman" w:eastAsia="方正黑体_GBK"/>
                <w:b/>
                <w:sz w:val="24"/>
              </w:rPr>
              <w:t>应对措施</w:t>
            </w:r>
          </w:p>
        </w:tc>
      </w:tr>
      <w:tr w14:paraId="28E4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78E66292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设备故障风险</w:t>
            </w:r>
          </w:p>
        </w:tc>
        <w:tc>
          <w:tcPr>
            <w:tcW w:w="2948" w:type="dxa"/>
          </w:tcPr>
          <w:p w14:paraId="3673A2DF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服务器或存储设备硬件故障</w:t>
            </w:r>
          </w:p>
        </w:tc>
        <w:tc>
          <w:tcPr>
            <w:tcW w:w="2948" w:type="dxa"/>
          </w:tcPr>
          <w:p w14:paraId="1B8DD6C5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关键组件冗余部署，配置备品备件</w:t>
            </w:r>
          </w:p>
        </w:tc>
      </w:tr>
      <w:tr w14:paraId="5BE0A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</w:tcPr>
          <w:p w14:paraId="37233E01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运维能力风险</w:t>
            </w:r>
          </w:p>
        </w:tc>
        <w:tc>
          <w:tcPr>
            <w:tcW w:w="2948" w:type="dxa"/>
          </w:tcPr>
          <w:p w14:paraId="17825A7E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运维人员对国产化平台不熟悉</w:t>
            </w:r>
          </w:p>
        </w:tc>
        <w:tc>
          <w:tcPr>
            <w:tcW w:w="2948" w:type="dxa"/>
          </w:tcPr>
          <w:p w14:paraId="02C2E634">
            <w:pPr>
              <w:spacing w:before="0" w:after="0" w:line="480" w:lineRule="exact"/>
              <w:jc w:val="lef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提供系统培训，建立运维知识库</w:t>
            </w:r>
          </w:p>
        </w:tc>
      </w:tr>
    </w:tbl>
    <w:p w14:paraId="5CC47030">
      <w:pPr>
        <w:spacing w:before="120" w:after="0" w:line="200" w:lineRule="exact"/>
      </w:pPr>
    </w:p>
    <w:p w14:paraId="2ED0D742">
      <w:pPr>
        <w:spacing w:before="240" w:after="120" w:line="560" w:lineRule="exact"/>
        <w:jc w:val="left"/>
        <w:outlineLvl w:val="1"/>
      </w:pPr>
      <w:bookmarkStart w:id="146" w:name="_Toc10023"/>
      <w:bookmarkStart w:id="147" w:name="_Toc25110"/>
      <w:r>
        <w:rPr>
          <w:rFonts w:ascii="Times New Roman" w:hAnsi="Times New Roman" w:eastAsia="方正楷体_GBK"/>
          <w:b/>
          <w:sz w:val="28"/>
        </w:rPr>
        <w:t>13.5 管理与责任边界</w:t>
      </w:r>
      <w:bookmarkEnd w:id="146"/>
      <w:bookmarkEnd w:id="147"/>
    </w:p>
    <w:p w14:paraId="3E73321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本项目负责执法音视频存储与管理基础设施的建设与交付。</w:t>
      </w:r>
    </w:p>
    <w:p w14:paraId="0B138684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执法终端设备管理由使用单位负责。</w:t>
      </w:r>
    </w:p>
    <w:p w14:paraId="4580B525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既有执法业务系统的运维由原系统承建方负责。</w:t>
      </w:r>
    </w:p>
    <w:p w14:paraId="7CFDA5F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执法流程与制度管理由业务管理部门负责。</w:t>
      </w:r>
    </w:p>
    <w:p w14:paraId="4E1DB0B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上级平台的数据接收与使用由上级平台管理方负责。</w:t>
      </w:r>
    </w:p>
    <w:p w14:paraId="2AF156B6">
      <w:pPr>
        <w:spacing w:before="360" w:after="240" w:line="640" w:lineRule="exact"/>
        <w:jc w:val="left"/>
        <w:outlineLvl w:val="0"/>
      </w:pPr>
      <w:bookmarkStart w:id="148" w:name="_Toc31369"/>
      <w:bookmarkStart w:id="149" w:name="_Toc4905"/>
      <w:r>
        <w:rPr>
          <w:rFonts w:ascii="Times New Roman" w:hAnsi="Times New Roman" w:eastAsia="方正黑体_GBK"/>
          <w:b/>
          <w:sz w:val="32"/>
        </w:rPr>
        <w:t>14. 建设成效与预期价值</w:t>
      </w:r>
      <w:bookmarkEnd w:id="148"/>
      <w:bookmarkEnd w:id="149"/>
    </w:p>
    <w:p w14:paraId="7BEB3F01">
      <w:pPr>
        <w:spacing w:before="240" w:after="120" w:line="560" w:lineRule="exact"/>
        <w:jc w:val="left"/>
        <w:outlineLvl w:val="1"/>
      </w:pPr>
      <w:bookmarkStart w:id="150" w:name="_Toc12244"/>
      <w:bookmarkStart w:id="151" w:name="_Toc2092"/>
      <w:r>
        <w:rPr>
          <w:rFonts w:ascii="Times New Roman" w:hAnsi="Times New Roman" w:eastAsia="方正楷体_GBK"/>
          <w:b/>
          <w:sz w:val="28"/>
        </w:rPr>
        <w:t>14.1 能力提升</w:t>
      </w:r>
      <w:bookmarkEnd w:id="150"/>
      <w:bookmarkEnd w:id="151"/>
    </w:p>
    <w:p w14:paraId="3859B99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形成 700TB 以上有效存储容量的集中存储能力，满足 3 年以上在线存储需求。</w:t>
      </w:r>
    </w:p>
    <w:p w14:paraId="0142F8B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建立多源数据统一接入能力，支持多种执法终端设备的数据集中汇聚。</w:t>
      </w:r>
    </w:p>
    <w:p w14:paraId="5066E23E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实现数据全生命周期自动化管理，降低人工管理成本。</w:t>
      </w:r>
    </w:p>
    <w:p w14:paraId="040CF478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提供高效的检索调阅服务，支撑执法监督与规范执法工作。</w:t>
      </w:r>
    </w:p>
    <w:p w14:paraId="5BA68A32">
      <w:pPr>
        <w:spacing w:before="240" w:after="120" w:line="560" w:lineRule="exact"/>
        <w:jc w:val="left"/>
        <w:outlineLvl w:val="1"/>
      </w:pPr>
      <w:bookmarkStart w:id="152" w:name="_Toc10828"/>
      <w:bookmarkStart w:id="153" w:name="_Toc16160"/>
      <w:r>
        <w:rPr>
          <w:rFonts w:ascii="Times New Roman" w:hAnsi="Times New Roman" w:eastAsia="方正楷体_GBK"/>
          <w:b/>
          <w:sz w:val="28"/>
        </w:rPr>
        <w:t>14.2 管理提升</w:t>
      </w:r>
      <w:bookmarkEnd w:id="152"/>
      <w:bookmarkEnd w:id="153"/>
    </w:p>
    <w:p w14:paraId="66883CDA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执法音视频数据实现集中存储与统一管理，改变分散存储现状。</w:t>
      </w:r>
    </w:p>
    <w:p w14:paraId="179CA570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数据存储状态可视化，容量使用、设备健康等管理数据透明可查。</w:t>
      </w:r>
    </w:p>
    <w:p w14:paraId="4572657C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数据操作全程审计，管理行为可追溯。</w:t>
      </w:r>
    </w:p>
    <w:p w14:paraId="5DF245E2">
      <w:pPr>
        <w:spacing w:before="240" w:after="120" w:line="560" w:lineRule="exact"/>
        <w:jc w:val="left"/>
        <w:outlineLvl w:val="1"/>
      </w:pPr>
      <w:bookmarkStart w:id="154" w:name="_Toc12746"/>
      <w:bookmarkStart w:id="155" w:name="_Toc3133"/>
      <w:r>
        <w:rPr>
          <w:rFonts w:ascii="Times New Roman" w:hAnsi="Times New Roman" w:eastAsia="方正楷体_GBK"/>
          <w:b/>
          <w:sz w:val="28"/>
        </w:rPr>
        <w:t>14.3 安全提升</w:t>
      </w:r>
      <w:bookmarkEnd w:id="154"/>
      <w:bookmarkEnd w:id="155"/>
    </w:p>
    <w:p w14:paraId="1083882D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原始执法证据数据具备完整性保护机制，防篡改能力得到技术保障。</w:t>
      </w:r>
    </w:p>
    <w:p w14:paraId="670551E7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数据访问纳入权限管控与审计体系，安全管理水平提升。</w:t>
      </w:r>
    </w:p>
    <w:p w14:paraId="26A977A2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核心基础设施实现国产化，系统自主可控能力增强。</w:t>
      </w:r>
    </w:p>
    <w:p w14:paraId="2A9CC8C7">
      <w:pPr>
        <w:spacing w:before="240" w:after="120" w:line="560" w:lineRule="exact"/>
        <w:jc w:val="left"/>
        <w:outlineLvl w:val="1"/>
      </w:pPr>
      <w:bookmarkStart w:id="156" w:name="_Toc9423"/>
      <w:bookmarkStart w:id="157" w:name="_Toc29477"/>
      <w:r>
        <w:rPr>
          <w:rFonts w:ascii="Times New Roman" w:hAnsi="Times New Roman" w:eastAsia="方正楷体_GBK"/>
          <w:b/>
          <w:sz w:val="28"/>
        </w:rPr>
        <w:t>14.4 可持续性提升</w:t>
      </w:r>
      <w:bookmarkEnd w:id="156"/>
      <w:bookmarkEnd w:id="157"/>
    </w:p>
    <w:p w14:paraId="7AC01BFC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存储系统支持在线扩容，可持续适应数据增长需求。</w:t>
      </w:r>
    </w:p>
    <w:p w14:paraId="17CC8358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系统架构分层解耦，各层可独立演进升级。</w:t>
      </w:r>
    </w:p>
    <w:p w14:paraId="51D4FE0F">
      <w:pPr>
        <w:spacing w:before="0" w:after="0" w:line="560" w:lineRule="exact"/>
        <w:ind w:left="420" w:firstLine="0"/>
      </w:pPr>
      <w:r>
        <w:rPr>
          <w:rFonts w:ascii="Times New Roman" w:hAnsi="Times New Roman" w:eastAsia="方正仿宋_GBK"/>
          <w:b w:val="0"/>
          <w:sz w:val="28"/>
        </w:rPr>
        <w:t>— 国产化技术路线与国家信息安全战略方向一致，具备长期可持续性。</w:t>
      </w:r>
    </w:p>
    <w:p w14:paraId="42724AF7">
      <w:pPr>
        <w:spacing w:before="360" w:after="240" w:line="640" w:lineRule="exact"/>
        <w:jc w:val="left"/>
        <w:outlineLvl w:val="0"/>
      </w:pPr>
      <w:bookmarkStart w:id="158" w:name="_Toc9395"/>
      <w:bookmarkStart w:id="159" w:name="_Toc10020"/>
      <w:r>
        <w:rPr>
          <w:rFonts w:ascii="Times New Roman" w:hAnsi="Times New Roman" w:eastAsia="方正黑体_GBK"/>
          <w:b/>
          <w:sz w:val="32"/>
        </w:rPr>
        <w:t>15. 结论性说明</w:t>
      </w:r>
      <w:bookmarkEnd w:id="158"/>
      <w:bookmarkEnd w:id="159"/>
    </w:p>
    <w:p w14:paraId="03DD3043">
      <w:pPr>
        <w:spacing w:before="240" w:after="120" w:line="560" w:lineRule="exact"/>
        <w:jc w:val="left"/>
        <w:outlineLvl w:val="1"/>
      </w:pPr>
      <w:bookmarkStart w:id="160" w:name="_Toc31195"/>
      <w:bookmarkStart w:id="161" w:name="_Toc5813"/>
      <w:r>
        <w:rPr>
          <w:rFonts w:ascii="Times New Roman" w:hAnsi="Times New Roman" w:eastAsia="方正楷体_GBK"/>
          <w:b/>
          <w:sz w:val="28"/>
        </w:rPr>
        <w:t>15.1 建设合理性总结</w:t>
      </w:r>
      <w:bookmarkEnd w:id="160"/>
      <w:bookmarkEnd w:id="161"/>
    </w:p>
    <w:p w14:paraId="3BC14BDB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本项目聚焦执法音视频数据存储与管理基础设施建设，建设范围明确、目标清晰。系统定位为数据存储支撑层，不扩展业务系统功能，不替代既有系统，不改变执法流程。项目建设内容与当前执法音视频数据管理需求高度匹配，建设范围合理、边界清晰。</w:t>
      </w:r>
    </w:p>
    <w:p w14:paraId="6BB300B8">
      <w:pPr>
        <w:spacing w:before="240" w:after="120" w:line="560" w:lineRule="exact"/>
        <w:jc w:val="left"/>
        <w:outlineLvl w:val="1"/>
      </w:pPr>
      <w:bookmarkStart w:id="162" w:name="_Toc7384"/>
      <w:bookmarkStart w:id="163" w:name="_Toc5189"/>
      <w:r>
        <w:rPr>
          <w:rFonts w:ascii="Times New Roman" w:hAnsi="Times New Roman" w:eastAsia="方正楷体_GBK"/>
          <w:b/>
          <w:sz w:val="28"/>
        </w:rPr>
        <w:t>15.2 技术可行性总结</w:t>
      </w:r>
      <w:bookmarkEnd w:id="162"/>
      <w:bookmarkEnd w:id="163"/>
    </w:p>
    <w:p w14:paraId="1B268530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系统采用成熟的分层存储技术架构，在服务器、操作系统、存储设备等关键环节采用经过公安行业验证的国产化方案。700TB 有效存储容量的规划基于日新增 0.6TB、年新增 200TB 以上、在线存储不少于 3 年的明确基线，容量规划有据可依。20 用户并发操作与 20 路并发播放的性能目标，与系统存储调阅型定位相匹配，技术方案可行。</w:t>
      </w:r>
    </w:p>
    <w:p w14:paraId="7623D6DF">
      <w:pPr>
        <w:spacing w:before="240" w:after="120" w:line="560" w:lineRule="exact"/>
        <w:jc w:val="left"/>
        <w:outlineLvl w:val="1"/>
      </w:pPr>
      <w:bookmarkStart w:id="164" w:name="_Toc10672"/>
      <w:bookmarkStart w:id="165" w:name="_Toc10749"/>
      <w:r>
        <w:rPr>
          <w:rFonts w:ascii="Times New Roman" w:hAnsi="Times New Roman" w:eastAsia="方正楷体_GBK"/>
          <w:b/>
          <w:sz w:val="28"/>
        </w:rPr>
        <w:t>15.3 风险可控性总结</w:t>
      </w:r>
      <w:bookmarkEnd w:id="164"/>
      <w:bookmarkEnd w:id="165"/>
    </w:p>
    <w:p w14:paraId="0C41C3AE">
      <w:pPr>
        <w:spacing w:before="0" w:after="0" w:line="560" w:lineRule="exact"/>
        <w:ind w:firstLine="420"/>
      </w:pPr>
      <w:r>
        <w:rPr>
          <w:rFonts w:ascii="Times New Roman" w:hAnsi="Times New Roman" w:eastAsia="方正仿宋_GBK"/>
          <w:b w:val="0"/>
          <w:sz w:val="28"/>
        </w:rPr>
        <w:t>项目主要风险集中在国产化兼容性、数据接入适配、网络带宽控制等方面，均已制定明确应对措施。新建系统独立部署，不影响既有系统运行。数据接入采用削峰与分时上传机制，控制网络冲击。原始证据数据具备完整性保护与防篡改机制，数据安全风险可控。项目整体风险在可控范围内。</w:t>
      </w:r>
    </w:p>
    <w:sectPr>
      <w:footerReference r:id="rId5" w:type="default"/>
      <w:pgSz w:w="11906" w:h="16838"/>
      <w:pgMar w:top="2098" w:right="1474" w:bottom="1984" w:left="1587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仿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楷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64F57">
    <w:pPr>
      <w:pStyle w:val="24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9BE6F6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9BE6F6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E35721"/>
    <w:rsid w:val="21621621"/>
    <w:rsid w:val="2524499B"/>
    <w:rsid w:val="3F8A2A5C"/>
    <w:rsid w:val="6EA7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560" w:lineRule="exact"/>
    </w:pPr>
    <w:rPr>
      <w:rFonts w:ascii="Times New Roman" w:hAnsi="Times New Roman" w:eastAsia="方正仿宋_GBK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2981</Words>
  <Characters>3092</Characters>
  <Lines>0</Lines>
  <Paragraphs>0</Paragraphs>
  <TotalTime>1</TotalTime>
  <ScaleCrop>false</ScaleCrop>
  <LinksUpToDate>false</LinksUpToDate>
  <CharactersWithSpaces>3236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Mikl </cp:lastModifiedBy>
  <dcterms:modified xsi:type="dcterms:W3CDTF">2026-02-13T23:13:19Z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eyJoZGlkIjoiMTU2ZmYyZDUyYzM4MmJlNGEyMjZhNGU5ZTMxMjQwNjAiLCJ1c2VySWQiOiIyNDgwMDQ0MDUifQ==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4720D75CDD574F7DBE705338F0EE7306_12</vt:lpwstr>
  </property>
</Properties>
</file>