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636DD9">
      <w:pPr>
        <w:spacing w:before="720" w:line="360" w:lineRule="auto"/>
        <w:jc w:val="center"/>
        <w:rPr>
          <w:rFonts w:hint="default" w:ascii="Times New Roman Regular" w:hAnsi="Times New Roman Regular" w:cs="Times New Roman Regular"/>
        </w:rPr>
      </w:pPr>
      <w:r>
        <w:rPr>
          <w:rFonts w:hint="default" w:ascii="Times New Roman Regular" w:hAnsi="Times New Roman Regular" w:eastAsia="Times New Roman" w:cs="Times New Roman Regular"/>
          <w:b/>
          <w:i w:val="0"/>
          <w:sz w:val="28"/>
        </w:rPr>
        <w:t>Final Term Paper</w:t>
      </w:r>
      <w:r>
        <w:rPr>
          <w:rFonts w:hint="default" w:ascii="Times New Roman Regular" w:hAnsi="Times New Roman Regular" w:eastAsia="Times New Roman" w:cs="Times New Roman Regular"/>
          <w:b/>
          <w:i w:val="0"/>
          <w:sz w:val="28"/>
        </w:rPr>
        <w:br w:type="textWrapping"/>
      </w:r>
      <w:r>
        <w:rPr>
          <w:rFonts w:hint="default" w:ascii="Times New Roman Regular" w:hAnsi="Times New Roman Regular" w:eastAsia="Times New Roman" w:cs="Times New Roman Regular"/>
          <w:b/>
          <w:i w:val="0"/>
          <w:sz w:val="28"/>
        </w:rPr>
        <w:t>Subject: Advanced Distributed Systems</w:t>
      </w:r>
      <w:r>
        <w:rPr>
          <w:rFonts w:hint="default" w:ascii="Times New Roman Regular" w:hAnsi="Times New Roman Regular" w:eastAsia="Times New Roman" w:cs="Times New Roman Regular"/>
          <w:b/>
          <w:i w:val="0"/>
          <w:sz w:val="28"/>
        </w:rPr>
        <w:br w:type="textWrapping"/>
      </w:r>
      <w:r>
        <w:rPr>
          <w:rFonts w:hint="default" w:ascii="Times New Roman Regular" w:hAnsi="Times New Roman Regular" w:eastAsia="Times New Roman" w:cs="Times New Roman Regular"/>
          <w:b/>
          <w:i w:val="0"/>
          <w:sz w:val="28"/>
        </w:rPr>
        <w:br w:type="textWrapping"/>
      </w:r>
      <w:r>
        <w:rPr>
          <w:rFonts w:hint="default" w:ascii="Times New Roman Regular" w:hAnsi="Times New Roman Regular" w:eastAsia="Times New Roman" w:cs="Times New Roman Regular"/>
          <w:b/>
          <w:i w:val="0"/>
          <w:sz w:val="28"/>
        </w:rPr>
        <w:br w:type="textWrapping"/>
      </w:r>
    </w:p>
    <w:p w14:paraId="2DF328AA">
      <w:pPr>
        <w:spacing w:after="960" w:line="360" w:lineRule="auto"/>
        <w:jc w:val="center"/>
        <w:rPr>
          <w:rFonts w:hint="default" w:ascii="Times New Roman Regular" w:hAnsi="Times New Roman Regular" w:cs="Times New Roman Regular"/>
          <w:color w:val="auto"/>
        </w:rPr>
      </w:pPr>
      <w:r>
        <w:rPr>
          <w:rFonts w:hint="default" w:ascii="Times New Roman Regular" w:hAnsi="Times New Roman Regular" w:eastAsia="Times New Roman" w:cs="Times New Roman Regular"/>
          <w:b/>
          <w:i w:val="0"/>
          <w:color w:val="auto"/>
          <w:sz w:val="40"/>
        </w:rPr>
        <w:t>Design of a Secure Management and Sharing System for Medical Data Based on Blockchain and Attribute-Based Access Control</w:t>
      </w:r>
    </w:p>
    <w:p w14:paraId="3E649F26">
      <w:pPr>
        <w:spacing w:before="1440" w:line="360" w:lineRule="auto"/>
        <w:jc w:val="center"/>
        <w:rPr>
          <w:rFonts w:hint="default" w:ascii="Times New Roman Regular" w:hAnsi="Times New Roman Regular" w:eastAsia="Times New Roman" w:cs="Times New Roman Regular"/>
          <w:b w:val="0"/>
          <w:i w:val="0"/>
          <w:sz w:val="24"/>
        </w:rPr>
      </w:pPr>
      <w:r>
        <w:rPr>
          <w:rFonts w:hint="default" w:ascii="Times New Roman Regular" w:hAnsi="Times New Roman Regular" w:eastAsia="Times New Roman" w:cs="Times New Roman Regular"/>
          <w:b w:val="0"/>
          <w:i w:val="0"/>
          <w:sz w:val="24"/>
        </w:rPr>
        <w:t>Student: LYU MINGMING</w:t>
      </w:r>
      <w:bookmarkStart w:id="24" w:name="_GoBack"/>
      <w:bookmarkEnd w:id="24"/>
      <w:r>
        <w:rPr>
          <w:rFonts w:hint="default" w:ascii="Times New Roman Regular" w:hAnsi="Times New Roman Regular" w:eastAsia="Times New Roman" w:cs="Times New Roman Regular"/>
          <w:b w:val="0"/>
          <w:i w:val="0"/>
          <w:color w:val="auto"/>
          <w:sz w:val="24"/>
        </w:rPr>
        <w:br w:type="textWrapping"/>
      </w:r>
      <w:r>
        <w:rPr>
          <w:rFonts w:hint="default" w:ascii="Times New Roman Regular" w:hAnsi="Times New Roman Regular" w:eastAsia="Times New Roman" w:cs="Times New Roman Regular"/>
          <w:b w:val="0"/>
          <w:i w:val="0"/>
          <w:sz w:val="24"/>
        </w:rPr>
        <w:t>Advisor: Professor Baek KeonHyo</w:t>
      </w:r>
      <w:r>
        <w:rPr>
          <w:rFonts w:hint="eastAsia" w:ascii="Times New Roman Regular" w:hAnsi="Times New Roman Regular" w:eastAsia="宋体" w:cs="Times New Roman Regular"/>
          <w:b w:val="0"/>
          <w:i w:val="0"/>
          <w:sz w:val="24"/>
          <w:lang w:val="en-US" w:eastAsia="zh-CN"/>
        </w:rPr>
        <w:t xml:space="preserve"> Jinhwan Kim</w:t>
      </w:r>
      <w:r>
        <w:rPr>
          <w:rFonts w:hint="default" w:ascii="Times New Roman Regular" w:hAnsi="Times New Roman Regular" w:eastAsia="Times New Roman" w:cs="Times New Roman Regular"/>
          <w:b w:val="0"/>
          <w:i w:val="0"/>
          <w:sz w:val="24"/>
        </w:rPr>
        <w:br w:type="textWrapping"/>
      </w:r>
    </w:p>
    <w:p w14:paraId="5AC3C038">
      <w:pPr>
        <w:spacing w:before="1440" w:line="360" w:lineRule="auto"/>
        <w:jc w:val="center"/>
        <w:rPr>
          <w:rFonts w:hint="default" w:ascii="Times New Roman Regular" w:hAnsi="Times New Roman Regular" w:eastAsia="Times New Roman" w:cs="Times New Roman Regular"/>
          <w:b w:val="0"/>
          <w:i w:val="0"/>
          <w:sz w:val="24"/>
        </w:rPr>
      </w:pPr>
    </w:p>
    <w:p w14:paraId="03CBF945">
      <w:pPr>
        <w:spacing w:before="1440" w:line="360" w:lineRule="auto"/>
        <w:jc w:val="center"/>
        <w:rPr>
          <w:rFonts w:hint="default" w:ascii="Times New Roman Regular" w:hAnsi="Times New Roman Regular" w:cs="Times New Roman Regular"/>
        </w:rPr>
      </w:pPr>
      <w:r>
        <w:rPr>
          <w:rFonts w:hint="default" w:ascii="Times New Roman Regular" w:hAnsi="Times New Roman Regular" w:eastAsia="Times New Roman" w:cs="Times New Roman Regular"/>
          <w:b w:val="0"/>
          <w:i w:val="0"/>
          <w:sz w:val="24"/>
        </w:rPr>
        <w:t>June 2026</w:t>
      </w:r>
      <w:r>
        <w:rPr>
          <w:rFonts w:hint="default" w:ascii="Times New Roman Regular" w:hAnsi="Times New Roman Regular" w:eastAsia="Times New Roman" w:cs="Times New Roman Regular"/>
          <w:b w:val="0"/>
          <w:i w:val="0"/>
          <w:sz w:val="24"/>
        </w:rPr>
        <w:br w:type="textWrapping"/>
      </w:r>
      <w:r>
        <w:rPr>
          <w:rFonts w:hint="default" w:ascii="Times New Roman Regular" w:hAnsi="Times New Roman Regular" w:eastAsia="Times New Roman" w:cs="Times New Roman Regular"/>
          <w:b w:val="0"/>
          <w:i w:val="0"/>
          <w:sz w:val="24"/>
        </w:rPr>
        <w:br w:type="textWrapping"/>
      </w:r>
      <w:r>
        <w:rPr>
          <w:rFonts w:hint="default" w:ascii="Times New Roman Regular" w:hAnsi="Times New Roman Regular" w:eastAsia="Times New Roman" w:cs="Times New Roman Regular"/>
          <w:b w:val="0"/>
          <w:i w:val="0"/>
          <w:sz w:val="24"/>
        </w:rPr>
        <w:t>Department of Computer Science and Technology</w:t>
      </w:r>
      <w:r>
        <w:rPr>
          <w:rFonts w:hint="default" w:ascii="Times New Roman Regular" w:hAnsi="Times New Roman Regular" w:eastAsia="Times New Roman" w:cs="Times New Roman Regular"/>
          <w:b w:val="0"/>
          <w:i w:val="0"/>
          <w:sz w:val="24"/>
        </w:rPr>
        <w:br w:type="textWrapping"/>
      </w:r>
      <w:r>
        <w:rPr>
          <w:rFonts w:hint="default" w:ascii="Times New Roman Regular" w:hAnsi="Times New Roman Regular" w:eastAsia="Times New Roman" w:cs="Times New Roman Regular"/>
          <w:b w:val="0"/>
          <w:i w:val="0"/>
          <w:sz w:val="24"/>
        </w:rPr>
        <w:t>Graduate School of Youngsan University</w:t>
      </w:r>
    </w:p>
    <w:p w14:paraId="0525F2EE">
      <w:pPr>
        <w:spacing w:line="360" w:lineRule="auto"/>
        <w:rPr>
          <w:rFonts w:hint="default" w:ascii="Times New Roman Regular" w:hAnsi="Times New Roman Regular" w:cs="Times New Roman Regular"/>
        </w:rPr>
      </w:pPr>
      <w:r>
        <w:rPr>
          <w:rFonts w:hint="default" w:ascii="Times New Roman Regular" w:hAnsi="Times New Roman Regular" w:cs="Times New Roman Regular"/>
        </w:rPr>
        <w:br w:type="page"/>
      </w:r>
    </w:p>
    <w:sdt>
      <w:sdtPr>
        <w:rPr>
          <w:rFonts w:hint="default" w:ascii="Times New Roman Regular" w:hAnsi="Times New Roman Regular" w:eastAsia="宋体" w:cs="Times New Roman Regular"/>
          <w:sz w:val="21"/>
          <w:szCs w:val="22"/>
          <w:lang w:val="en-US" w:eastAsia="en-US" w:bidi="ar-SA"/>
        </w:rPr>
        <w:id w:val="762116675"/>
        <w15:color w:val="DBDBDB"/>
        <w:docPartObj>
          <w:docPartGallery w:val="Table of Contents"/>
          <w:docPartUnique/>
        </w:docPartObj>
      </w:sdtPr>
      <w:sdtEndPr>
        <w:rPr>
          <w:rFonts w:hint="default" w:ascii="Times New Roman Regular" w:hAnsi="Times New Roman Regular" w:eastAsia="宋体" w:cs="Times New Roman Regular"/>
          <w:sz w:val="21"/>
          <w:szCs w:val="22"/>
          <w:lang w:val="en-US" w:eastAsia="en-US" w:bidi="ar-SA"/>
        </w:rPr>
      </w:sdtEndPr>
      <w:sdtContent>
        <w:p w14:paraId="05FD5C43">
          <w:pPr>
            <w:spacing w:before="0" w:beforeLines="0" w:after="0" w:afterLines="0" w:line="360" w:lineRule="auto"/>
            <w:ind w:left="0" w:leftChars="0" w:right="0" w:rightChars="0" w:firstLine="0" w:firstLineChars="0"/>
            <w:jc w:val="center"/>
            <w:rPr>
              <w:rFonts w:hint="default" w:ascii="Times New Roman Regular" w:hAnsi="Times New Roman Regular" w:cs="Times New Roman Regular"/>
            </w:rPr>
          </w:pPr>
          <w:r>
            <w:rPr>
              <w:rFonts w:hint="default" w:ascii="Times New Roman Regular" w:hAnsi="Times New Roman Regular" w:eastAsia="宋体" w:cs="Times New Roman Regular"/>
              <w:sz w:val="21"/>
            </w:rPr>
            <w:t>目录</w:t>
          </w:r>
        </w:p>
        <w:p w14:paraId="57011B9F">
          <w:pPr>
            <w:pStyle w:val="27"/>
            <w:tabs>
              <w:tab w:val="right" w:leader="dot" w:pos="9360"/>
            </w:tabs>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TOC \o "1-3" \h \u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\l _Toc330566213 </w:instrText>
          </w:r>
          <w:r>
            <w:rPr>
              <w:rFonts w:hint="default" w:ascii="Times New Roman Regular" w:hAnsi="Times New Roman Regular" w:cs="Times New Roman Regular"/>
            </w:rPr>
            <w:fldChar w:fldCharType="separate"/>
          </w:r>
          <w:r>
            <w:rPr>
              <w:rFonts w:hint="default" w:ascii="Times New Roman Regular" w:hAnsi="Times New Roman Regular" w:eastAsia="宋体" w:cs="Times New Roman Regular"/>
              <w:kern w:val="0"/>
              <w:szCs w:val="28"/>
            </w:rPr>
            <w:t>LIST OF TABLES</w:t>
          </w:r>
          <w:r>
            <w:tab/>
          </w:r>
          <w:r>
            <w:fldChar w:fldCharType="begin"/>
          </w:r>
          <w:r>
            <w:instrText xml:space="preserve"> PAGEREF _Toc330566213 \h </w:instrText>
          </w:r>
          <w:r>
            <w:fldChar w:fldCharType="separate"/>
          </w:r>
          <w:r>
            <w:t>3</w:t>
          </w:r>
          <w:r>
            <w:fldChar w:fldCharType="end"/>
          </w:r>
          <w:r>
            <w:rPr>
              <w:rFonts w:hint="default" w:ascii="Times New Roman Regular" w:hAnsi="Times New Roman Regular" w:cs="Times New Roman Regular"/>
            </w:rPr>
            <w:fldChar w:fldCharType="end"/>
          </w:r>
        </w:p>
        <w:p w14:paraId="69BDDBE4">
          <w:pPr>
            <w:pStyle w:val="27"/>
            <w:tabs>
              <w:tab w:val="right" w:leader="dot" w:pos="9360"/>
            </w:tabs>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\l _Toc286147102 </w:instrText>
          </w:r>
          <w:r>
            <w:rPr>
              <w:rFonts w:hint="default" w:ascii="Times New Roman Regular" w:hAnsi="Times New Roman Regular" w:cs="Times New Roman Regular"/>
            </w:rPr>
            <w:fldChar w:fldCharType="separate"/>
          </w:r>
          <w:r>
            <w:rPr>
              <w:rFonts w:hint="default" w:ascii="Times New Roman Regular" w:hAnsi="Times New Roman Regular" w:eastAsia="宋体" w:cs="Times New Roman Regular"/>
              <w:kern w:val="0"/>
              <w:szCs w:val="28"/>
            </w:rPr>
            <w:t>LIST OF FIGURES</w:t>
          </w:r>
          <w:r>
            <w:tab/>
          </w:r>
          <w:r>
            <w:fldChar w:fldCharType="begin"/>
          </w:r>
          <w:r>
            <w:instrText xml:space="preserve"> PAGEREF _Toc286147102 \h </w:instrText>
          </w:r>
          <w:r>
            <w:fldChar w:fldCharType="separate"/>
          </w:r>
          <w:r>
            <w:t>4</w:t>
          </w:r>
          <w:r>
            <w:fldChar w:fldCharType="end"/>
          </w:r>
          <w:r>
            <w:rPr>
              <w:rFonts w:hint="default" w:ascii="Times New Roman Regular" w:hAnsi="Times New Roman Regular" w:cs="Times New Roman Regular"/>
            </w:rPr>
            <w:fldChar w:fldCharType="end"/>
          </w:r>
        </w:p>
        <w:p w14:paraId="6AD9762F">
          <w:pPr>
            <w:pStyle w:val="30"/>
            <w:tabs>
              <w:tab w:val="right" w:leader="dot" w:pos="9360"/>
            </w:tabs>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\l _Toc1058457681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Abstract</w:t>
          </w:r>
          <w:r>
            <w:tab/>
          </w:r>
          <w:r>
            <w:fldChar w:fldCharType="begin"/>
          </w:r>
          <w:r>
            <w:instrText xml:space="preserve"> PAGEREF _Toc1058457681 \h </w:instrText>
          </w:r>
          <w:r>
            <w:fldChar w:fldCharType="separate"/>
          </w:r>
          <w:r>
            <w:t>5</w:t>
          </w:r>
          <w:r>
            <w:fldChar w:fldCharType="end"/>
          </w:r>
          <w:r>
            <w:rPr>
              <w:rFonts w:hint="default" w:ascii="Times New Roman Regular" w:hAnsi="Times New Roman Regular" w:cs="Times New Roman Regular"/>
            </w:rPr>
            <w:fldChar w:fldCharType="end"/>
          </w:r>
        </w:p>
        <w:p w14:paraId="33264345">
          <w:pPr>
            <w:pStyle w:val="30"/>
            <w:tabs>
              <w:tab w:val="right" w:leader="dot" w:pos="9360"/>
            </w:tabs>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\l _Toc1891196466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1 Introduction</w:t>
          </w:r>
          <w:r>
            <w:tab/>
          </w:r>
          <w:r>
            <w:fldChar w:fldCharType="begin"/>
          </w:r>
          <w:r>
            <w:instrText xml:space="preserve"> PAGEREF _Toc1891196466 \h </w:instrText>
          </w:r>
          <w:r>
            <w:fldChar w:fldCharType="separate"/>
          </w:r>
          <w:r>
            <w:t>6</w:t>
          </w:r>
          <w:r>
            <w:fldChar w:fldCharType="end"/>
          </w:r>
          <w:r>
            <w:rPr>
              <w:rFonts w:hint="default" w:ascii="Times New Roman Regular" w:hAnsi="Times New Roman Regular" w:cs="Times New Roman Regular"/>
            </w:rPr>
            <w:fldChar w:fldCharType="end"/>
          </w:r>
        </w:p>
        <w:p w14:paraId="5E56F39C">
          <w:pPr>
            <w:pStyle w:val="24"/>
            <w:tabs>
              <w:tab w:val="right" w:leader="dot" w:pos="9360"/>
            </w:tabs>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\l _Toc433544815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1.1 Research Background and Significance</w:t>
          </w:r>
          <w:r>
            <w:tab/>
          </w:r>
          <w:r>
            <w:fldChar w:fldCharType="begin"/>
          </w:r>
          <w:r>
            <w:instrText xml:space="preserve"> PAGEREF _Toc433544815 \h </w:instrText>
          </w:r>
          <w:r>
            <w:fldChar w:fldCharType="separate"/>
          </w:r>
          <w:r>
            <w:t>6</w:t>
          </w:r>
          <w:r>
            <w:fldChar w:fldCharType="end"/>
          </w:r>
          <w:r>
            <w:rPr>
              <w:rFonts w:hint="default" w:ascii="Times New Roman Regular" w:hAnsi="Times New Roman Regular" w:cs="Times New Roman Regular"/>
            </w:rPr>
            <w:fldChar w:fldCharType="end"/>
          </w:r>
        </w:p>
        <w:p w14:paraId="58BCD0FA">
          <w:pPr>
            <w:pStyle w:val="24"/>
            <w:tabs>
              <w:tab w:val="right" w:leader="dot" w:pos="9360"/>
            </w:tabs>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\l _Toc175691434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1.2 Current Research Status at Home and Abroad</w:t>
          </w:r>
          <w:r>
            <w:tab/>
          </w:r>
          <w:r>
            <w:fldChar w:fldCharType="begin"/>
          </w:r>
          <w:r>
            <w:instrText xml:space="preserve"> PAGEREF _Toc175691434 \h </w:instrText>
          </w:r>
          <w:r>
            <w:fldChar w:fldCharType="separate"/>
          </w:r>
          <w:r>
            <w:t>6</w:t>
          </w:r>
          <w:r>
            <w:fldChar w:fldCharType="end"/>
          </w:r>
          <w:r>
            <w:rPr>
              <w:rFonts w:hint="default" w:ascii="Times New Roman Regular" w:hAnsi="Times New Roman Regular" w:cs="Times New Roman Regular"/>
            </w:rPr>
            <w:fldChar w:fldCharType="end"/>
          </w:r>
        </w:p>
        <w:p w14:paraId="6CCA7C6D">
          <w:pPr>
            <w:pStyle w:val="30"/>
            <w:tabs>
              <w:tab w:val="right" w:leader="dot" w:pos="9360"/>
            </w:tabs>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\l _Toc55916613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2 Relevant Technological Foundations</w:t>
          </w:r>
          <w:r>
            <w:tab/>
          </w:r>
          <w:r>
            <w:fldChar w:fldCharType="begin"/>
          </w:r>
          <w:r>
            <w:instrText xml:space="preserve"> PAGEREF _Toc55916613 \h </w:instrText>
          </w:r>
          <w:r>
            <w:fldChar w:fldCharType="separate"/>
          </w:r>
          <w:r>
            <w:t>7</w:t>
          </w:r>
          <w:r>
            <w:fldChar w:fldCharType="end"/>
          </w:r>
          <w:r>
            <w:rPr>
              <w:rFonts w:hint="default" w:ascii="Times New Roman Regular" w:hAnsi="Times New Roman Regular" w:cs="Times New Roman Regular"/>
            </w:rPr>
            <w:fldChar w:fldCharType="end"/>
          </w:r>
        </w:p>
        <w:p w14:paraId="340651D4">
          <w:pPr>
            <w:pStyle w:val="24"/>
            <w:tabs>
              <w:tab w:val="right" w:leader="dot" w:pos="9360"/>
            </w:tabs>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\l _Toc1340160952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2.1 Consortium Blockchain and Hyperledger Fabric</w:t>
          </w:r>
          <w:r>
            <w:tab/>
          </w:r>
          <w:r>
            <w:fldChar w:fldCharType="begin"/>
          </w:r>
          <w:r>
            <w:instrText xml:space="preserve"> PAGEREF _Toc1340160952 \h </w:instrText>
          </w:r>
          <w:r>
            <w:fldChar w:fldCharType="separate"/>
          </w:r>
          <w:r>
            <w:t>7</w:t>
          </w:r>
          <w:r>
            <w:fldChar w:fldCharType="end"/>
          </w:r>
          <w:r>
            <w:rPr>
              <w:rFonts w:hint="default" w:ascii="Times New Roman Regular" w:hAnsi="Times New Roman Regular" w:cs="Times New Roman Regular"/>
            </w:rPr>
            <w:fldChar w:fldCharType="end"/>
          </w:r>
        </w:p>
        <w:p w14:paraId="6A216A94">
          <w:pPr>
            <w:pStyle w:val="24"/>
            <w:tabs>
              <w:tab w:val="right" w:leader="dot" w:pos="9360"/>
            </w:tabs>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\l _Toc1276630528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2.2 InterPlanetary File System (IPFS) Distributed Storage</w:t>
          </w:r>
          <w:r>
            <w:tab/>
          </w:r>
          <w:r>
            <w:fldChar w:fldCharType="begin"/>
          </w:r>
          <w:r>
            <w:instrText xml:space="preserve"> PAGEREF _Toc1276630528 \h </w:instrText>
          </w:r>
          <w:r>
            <w:fldChar w:fldCharType="separate"/>
          </w:r>
          <w:r>
            <w:t>8</w:t>
          </w:r>
          <w:r>
            <w:fldChar w:fldCharType="end"/>
          </w:r>
          <w:r>
            <w:rPr>
              <w:rFonts w:hint="default" w:ascii="Times New Roman Regular" w:hAnsi="Times New Roman Regular" w:cs="Times New Roman Regular"/>
            </w:rPr>
            <w:fldChar w:fldCharType="end"/>
          </w:r>
        </w:p>
        <w:p w14:paraId="3BED8C94">
          <w:pPr>
            <w:pStyle w:val="24"/>
            <w:tabs>
              <w:tab w:val="right" w:leader="dot" w:pos="9360"/>
            </w:tabs>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\l _Toc820166919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2.3 Attribute-Based Access Control (ABAC) Model</w:t>
          </w:r>
          <w:r>
            <w:tab/>
          </w:r>
          <w:r>
            <w:fldChar w:fldCharType="begin"/>
          </w:r>
          <w:r>
            <w:instrText xml:space="preserve"> PAGEREF _Toc820166919 \h </w:instrText>
          </w:r>
          <w:r>
            <w:fldChar w:fldCharType="separate"/>
          </w:r>
          <w:r>
            <w:t>8</w:t>
          </w:r>
          <w:r>
            <w:fldChar w:fldCharType="end"/>
          </w:r>
          <w:r>
            <w:rPr>
              <w:rFonts w:hint="default" w:ascii="Times New Roman Regular" w:hAnsi="Times New Roman Regular" w:cs="Times New Roman Regular"/>
            </w:rPr>
            <w:fldChar w:fldCharType="end"/>
          </w:r>
        </w:p>
        <w:p w14:paraId="2E24E433">
          <w:pPr>
            <w:pStyle w:val="30"/>
            <w:tabs>
              <w:tab w:val="right" w:leader="dot" w:pos="9360"/>
            </w:tabs>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\l _Toc1995361187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3 Design of Blockchain and IPFS-Based Medical Data Management Model</w:t>
          </w:r>
          <w:r>
            <w:tab/>
          </w:r>
          <w:r>
            <w:fldChar w:fldCharType="begin"/>
          </w:r>
          <w:r>
            <w:instrText xml:space="preserve"> PAGEREF _Toc1995361187 \h </w:instrText>
          </w:r>
          <w:r>
            <w:fldChar w:fldCharType="separate"/>
          </w:r>
          <w:r>
            <w:t>9</w:t>
          </w:r>
          <w:r>
            <w:fldChar w:fldCharType="end"/>
          </w:r>
          <w:r>
            <w:rPr>
              <w:rFonts w:hint="default" w:ascii="Times New Roman Regular" w:hAnsi="Times New Roman Regular" w:cs="Times New Roman Regular"/>
            </w:rPr>
            <w:fldChar w:fldCharType="end"/>
          </w:r>
        </w:p>
        <w:p w14:paraId="796597BD">
          <w:pPr>
            <w:pStyle w:val="24"/>
            <w:tabs>
              <w:tab w:val="right" w:leader="dot" w:pos="9360"/>
            </w:tabs>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\l _Toc930838357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3.1 System Layered Architecture Design</w:t>
          </w:r>
          <w:r>
            <w:tab/>
          </w:r>
          <w:r>
            <w:fldChar w:fldCharType="begin"/>
          </w:r>
          <w:r>
            <w:instrText xml:space="preserve"> PAGEREF _Toc930838357 \h </w:instrText>
          </w:r>
          <w:r>
            <w:fldChar w:fldCharType="separate"/>
          </w:r>
          <w:r>
            <w:t>9</w:t>
          </w:r>
          <w:r>
            <w:fldChar w:fldCharType="end"/>
          </w:r>
          <w:r>
            <w:rPr>
              <w:rFonts w:hint="default" w:ascii="Times New Roman Regular" w:hAnsi="Times New Roman Regular" w:cs="Times New Roman Regular"/>
            </w:rPr>
            <w:fldChar w:fldCharType="end"/>
          </w:r>
        </w:p>
        <w:p w14:paraId="71A53DB2">
          <w:pPr>
            <w:pStyle w:val="24"/>
            <w:tabs>
              <w:tab w:val="right" w:leader="dot" w:pos="9360"/>
            </w:tabs>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\l _Toc181897704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3.2 On-Chain/Off-Chain Hybrid Storage Model and Decoupling Mechanism Design</w:t>
          </w:r>
          <w:r>
            <w:tab/>
          </w:r>
          <w:r>
            <w:fldChar w:fldCharType="begin"/>
          </w:r>
          <w:r>
            <w:instrText xml:space="preserve"> PAGEREF _Toc181897704 \h </w:instrText>
          </w:r>
          <w:r>
            <w:fldChar w:fldCharType="separate"/>
          </w:r>
          <w:r>
            <w:t>10</w:t>
          </w:r>
          <w:r>
            <w:fldChar w:fldCharType="end"/>
          </w:r>
          <w:r>
            <w:rPr>
              <w:rFonts w:hint="default" w:ascii="Times New Roman Regular" w:hAnsi="Times New Roman Regular" w:cs="Times New Roman Regular"/>
            </w:rPr>
            <w:fldChar w:fldCharType="end"/>
          </w:r>
        </w:p>
        <w:p w14:paraId="38CD4AA4">
          <w:pPr>
            <w:pStyle w:val="30"/>
            <w:tabs>
              <w:tab w:val="right" w:leader="dot" w:pos="9360"/>
            </w:tabs>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\l _Toc1285481447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4 Experimental Design and Performance Analysis</w:t>
          </w:r>
          <w:r>
            <w:tab/>
          </w:r>
          <w:r>
            <w:fldChar w:fldCharType="begin"/>
          </w:r>
          <w:r>
            <w:instrText xml:space="preserve"> PAGEREF _Toc1285481447 \h </w:instrText>
          </w:r>
          <w:r>
            <w:fldChar w:fldCharType="separate"/>
          </w:r>
          <w:r>
            <w:t>12</w:t>
          </w:r>
          <w:r>
            <w:fldChar w:fldCharType="end"/>
          </w:r>
          <w:r>
            <w:rPr>
              <w:rFonts w:hint="default" w:ascii="Times New Roman Regular" w:hAnsi="Times New Roman Regular" w:cs="Times New Roman Regular"/>
            </w:rPr>
            <w:fldChar w:fldCharType="end"/>
          </w:r>
        </w:p>
        <w:p w14:paraId="4EE33C27">
          <w:pPr>
            <w:pStyle w:val="24"/>
            <w:tabs>
              <w:tab w:val="right" w:leader="dot" w:pos="9360"/>
            </w:tabs>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\l _Toc1401190909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4.1 Experimental Environment Configuration and Quantitative Metrics Setup</w:t>
          </w:r>
          <w:r>
            <w:tab/>
          </w:r>
          <w:r>
            <w:fldChar w:fldCharType="begin"/>
          </w:r>
          <w:r>
            <w:instrText xml:space="preserve"> PAGEREF _Toc1401190909 \h </w:instrText>
          </w:r>
          <w:r>
            <w:fldChar w:fldCharType="separate"/>
          </w:r>
          <w:r>
            <w:t>12</w:t>
          </w:r>
          <w:r>
            <w:fldChar w:fldCharType="end"/>
          </w:r>
          <w:r>
            <w:rPr>
              <w:rFonts w:hint="default" w:ascii="Times New Roman Regular" w:hAnsi="Times New Roman Regular" w:cs="Times New Roman Regular"/>
            </w:rPr>
            <w:fldChar w:fldCharType="end"/>
          </w:r>
        </w:p>
        <w:p w14:paraId="79A9AFC4">
          <w:pPr>
            <w:pStyle w:val="24"/>
            <w:tabs>
              <w:tab w:val="right" w:leader="dot" w:pos="9360"/>
            </w:tabs>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\l _Toc509934561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4.2 Multi-Dimensional Statistical Analysis and Presentation of Experimental Results</w:t>
          </w:r>
          <w:r>
            <w:tab/>
          </w:r>
          <w:r>
            <w:fldChar w:fldCharType="begin"/>
          </w:r>
          <w:r>
            <w:instrText xml:space="preserve"> PAGEREF _Toc509934561 \h </w:instrText>
          </w:r>
          <w:r>
            <w:fldChar w:fldCharType="separate"/>
          </w:r>
          <w:r>
            <w:t>13</w:t>
          </w:r>
          <w:r>
            <w:fldChar w:fldCharType="end"/>
          </w:r>
          <w:r>
            <w:rPr>
              <w:rFonts w:hint="default" w:ascii="Times New Roman Regular" w:hAnsi="Times New Roman Regular" w:cs="Times New Roman Regular"/>
            </w:rPr>
            <w:fldChar w:fldCharType="end"/>
          </w:r>
        </w:p>
        <w:p w14:paraId="7972075F">
          <w:pPr>
            <w:pStyle w:val="30"/>
            <w:tabs>
              <w:tab w:val="right" w:leader="dot" w:pos="9360"/>
            </w:tabs>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\l _Toc2010415197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5 Deep Model Optimization and Evolutionary Improvement Paths Analysis</w:t>
          </w:r>
          <w:r>
            <w:tab/>
          </w:r>
          <w:r>
            <w:fldChar w:fldCharType="begin"/>
          </w:r>
          <w:r>
            <w:instrText xml:space="preserve"> PAGEREF _Toc2010415197 \h </w:instrText>
          </w:r>
          <w:r>
            <w:fldChar w:fldCharType="separate"/>
          </w:r>
          <w:r>
            <w:t>16</w:t>
          </w:r>
          <w:r>
            <w:fldChar w:fldCharType="end"/>
          </w:r>
          <w:r>
            <w:rPr>
              <w:rFonts w:hint="default" w:ascii="Times New Roman Regular" w:hAnsi="Times New Roman Regular" w:cs="Times New Roman Regular"/>
            </w:rPr>
            <w:fldChar w:fldCharType="end"/>
          </w:r>
        </w:p>
        <w:p w14:paraId="63E00ABB">
          <w:pPr>
            <w:pStyle w:val="24"/>
            <w:tabs>
              <w:tab w:val="right" w:leader="dot" w:pos="9360"/>
            </w:tabs>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\l _Toc540514081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5.1 In-Depth Analysis of Potential System Technical Bottlenecks</w:t>
          </w:r>
          <w:r>
            <w:tab/>
          </w:r>
          <w:r>
            <w:fldChar w:fldCharType="begin"/>
          </w:r>
          <w:r>
            <w:instrText xml:space="preserve"> PAGEREF _Toc540514081 \h </w:instrText>
          </w:r>
          <w:r>
            <w:fldChar w:fldCharType="separate"/>
          </w:r>
          <w:r>
            <w:t>16</w:t>
          </w:r>
          <w:r>
            <w:fldChar w:fldCharType="end"/>
          </w:r>
          <w:r>
            <w:rPr>
              <w:rFonts w:hint="default" w:ascii="Times New Roman Regular" w:hAnsi="Times New Roman Regular" w:cs="Times New Roman Regular"/>
            </w:rPr>
            <w:fldChar w:fldCharType="end"/>
          </w:r>
        </w:p>
        <w:p w14:paraId="733D8ACF">
          <w:pPr>
            <w:pStyle w:val="24"/>
            <w:tabs>
              <w:tab w:val="right" w:leader="dot" w:pos="9360"/>
            </w:tabs>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\l _Toc564332557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5.2 Targeted Model Optimization Path Scheme Design</w:t>
          </w:r>
          <w:r>
            <w:tab/>
          </w:r>
          <w:r>
            <w:fldChar w:fldCharType="begin"/>
          </w:r>
          <w:r>
            <w:instrText xml:space="preserve"> PAGEREF _Toc564332557 \h </w:instrText>
          </w:r>
          <w:r>
            <w:fldChar w:fldCharType="separate"/>
          </w:r>
          <w:r>
            <w:t>17</w:t>
          </w:r>
          <w:r>
            <w:fldChar w:fldCharType="end"/>
          </w:r>
          <w:r>
            <w:rPr>
              <w:rFonts w:hint="default" w:ascii="Times New Roman Regular" w:hAnsi="Times New Roman Regular" w:cs="Times New Roman Regular"/>
            </w:rPr>
            <w:fldChar w:fldCharType="end"/>
          </w:r>
        </w:p>
        <w:p w14:paraId="1C69D88B">
          <w:pPr>
            <w:pStyle w:val="30"/>
            <w:tabs>
              <w:tab w:val="right" w:leader="dot" w:pos="9360"/>
            </w:tabs>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\l _Toc1449500347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6 Conclusion and Future Outlook</w:t>
          </w:r>
          <w:r>
            <w:tab/>
          </w:r>
          <w:r>
            <w:fldChar w:fldCharType="begin"/>
          </w:r>
          <w:r>
            <w:instrText xml:space="preserve"> PAGEREF _Toc1449500347 \h </w:instrText>
          </w:r>
          <w:r>
            <w:fldChar w:fldCharType="separate"/>
          </w:r>
          <w:r>
            <w:t>18</w:t>
          </w:r>
          <w:r>
            <w:fldChar w:fldCharType="end"/>
          </w:r>
          <w:r>
            <w:rPr>
              <w:rFonts w:hint="default" w:ascii="Times New Roman Regular" w:hAnsi="Times New Roman Regular" w:cs="Times New Roman Regular"/>
            </w:rPr>
            <w:fldChar w:fldCharType="end"/>
          </w:r>
        </w:p>
        <w:p w14:paraId="35CA4ECB">
          <w:pPr>
            <w:pStyle w:val="24"/>
            <w:tabs>
              <w:tab w:val="right" w:leader="dot" w:pos="9360"/>
            </w:tabs>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\l _Toc697840461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6.1 Research Conclusion</w:t>
          </w:r>
          <w:r>
            <w:tab/>
          </w:r>
          <w:r>
            <w:fldChar w:fldCharType="begin"/>
          </w:r>
          <w:r>
            <w:instrText xml:space="preserve"> PAGEREF _Toc697840461 \h </w:instrText>
          </w:r>
          <w:r>
            <w:fldChar w:fldCharType="separate"/>
          </w:r>
          <w:r>
            <w:t>18</w:t>
          </w:r>
          <w:r>
            <w:fldChar w:fldCharType="end"/>
          </w:r>
          <w:r>
            <w:rPr>
              <w:rFonts w:hint="default" w:ascii="Times New Roman Regular" w:hAnsi="Times New Roman Regular" w:cs="Times New Roman Regular"/>
            </w:rPr>
            <w:fldChar w:fldCharType="end"/>
          </w:r>
        </w:p>
        <w:p w14:paraId="1DBEE957">
          <w:pPr>
            <w:pStyle w:val="30"/>
            <w:tabs>
              <w:tab w:val="right" w:leader="dot" w:pos="9360"/>
            </w:tabs>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\l _Toc1196431760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References</w:t>
          </w:r>
          <w:r>
            <w:tab/>
          </w:r>
          <w:r>
            <w:fldChar w:fldCharType="begin"/>
          </w:r>
          <w:r>
            <w:instrText xml:space="preserve"> PAGEREF _Toc1196431760 \h </w:instrText>
          </w:r>
          <w:r>
            <w:fldChar w:fldCharType="separate"/>
          </w:r>
          <w:r>
            <w:t>19</w:t>
          </w:r>
          <w:r>
            <w:fldChar w:fldCharType="end"/>
          </w:r>
          <w:r>
            <w:rPr>
              <w:rFonts w:hint="default" w:ascii="Times New Roman Regular" w:hAnsi="Times New Roman Regular" w:cs="Times New Roman Regular"/>
            </w:rPr>
            <w:fldChar w:fldCharType="end"/>
          </w:r>
        </w:p>
        <w:p w14:paraId="31535170">
          <w:pPr>
            <w:pStyle w:val="30"/>
            <w:tabs>
              <w:tab w:val="right" w:leader="dot" w:pos="9360"/>
            </w:tabs>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\l _Toc1539203459 </w:instrText>
          </w:r>
          <w:r>
            <w:rPr>
              <w:rFonts w:hint="default" w:ascii="Times New Roman Regular" w:hAnsi="Times New Roman Regular" w:cs="Times New Roman Regular"/>
            </w:rPr>
            <w:fldChar w:fldCharType="separate"/>
          </w:r>
          <w:r>
            <w:t>Appendix</w:t>
          </w:r>
          <w:r>
            <w:tab/>
          </w:r>
          <w:r>
            <w:fldChar w:fldCharType="begin"/>
          </w:r>
          <w:r>
            <w:instrText xml:space="preserve"> PAGEREF _Toc1539203459 \h </w:instrText>
          </w:r>
          <w:r>
            <w:fldChar w:fldCharType="separate"/>
          </w:r>
          <w:r>
            <w:t>21</w:t>
          </w:r>
          <w:r>
            <w:fldChar w:fldCharType="end"/>
          </w:r>
          <w:r>
            <w:rPr>
              <w:rFonts w:hint="default" w:ascii="Times New Roman Regular" w:hAnsi="Times New Roman Regular" w:cs="Times New Roman Regular"/>
            </w:rPr>
            <w:fldChar w:fldCharType="end"/>
          </w:r>
        </w:p>
        <w:p w14:paraId="2B6F10FC">
          <w:pPr>
            <w:spacing w:line="360" w:lineRule="auto"/>
            <w:rPr>
              <w:rFonts w:hint="default" w:ascii="Times New Roman Regular" w:hAnsi="Times New Roman Regular" w:cs="Times New Roman Regular"/>
            </w:rPr>
          </w:pPr>
          <w:r>
            <w:rPr>
              <w:rFonts w:hint="default" w:ascii="Times New Roman Regular" w:hAnsi="Times New Roman Regular" w:cs="Times New Roman Regular"/>
            </w:rPr>
            <w:fldChar w:fldCharType="end"/>
          </w:r>
        </w:p>
      </w:sdtContent>
    </w:sdt>
    <w:p w14:paraId="4B0202F7">
      <w:pPr>
        <w:spacing w:line="360" w:lineRule="auto"/>
        <w:rPr>
          <w:rFonts w:hint="default" w:ascii="Times New Roman Regular" w:hAnsi="Times New Roman Regular" w:cs="Times New Roman Regular"/>
        </w:rPr>
      </w:pPr>
    </w:p>
    <w:p w14:paraId="1E55D8C0">
      <w:pPr>
        <w:bidi w:val="0"/>
        <w:rPr>
          <w:rFonts w:hint="default"/>
        </w:rPr>
      </w:pPr>
    </w:p>
    <w:p w14:paraId="7B56D031">
      <w:pPr>
        <w:adjustRightInd w:val="0"/>
        <w:snapToGrid w:val="0"/>
        <w:spacing w:after="312" w:afterLines="100" w:line="360" w:lineRule="auto"/>
        <w:jc w:val="center"/>
        <w:outlineLvl w:val="0"/>
        <w:rPr>
          <w:rFonts w:hint="default" w:ascii="Times New Roman Regular" w:hAnsi="Times New Roman Regular" w:cs="Times New Roman Regular"/>
          <w:b/>
          <w:bCs/>
          <w:sz w:val="28"/>
          <w:szCs w:val="28"/>
        </w:rPr>
      </w:pPr>
      <w:bookmarkStart w:id="0" w:name="_Toc330566213"/>
      <w:r>
        <w:rPr>
          <w:rFonts w:hint="default" w:ascii="Times New Roman Regular" w:hAnsi="Times New Roman Regular" w:eastAsia="宋体" w:cs="Times New Roman Regular"/>
          <w:b/>
          <w:kern w:val="0"/>
          <w:sz w:val="28"/>
          <w:szCs w:val="28"/>
        </w:rPr>
        <w:t>LIST OF TABLES</w:t>
      </w:r>
      <w:bookmarkEnd w:id="0"/>
    </w:p>
    <w:p w14:paraId="6DFAEA81">
      <w:pPr>
        <w:spacing w:after="80" w:line="360" w:lineRule="auto"/>
        <w:rPr>
          <w:rFonts w:hint="default" w:ascii="Times New Roman Regular" w:hAnsi="Times New Roman Regular" w:cs="Times New Roman Regular"/>
        </w:rPr>
      </w:pPr>
      <w:r>
        <w:rPr>
          <w:rFonts w:hint="default" w:ascii="Times New Roman Regular" w:hAnsi="Times New Roman Regular" w:eastAsia="Times New Roman" w:cs="Times New Roman Regular"/>
          <w:b w:val="0"/>
          <w:i w:val="0"/>
          <w:sz w:val="22"/>
        </w:rPr>
        <w:t>Table 4-1. Comparison of Comprehensive System Performance and Operational Cost Overheads</w:t>
      </w:r>
      <w:r>
        <w:rPr>
          <w:rFonts w:hint="default" w:ascii="Times New Roman Regular" w:hAnsi="Times New Roman Regular" w:cs="Times New Roman Regular"/>
        </w:rPr>
        <w:t xml:space="preserve">           </w:t>
      </w:r>
      <w:r>
        <w:rPr>
          <w:rFonts w:hint="default" w:ascii="Times New Roman Regular" w:hAnsi="Times New Roman Regular" w:eastAsia="Times New Roman" w:cs="Times New Roman Regular"/>
          <w:b w:val="0"/>
          <w:i w:val="0"/>
          <w:sz w:val="22"/>
        </w:rPr>
        <w:t>13</w:t>
      </w:r>
    </w:p>
    <w:p w14:paraId="50D94723">
      <w:pPr>
        <w:spacing w:after="80" w:line="360" w:lineRule="auto"/>
        <w:rPr>
          <w:rFonts w:hint="default" w:ascii="Times New Roman Regular" w:hAnsi="Times New Roman Regular" w:cs="Times New Roman Regular"/>
        </w:rPr>
      </w:pPr>
      <w:r>
        <w:rPr>
          <w:rFonts w:hint="default" w:ascii="Times New Roman Regular" w:hAnsi="Times New Roman Regular" w:eastAsia="Times New Roman" w:cs="Times New Roman Regular"/>
          <w:b w:val="0"/>
          <w:i w:val="0"/>
          <w:sz w:val="22"/>
        </w:rPr>
        <w:t>Table 4-2. Comparison of Security Protection Capabilities and Audit Traceability Completeness</w:t>
      </w:r>
      <w:r>
        <w:rPr>
          <w:rFonts w:hint="default" w:ascii="Times New Roman Regular" w:hAnsi="Times New Roman Regular" w:cs="Times New Roman Regular"/>
        </w:rPr>
        <w:t xml:space="preserve">   </w:t>
      </w:r>
      <w:r>
        <w:rPr>
          <w:rFonts w:hint="default" w:ascii="Times New Roman Regular" w:hAnsi="Times New Roman Regular" w:eastAsia="宋体" w:cs="Times New Roman Regular"/>
          <w:lang w:val="en-US" w:eastAsia="zh-CN"/>
        </w:rPr>
        <w:t xml:space="preserve">     </w:t>
      </w:r>
      <w:r>
        <w:rPr>
          <w:rFonts w:hint="default" w:ascii="Times New Roman Regular" w:hAnsi="Times New Roman Regular" w:cs="Times New Roman Regular"/>
        </w:rPr>
        <w:t xml:space="preserve"> </w:t>
      </w:r>
      <w:r>
        <w:rPr>
          <w:rFonts w:hint="eastAsia" w:ascii="Times New Roman Regular" w:hAnsi="Times New Roman Regular" w:eastAsia="宋体" w:cs="Times New Roman Regular"/>
          <w:lang w:val="en-US" w:eastAsia="zh-CN"/>
        </w:rPr>
        <w:t xml:space="preserve"> </w:t>
      </w:r>
      <w:r>
        <w:rPr>
          <w:rFonts w:hint="default" w:ascii="Times New Roman Regular" w:hAnsi="Times New Roman Regular" w:cs="Times New Roman Regular"/>
        </w:rPr>
        <w:t xml:space="preserve">  </w:t>
      </w:r>
      <w:r>
        <w:rPr>
          <w:rFonts w:hint="default" w:ascii="Times New Roman Regular" w:hAnsi="Times New Roman Regular" w:eastAsia="Times New Roman" w:cs="Times New Roman Regular"/>
          <w:b w:val="0"/>
          <w:i w:val="0"/>
          <w:sz w:val="22"/>
        </w:rPr>
        <w:t>14</w:t>
      </w:r>
    </w:p>
    <w:p w14:paraId="61AAE8D7">
      <w:pPr>
        <w:spacing w:after="80" w:line="360" w:lineRule="auto"/>
        <w:rPr>
          <w:rFonts w:hint="default" w:ascii="Times New Roman Regular" w:hAnsi="Times New Roman Regular" w:eastAsia="Times New Roman" w:cs="Times New Roman Regular"/>
          <w:b/>
          <w:i w:val="0"/>
          <w:sz w:val="22"/>
        </w:rPr>
      </w:pPr>
    </w:p>
    <w:p w14:paraId="01DB78D8">
      <w:pPr>
        <w:spacing w:after="80" w:line="360" w:lineRule="auto"/>
        <w:rPr>
          <w:rFonts w:hint="default" w:ascii="Times New Roman Regular" w:hAnsi="Times New Roman Regular" w:eastAsia="Times New Roman" w:cs="Times New Roman Regular"/>
          <w:b/>
          <w:i w:val="0"/>
          <w:sz w:val="22"/>
        </w:rPr>
      </w:pPr>
    </w:p>
    <w:p w14:paraId="12175F99">
      <w:pPr>
        <w:spacing w:after="80" w:line="360" w:lineRule="auto"/>
        <w:rPr>
          <w:rFonts w:hint="default" w:ascii="Times New Roman Regular" w:hAnsi="Times New Roman Regular" w:eastAsia="Times New Roman" w:cs="Times New Roman Regular"/>
          <w:b/>
          <w:i w:val="0"/>
          <w:sz w:val="22"/>
        </w:rPr>
      </w:pPr>
    </w:p>
    <w:p w14:paraId="727D1A7D">
      <w:pPr>
        <w:spacing w:after="80" w:line="360" w:lineRule="auto"/>
        <w:rPr>
          <w:rFonts w:hint="default" w:ascii="Times New Roman Regular" w:hAnsi="Times New Roman Regular" w:eastAsia="Times New Roman" w:cs="Times New Roman Regular"/>
          <w:b/>
          <w:i w:val="0"/>
          <w:sz w:val="22"/>
        </w:rPr>
      </w:pPr>
    </w:p>
    <w:p w14:paraId="47DDCF32">
      <w:pPr>
        <w:spacing w:after="80" w:line="360" w:lineRule="auto"/>
        <w:rPr>
          <w:rFonts w:hint="default" w:ascii="Times New Roman Regular" w:hAnsi="Times New Roman Regular" w:eastAsia="Times New Roman" w:cs="Times New Roman Regular"/>
          <w:b/>
          <w:i w:val="0"/>
          <w:sz w:val="22"/>
        </w:rPr>
      </w:pPr>
    </w:p>
    <w:p w14:paraId="227CA3AA">
      <w:pPr>
        <w:spacing w:after="80" w:line="360" w:lineRule="auto"/>
        <w:rPr>
          <w:rFonts w:hint="default" w:ascii="Times New Roman Regular" w:hAnsi="Times New Roman Regular" w:eastAsia="Times New Roman" w:cs="Times New Roman Regular"/>
          <w:b/>
          <w:i w:val="0"/>
          <w:sz w:val="22"/>
        </w:rPr>
      </w:pPr>
    </w:p>
    <w:p w14:paraId="179F9968">
      <w:pPr>
        <w:spacing w:after="80" w:line="360" w:lineRule="auto"/>
        <w:rPr>
          <w:rFonts w:hint="default" w:ascii="Times New Roman Regular" w:hAnsi="Times New Roman Regular" w:eastAsia="Times New Roman" w:cs="Times New Roman Regular"/>
          <w:b/>
          <w:i w:val="0"/>
          <w:sz w:val="22"/>
        </w:rPr>
      </w:pPr>
    </w:p>
    <w:p w14:paraId="49AC68D7">
      <w:pPr>
        <w:spacing w:after="80" w:line="360" w:lineRule="auto"/>
        <w:rPr>
          <w:rFonts w:hint="default" w:ascii="Times New Roman Regular" w:hAnsi="Times New Roman Regular" w:eastAsia="Times New Roman" w:cs="Times New Roman Regular"/>
          <w:b/>
          <w:i w:val="0"/>
          <w:sz w:val="22"/>
        </w:rPr>
      </w:pPr>
    </w:p>
    <w:p w14:paraId="7D178F95">
      <w:pPr>
        <w:spacing w:after="80" w:line="360" w:lineRule="auto"/>
        <w:rPr>
          <w:rFonts w:hint="default" w:ascii="Times New Roman Regular" w:hAnsi="Times New Roman Regular" w:eastAsia="Times New Roman" w:cs="Times New Roman Regular"/>
          <w:b/>
          <w:i w:val="0"/>
          <w:sz w:val="22"/>
        </w:rPr>
      </w:pPr>
    </w:p>
    <w:p w14:paraId="5CD82C18">
      <w:pPr>
        <w:spacing w:after="80" w:line="360" w:lineRule="auto"/>
        <w:rPr>
          <w:rFonts w:hint="default" w:ascii="Times New Roman Regular" w:hAnsi="Times New Roman Regular" w:eastAsia="Times New Roman" w:cs="Times New Roman Regular"/>
          <w:b/>
          <w:i w:val="0"/>
          <w:sz w:val="22"/>
        </w:rPr>
      </w:pPr>
    </w:p>
    <w:p w14:paraId="4A0EFC78">
      <w:pPr>
        <w:spacing w:after="80" w:line="360" w:lineRule="auto"/>
        <w:rPr>
          <w:rFonts w:hint="default" w:ascii="Times New Roman Regular" w:hAnsi="Times New Roman Regular" w:eastAsia="Times New Roman" w:cs="Times New Roman Regular"/>
          <w:b/>
          <w:i w:val="0"/>
          <w:sz w:val="22"/>
        </w:rPr>
      </w:pPr>
    </w:p>
    <w:p w14:paraId="004242C6">
      <w:pPr>
        <w:spacing w:after="80" w:line="360" w:lineRule="auto"/>
        <w:rPr>
          <w:rFonts w:hint="default" w:ascii="Times New Roman Regular" w:hAnsi="Times New Roman Regular" w:eastAsia="Times New Roman" w:cs="Times New Roman Regular"/>
          <w:b/>
          <w:i w:val="0"/>
          <w:sz w:val="22"/>
        </w:rPr>
      </w:pPr>
    </w:p>
    <w:p w14:paraId="3B7272C2">
      <w:pPr>
        <w:spacing w:after="80" w:line="360" w:lineRule="auto"/>
        <w:rPr>
          <w:rFonts w:hint="default" w:ascii="Times New Roman Regular" w:hAnsi="Times New Roman Regular" w:eastAsia="Times New Roman" w:cs="Times New Roman Regular"/>
          <w:b/>
          <w:i w:val="0"/>
          <w:sz w:val="22"/>
        </w:rPr>
      </w:pPr>
    </w:p>
    <w:p w14:paraId="005980AC">
      <w:pPr>
        <w:spacing w:after="80" w:line="360" w:lineRule="auto"/>
        <w:rPr>
          <w:rFonts w:hint="default" w:ascii="Times New Roman Regular" w:hAnsi="Times New Roman Regular" w:eastAsia="Times New Roman" w:cs="Times New Roman Regular"/>
          <w:b/>
          <w:i w:val="0"/>
          <w:sz w:val="22"/>
        </w:rPr>
      </w:pPr>
    </w:p>
    <w:p w14:paraId="4B0D2ED4">
      <w:pPr>
        <w:spacing w:after="80" w:line="360" w:lineRule="auto"/>
        <w:rPr>
          <w:rFonts w:hint="default" w:ascii="Times New Roman Regular" w:hAnsi="Times New Roman Regular" w:eastAsia="Times New Roman" w:cs="Times New Roman Regular"/>
          <w:b/>
          <w:i w:val="0"/>
          <w:sz w:val="22"/>
        </w:rPr>
      </w:pPr>
    </w:p>
    <w:p w14:paraId="714492B0">
      <w:pPr>
        <w:spacing w:after="80" w:line="360" w:lineRule="auto"/>
        <w:rPr>
          <w:rFonts w:hint="default" w:ascii="Times New Roman Regular" w:hAnsi="Times New Roman Regular" w:eastAsia="Times New Roman" w:cs="Times New Roman Regular"/>
          <w:b/>
          <w:i w:val="0"/>
          <w:sz w:val="22"/>
        </w:rPr>
      </w:pPr>
    </w:p>
    <w:p w14:paraId="3A1B1581">
      <w:pPr>
        <w:spacing w:after="80" w:line="360" w:lineRule="auto"/>
        <w:rPr>
          <w:rFonts w:hint="default" w:ascii="Times New Roman Regular" w:hAnsi="Times New Roman Regular" w:eastAsia="Times New Roman" w:cs="Times New Roman Regular"/>
          <w:b/>
          <w:i w:val="0"/>
          <w:sz w:val="22"/>
        </w:rPr>
      </w:pPr>
    </w:p>
    <w:p w14:paraId="44E05875">
      <w:pPr>
        <w:spacing w:after="80" w:line="360" w:lineRule="auto"/>
        <w:rPr>
          <w:rFonts w:hint="default" w:ascii="Times New Roman Regular" w:hAnsi="Times New Roman Regular" w:eastAsia="Times New Roman" w:cs="Times New Roman Regular"/>
          <w:b/>
          <w:i w:val="0"/>
          <w:sz w:val="22"/>
        </w:rPr>
      </w:pPr>
    </w:p>
    <w:p w14:paraId="1B95B3FF">
      <w:pPr>
        <w:spacing w:after="80" w:line="360" w:lineRule="auto"/>
        <w:rPr>
          <w:rFonts w:hint="default" w:ascii="Times New Roman Regular" w:hAnsi="Times New Roman Regular" w:eastAsia="Times New Roman" w:cs="Times New Roman Regular"/>
          <w:b/>
          <w:i w:val="0"/>
          <w:sz w:val="22"/>
        </w:rPr>
      </w:pPr>
    </w:p>
    <w:p w14:paraId="125EA299">
      <w:pPr>
        <w:spacing w:after="80" w:line="360" w:lineRule="auto"/>
        <w:rPr>
          <w:rFonts w:hint="default" w:ascii="Times New Roman Regular" w:hAnsi="Times New Roman Regular" w:eastAsia="Times New Roman" w:cs="Times New Roman Regular"/>
          <w:b/>
          <w:i w:val="0"/>
          <w:sz w:val="22"/>
        </w:rPr>
      </w:pPr>
    </w:p>
    <w:p w14:paraId="59FE87AC">
      <w:pPr>
        <w:spacing w:after="80" w:line="360" w:lineRule="auto"/>
        <w:rPr>
          <w:rFonts w:hint="default" w:ascii="Times New Roman Regular" w:hAnsi="Times New Roman Regular" w:eastAsia="Times New Roman" w:cs="Times New Roman Regular"/>
          <w:b/>
          <w:i w:val="0"/>
          <w:sz w:val="22"/>
        </w:rPr>
      </w:pPr>
    </w:p>
    <w:p w14:paraId="743B4521">
      <w:pPr>
        <w:spacing w:after="80" w:line="360" w:lineRule="auto"/>
        <w:rPr>
          <w:rFonts w:hint="default" w:ascii="Times New Roman Regular" w:hAnsi="Times New Roman Regular" w:eastAsia="Times New Roman" w:cs="Times New Roman Regular"/>
          <w:b/>
          <w:i w:val="0"/>
          <w:sz w:val="22"/>
        </w:rPr>
      </w:pPr>
    </w:p>
    <w:p w14:paraId="456D2798">
      <w:pPr>
        <w:spacing w:after="80" w:line="360" w:lineRule="auto"/>
        <w:rPr>
          <w:rFonts w:hint="default" w:ascii="Times New Roman Regular" w:hAnsi="Times New Roman Regular" w:eastAsia="Times New Roman" w:cs="Times New Roman Regular"/>
          <w:b/>
          <w:i w:val="0"/>
          <w:sz w:val="22"/>
        </w:rPr>
      </w:pPr>
    </w:p>
    <w:p w14:paraId="3F20326C">
      <w:pPr>
        <w:spacing w:after="80" w:line="360" w:lineRule="auto"/>
        <w:rPr>
          <w:rFonts w:hint="default" w:ascii="Times New Roman Regular" w:hAnsi="Times New Roman Regular" w:eastAsia="Times New Roman" w:cs="Times New Roman Regular"/>
          <w:b/>
          <w:i w:val="0"/>
          <w:sz w:val="22"/>
        </w:rPr>
      </w:pPr>
    </w:p>
    <w:p w14:paraId="66AF7A9E">
      <w:pPr>
        <w:spacing w:after="80" w:line="360" w:lineRule="auto"/>
        <w:rPr>
          <w:rFonts w:hint="default" w:ascii="Times New Roman Regular" w:hAnsi="Times New Roman Regular" w:eastAsia="Times New Roman" w:cs="Times New Roman Regular"/>
          <w:b/>
          <w:i w:val="0"/>
          <w:sz w:val="22"/>
        </w:rPr>
      </w:pPr>
    </w:p>
    <w:p w14:paraId="0E00E645">
      <w:pPr>
        <w:spacing w:after="80" w:line="360" w:lineRule="auto"/>
        <w:rPr>
          <w:rFonts w:hint="default" w:ascii="Times New Roman Regular" w:hAnsi="Times New Roman Regular" w:eastAsia="Times New Roman" w:cs="Times New Roman Regular"/>
          <w:b/>
          <w:i w:val="0"/>
          <w:sz w:val="22"/>
        </w:rPr>
      </w:pPr>
    </w:p>
    <w:p w14:paraId="5B5F66A4">
      <w:pPr>
        <w:spacing w:after="80" w:line="360" w:lineRule="auto"/>
        <w:rPr>
          <w:rFonts w:hint="default" w:ascii="Times New Roman Regular" w:hAnsi="Times New Roman Regular" w:eastAsia="Times New Roman" w:cs="Times New Roman Regular"/>
          <w:b/>
          <w:i w:val="0"/>
          <w:sz w:val="22"/>
        </w:rPr>
      </w:pPr>
    </w:p>
    <w:p w14:paraId="3517B430">
      <w:pPr>
        <w:tabs>
          <w:tab w:val="left" w:pos="993"/>
        </w:tabs>
        <w:adjustRightInd w:val="0"/>
        <w:snapToGrid w:val="0"/>
        <w:spacing w:after="312" w:afterLines="100" w:line="360" w:lineRule="auto"/>
        <w:jc w:val="center"/>
        <w:outlineLvl w:val="0"/>
        <w:rPr>
          <w:rFonts w:hint="default" w:ascii="Times New Roman Regular" w:hAnsi="Times New Roman Regular" w:cs="Times New Roman Regular"/>
          <w:b/>
          <w:bCs/>
          <w:sz w:val="28"/>
          <w:szCs w:val="28"/>
        </w:rPr>
      </w:pPr>
      <w:bookmarkStart w:id="1" w:name="_Toc286147102"/>
      <w:bookmarkStart w:id="2" w:name="_Toc227515335"/>
      <w:r>
        <w:rPr>
          <w:rFonts w:hint="default" w:ascii="Times New Roman Regular" w:hAnsi="Times New Roman Regular" w:eastAsia="宋体" w:cs="Times New Roman Regular"/>
          <w:b/>
          <w:kern w:val="0"/>
          <w:sz w:val="28"/>
          <w:szCs w:val="28"/>
        </w:rPr>
        <w:t>LIST OF FIGURES</w:t>
      </w:r>
      <w:bookmarkEnd w:id="1"/>
      <w:bookmarkEnd w:id="2"/>
    </w:p>
    <w:p w14:paraId="0D95429E">
      <w:pPr>
        <w:spacing w:after="80" w:line="360" w:lineRule="auto"/>
        <w:ind w:left="360"/>
        <w:rPr>
          <w:rFonts w:hint="default" w:ascii="Times New Roman Regular" w:hAnsi="Times New Roman Regular" w:cs="Times New Roman Regular"/>
        </w:rPr>
      </w:pPr>
      <w:r>
        <w:rPr>
          <w:rFonts w:hint="default" w:ascii="Times New Roman Regular" w:hAnsi="Times New Roman Regular" w:eastAsia="Times New Roman" w:cs="Times New Roman Regular"/>
          <w:b w:val="0"/>
          <w:i w:val="0"/>
          <w:sz w:val="22"/>
        </w:rPr>
        <w:t>Figure 3-1. System Layered Architecture Design Diagram</w:t>
      </w:r>
      <w:r>
        <w:rPr>
          <w:rFonts w:hint="default" w:ascii="Times New Roman Regular" w:hAnsi="Times New Roman Regular" w:cs="Times New Roman Regular"/>
        </w:rPr>
        <w:t xml:space="preserve">                                         </w:t>
      </w:r>
      <w:r>
        <w:rPr>
          <w:rFonts w:hint="eastAsia" w:ascii="Times New Roman Regular" w:hAnsi="Times New Roman Regular" w:eastAsia="宋体" w:cs="Times New Roman Regular"/>
          <w:lang w:val="en-US" w:eastAsia="zh-CN"/>
        </w:rPr>
        <w:t xml:space="preserve">                </w:t>
      </w:r>
      <w:r>
        <w:rPr>
          <w:rFonts w:hint="default" w:ascii="Times New Roman Regular" w:hAnsi="Times New Roman Regular" w:cs="Times New Roman Regular"/>
        </w:rPr>
        <w:t xml:space="preserve">    </w:t>
      </w:r>
      <w:r>
        <w:rPr>
          <w:rFonts w:hint="default" w:ascii="Times New Roman Regular" w:hAnsi="Times New Roman Regular" w:eastAsia="Times New Roman" w:cs="Times New Roman Regular"/>
          <w:b w:val="0"/>
          <w:i w:val="0"/>
          <w:sz w:val="22"/>
        </w:rPr>
        <w:t>8</w:t>
      </w:r>
    </w:p>
    <w:p w14:paraId="0261D409">
      <w:pPr>
        <w:spacing w:line="360" w:lineRule="auto"/>
        <w:rPr>
          <w:rFonts w:hint="default" w:ascii="Times New Roman Regular" w:hAnsi="Times New Roman Regular" w:cs="Times New Roman Regular"/>
        </w:rPr>
      </w:pPr>
      <w:r>
        <w:rPr>
          <w:rFonts w:hint="default" w:ascii="Times New Roman Regular" w:hAnsi="Times New Roman Regular" w:cs="Times New Roman Regular"/>
        </w:rPr>
        <w:br w:type="page"/>
      </w:r>
    </w:p>
    <w:p w14:paraId="3E71C3A0">
      <w:pPr>
        <w:pStyle w:val="4"/>
        <w:bidi w:val="0"/>
        <w:spacing w:line="360" w:lineRule="auto"/>
        <w:rPr>
          <w:rFonts w:hint="default" w:ascii="Times New Roman Regular" w:hAnsi="Times New Roman Regular" w:cs="Times New Roman Regular"/>
          <w:color w:val="auto"/>
        </w:rPr>
      </w:pPr>
      <w:bookmarkStart w:id="3" w:name="_Toc1058457681"/>
      <w:r>
        <w:rPr>
          <w:rFonts w:hint="default" w:ascii="Times New Roman Regular" w:hAnsi="Times New Roman Regular" w:cs="Times New Roman Regular"/>
          <w:color w:val="auto"/>
        </w:rPr>
        <w:t>Abstract</w:t>
      </w:r>
      <w:bookmarkEnd w:id="3"/>
    </w:p>
    <w:p w14:paraId="2E281469">
      <w:pPr>
        <w:spacing w:after="120" w:line="360" w:lineRule="auto"/>
        <w:rPr>
          <w:rFonts w:hint="default" w:ascii="Times New Roman Regular" w:hAnsi="Times New Roman Regular" w:cs="Times New Roman Regular"/>
          <w:color w:val="auto"/>
        </w:rPr>
      </w:pPr>
      <w:r>
        <w:rPr>
          <w:rFonts w:hint="default" w:ascii="Times New Roman Regular" w:hAnsi="Times New Roman Regular" w:eastAsia="Times New Roman" w:cs="Times New Roman Regular"/>
          <w:b w:val="0"/>
          <w:i w:val="0"/>
          <w:color w:val="auto"/>
          <w:sz w:val="22"/>
        </w:rPr>
        <w:t>Addressing the prominent industry pain points in current medical data governance—such as stark data silos, high risks of privacy leakage, susceptibility of centralized storage to single-point failures and malicious tampering, absence of cross-institutional trust mechanisms, and ambiguous access privilege controls [1]—this paper designs and implements an integrated medical data management and secure sharing system that fuses blockchain, distributed storage, and Attribute-Based Access Control (ABAC). To alleviate the hosting bottlenecks of high-concurrency and large-capacity medical images and medical record data, the system constructs a decoupled hybrid architecture featuring 'high-throughput off-chain distributed storage anchored by highly reliable on-chain hash indices' [2]. A complete prototype system has been built based on the Hyperledger Fabric consortium blockchain network and an InterPlanetary File System (IPFS) distributed cluster [3]. Concurrently, the dynamic policy decision logic of the ABAC model is deeply encapsulated into smart contracts (Chaincode), which, combined with asymmetric encryption and national cryptographic algorithms, achieves fine-grained, rigid authority control tailored for multi-institutional and multi-role scenarios [4].</w:t>
      </w:r>
    </w:p>
    <w:p w14:paraId="4326FB4C">
      <w:pPr>
        <w:spacing w:after="120" w:line="360" w:lineRule="auto"/>
        <w:rPr>
          <w:rFonts w:hint="default" w:ascii="Times New Roman Regular" w:hAnsi="Times New Roman Regular" w:cs="Times New Roman Regular"/>
          <w:color w:val="auto"/>
        </w:rPr>
      </w:pPr>
      <w:r>
        <w:rPr>
          <w:rFonts w:hint="default" w:ascii="Times New Roman Regular" w:hAnsi="Times New Roman Regular" w:eastAsia="Times New Roman" w:cs="Times New Roman Regular"/>
          <w:b w:val="0"/>
          <w:i w:val="0"/>
          <w:color w:val="auto"/>
          <w:sz w:val="22"/>
        </w:rPr>
        <w:t>In order to comprehensively stress-test and objectively evaluate the comprehensive effectiveness of the system, this paper establishes three strict experimental control groups: a traditional centralized system (MySQL), a pure hash without blockchain verification system, and a traditional manual approval control system. Cross-indicator testing was conducted across four dimensions: performance overhead, operational cost, security protection, and operation and maintenance consistency [5]. Empirical results demonstrate that the proposed system outperforms traditional medical information systems significantly in core security dimensions, achieving a malicious tampering detection rate of 98.6%, robust audit traceability completeness, and an unauthorized access interception rate with a false-negative rate reduced to 0.2% [6]. Constrained by the distributed consensus propagation of the consortium blockchain network and the parsing overhead of complex attribute policies within smart contracts, the system exhibits a minor reduction in peak throughput (TPS) and a millisecond-level increase in access latency [7]. Nevertheless, through the decoupled on-chain/off-chain storage architecture, the storage and performance bottlenecks are effectively mitigated [2]. Within the acceptable performance range of medical operations, the system achieves a comprehensive balance of secure reliability, controlled sharing, privacy protection, and full-course auditability, providing an actionable, referenceable technical solution and reference model for the trustworthy circulation of data assets under the smart healthcare framework [9].</w:t>
      </w:r>
    </w:p>
    <w:p w14:paraId="7B6950E1">
      <w:pPr>
        <w:spacing w:before="240" w:line="360" w:lineRule="auto"/>
        <w:rPr>
          <w:rFonts w:hint="default" w:ascii="Times New Roman Regular" w:hAnsi="Times New Roman Regular" w:eastAsia="Times New Roman" w:cs="Times New Roman Regular"/>
          <w:b/>
          <w:i w:val="0"/>
          <w:color w:val="auto"/>
          <w:sz w:val="22"/>
        </w:rPr>
      </w:pPr>
    </w:p>
    <w:p w14:paraId="030FA25B">
      <w:pPr>
        <w:spacing w:before="240" w:line="360" w:lineRule="auto"/>
        <w:rPr>
          <w:rFonts w:hint="default" w:ascii="Times New Roman Regular" w:hAnsi="Times New Roman Regular" w:cs="Times New Roman Regular"/>
          <w:color w:val="auto"/>
        </w:rPr>
      </w:pPr>
      <w:r>
        <w:rPr>
          <w:rFonts w:hint="default" w:ascii="Times New Roman Regular" w:hAnsi="Times New Roman Regular" w:eastAsia="Times New Roman" w:cs="Times New Roman Regular"/>
          <w:b/>
          <w:i w:val="0"/>
          <w:color w:val="auto"/>
          <w:sz w:val="22"/>
        </w:rPr>
        <w:t xml:space="preserve">Keywords: </w:t>
      </w:r>
      <w:r>
        <w:rPr>
          <w:rFonts w:hint="default" w:ascii="Times New Roman Regular" w:hAnsi="Times New Roman Regular" w:eastAsia="Times New Roman" w:cs="Times New Roman Regular"/>
          <w:b w:val="0"/>
          <w:i w:val="0"/>
          <w:color w:val="auto"/>
          <w:sz w:val="22"/>
        </w:rPr>
        <w:t>Blockchain; Medical Data; Data Sharing; Privacy Protection; Access Control; Smart Contract</w:t>
      </w:r>
    </w:p>
    <w:p w14:paraId="5CEE3C3D">
      <w:pPr>
        <w:pStyle w:val="4"/>
        <w:bidi w:val="0"/>
        <w:spacing w:line="360" w:lineRule="auto"/>
        <w:rPr>
          <w:rFonts w:hint="default" w:ascii="Times New Roman Regular" w:hAnsi="Times New Roman Regular" w:cs="Times New Roman Regular"/>
          <w:color w:val="auto"/>
        </w:rPr>
      </w:pPr>
      <w:bookmarkStart w:id="4" w:name="_Toc1891196466"/>
      <w:r>
        <w:rPr>
          <w:rFonts w:hint="default" w:ascii="Times New Roman Regular" w:hAnsi="Times New Roman Regular" w:cs="Times New Roman Regular"/>
          <w:color w:val="auto"/>
        </w:rPr>
        <w:t>1 Introduction</w:t>
      </w:r>
      <w:bookmarkEnd w:id="4"/>
    </w:p>
    <w:p w14:paraId="4B35ECBF">
      <w:pPr>
        <w:pStyle w:val="5"/>
        <w:bidi w:val="0"/>
        <w:spacing w:line="360" w:lineRule="auto"/>
        <w:rPr>
          <w:rFonts w:hint="default" w:ascii="Times New Roman Regular" w:hAnsi="Times New Roman Regular" w:cs="Times New Roman Regular"/>
          <w:color w:val="auto"/>
        </w:rPr>
      </w:pPr>
      <w:bookmarkStart w:id="5" w:name="_Toc433544815"/>
      <w:r>
        <w:rPr>
          <w:rFonts w:hint="default" w:ascii="Times New Roman Regular" w:hAnsi="Times New Roman Regular" w:cs="Times New Roman Regular"/>
          <w:color w:val="auto"/>
        </w:rPr>
        <w:t>1.1 Research Background and Significance</w:t>
      </w:r>
      <w:bookmarkEnd w:id="5"/>
    </w:p>
    <w:p w14:paraId="4404312A">
      <w:pPr>
        <w:spacing w:after="120" w:line="360" w:lineRule="auto"/>
        <w:rPr>
          <w:rFonts w:hint="default" w:ascii="Times New Roman Regular" w:hAnsi="Times New Roman Regular" w:cs="Times New Roman Regular"/>
          <w:color w:val="auto"/>
        </w:rPr>
      </w:pPr>
      <w:r>
        <w:rPr>
          <w:rFonts w:hint="default" w:ascii="Times New Roman Regular" w:hAnsi="Times New Roman Regular" w:eastAsia="Times New Roman" w:cs="Times New Roman Regular"/>
          <w:b w:val="0"/>
          <w:i w:val="0"/>
          <w:color w:val="auto"/>
          <w:sz w:val="22"/>
        </w:rPr>
        <w:t>The profound advancement of smart medical care and digital health strategies has led to the comprehensive implementation of application scenarios such as Electronic Health Records (EHR), modern medical imaging (DICOM), remote collaborative consultation, and cross-regional precision medicine. Consequently, medical data is exhibiting distinct characteristics of explosive growth, high heterogeneity, and high-frequency circulation [1]. Medical data is not only the core support for clinical doctors' diagnostic decisions, but also a crucial production factor for national strategic research, including medical scientific research, epidemiological investigations, and new drug development [2]. How to achieve secure management and highly efficient, trustworthy sharing of medical data among multi-center medical institutions has become an urgent bottleneck problem to be solved in medical digital transformation [3].</w:t>
      </w:r>
    </w:p>
    <w:p w14:paraId="7DB6A558">
      <w:pPr>
        <w:spacing w:after="120" w:line="360" w:lineRule="auto"/>
        <w:rPr>
          <w:rFonts w:hint="default" w:ascii="Times New Roman Regular" w:hAnsi="Times New Roman Regular" w:cs="Times New Roman Regular"/>
          <w:color w:val="auto"/>
        </w:rPr>
      </w:pPr>
      <w:r>
        <w:rPr>
          <w:rFonts w:hint="default" w:ascii="Times New Roman Regular" w:hAnsi="Times New Roman Regular" w:eastAsia="Times New Roman" w:cs="Times New Roman Regular"/>
          <w:b w:val="0"/>
          <w:i w:val="0"/>
          <w:color w:val="auto"/>
          <w:sz w:val="22"/>
        </w:rPr>
        <w:t>However, at the current stage, the construction of medical information systems generally suffers from severe 'data silo' phenomena, where systems across various medical institutions operate independently and lack cross-institutional trust endorsement mechanisms [4]. The topological structure of traditional centralized medical databases is fragile, making them extremely vulnerable to malicious tampering by internal senior operations personnel or targeted cyber-attacks by external hackers. Once a data breach occurs, it will inflict irreversible losses on patients' personal privacy and the reputation of medical institutions [5]. In addition, current authority controls mostly rely on coarse-grained role mechanisms that are incapable of sensing variables such as the time, location, and real-time network conditions of the access request, leading to persistently high risks of unauthorized access and data abuse [6]. Therefore, building a decentralized, tamper-proof, fine-grained, and fully audited multi-center medical data circulation platform possesses profound theoretical research value and substantial practical engineering significance [7].</w:t>
      </w:r>
    </w:p>
    <w:p w14:paraId="3C2514D8">
      <w:pPr>
        <w:pStyle w:val="5"/>
        <w:bidi w:val="0"/>
        <w:spacing w:line="360" w:lineRule="auto"/>
        <w:rPr>
          <w:rFonts w:hint="default" w:ascii="Times New Roman Regular" w:hAnsi="Times New Roman Regular" w:cs="Times New Roman Regular"/>
          <w:color w:val="auto"/>
        </w:rPr>
      </w:pPr>
      <w:bookmarkStart w:id="6" w:name="_Toc175691434"/>
      <w:r>
        <w:rPr>
          <w:rFonts w:hint="default" w:ascii="Times New Roman Regular" w:hAnsi="Times New Roman Regular" w:cs="Times New Roman Regular"/>
          <w:color w:val="auto"/>
        </w:rPr>
        <w:t>1.2 Current Research Status at Home and Abroad</w:t>
      </w:r>
      <w:bookmarkEnd w:id="6"/>
    </w:p>
    <w:p w14:paraId="0D0868B4">
      <w:pPr>
        <w:spacing w:after="120" w:line="360" w:lineRule="auto"/>
        <w:rPr>
          <w:rFonts w:hint="default" w:ascii="Times New Roman Regular" w:hAnsi="Times New Roman Regular" w:cs="Times New Roman Regular"/>
          <w:color w:val="auto"/>
        </w:rPr>
      </w:pPr>
      <w:r>
        <w:rPr>
          <w:rFonts w:hint="default" w:ascii="Times New Roman Regular" w:hAnsi="Times New Roman Regular" w:eastAsia="Times New Roman" w:cs="Times New Roman Regular"/>
          <w:b w:val="0"/>
          <w:i w:val="0"/>
          <w:color w:val="auto"/>
          <w:sz w:val="22"/>
        </w:rPr>
        <w:t>Reviewing the evolutionary path of domestic and international academic and engineering fields in medical data governance over recent years, research based on distributed ledgers primarily focuses on three core directions [3,4].</w:t>
      </w:r>
    </w:p>
    <w:p w14:paraId="239A31AC">
      <w:pPr>
        <w:spacing w:after="120" w:line="360" w:lineRule="auto"/>
        <w:rPr>
          <w:rFonts w:hint="default" w:ascii="Times New Roman Regular" w:hAnsi="Times New Roman Regular" w:cs="Times New Roman Regular"/>
          <w:color w:val="auto"/>
        </w:rPr>
      </w:pPr>
      <w:r>
        <w:rPr>
          <w:rFonts w:hint="default" w:ascii="Times New Roman Regular" w:hAnsi="Times New Roman Regular" w:eastAsia="Times New Roman" w:cs="Times New Roman Regular"/>
          <w:b w:val="0"/>
          <w:i w:val="0"/>
          <w:color w:val="auto"/>
          <w:sz w:val="22"/>
        </w:rPr>
        <w:t>The first is blockchain-based data attestation research centered on data integrity and non-repudiation. Early scholars frequently utilized the irreversible chain structure of public or consortium blockchains to upload the characteristic values (hashes) of medical data for static solidification, verifying whether data had been tampered with through two-way comparison [5]. While this pattern effectively enhanced data trustworthiness, due to the multi-source and massive volume nature of the original data, it generally suffered from bottlenecks such as prohibitively high on-chain storage costs and insufficient write efficiency, making it difficult to directly adapt to high-concurrency scenarios [2].</w:t>
      </w:r>
    </w:p>
    <w:p w14:paraId="5E70ED1C">
      <w:pPr>
        <w:spacing w:after="120" w:line="360" w:lineRule="auto"/>
        <w:rPr>
          <w:rFonts w:hint="default" w:ascii="Times New Roman Regular" w:hAnsi="Times New Roman Regular" w:cs="Times New Roman Regular"/>
          <w:color w:val="auto"/>
        </w:rPr>
      </w:pPr>
      <w:r>
        <w:rPr>
          <w:rFonts w:hint="default" w:ascii="Times New Roman Regular" w:hAnsi="Times New Roman Regular" w:eastAsia="Times New Roman" w:cs="Times New Roman Regular"/>
          <w:b w:val="0"/>
          <w:i w:val="0"/>
          <w:color w:val="auto"/>
          <w:sz w:val="22"/>
        </w:rPr>
        <w:t>The second is research on cross-institutional data sharing and interoperability. With the explosion of demand for multi-center medical collaboration, researchers began to construct multi-node sharing networks relying on consortium blockchain platforms such as Hyperledger Fabric or FISCO BCOS [9]. However, many existing schemes still display insufficient system throughput (TPS) when facing wide-area network multi-institution high-concurrency read/write operations, and their isolation and protection methods for sensitive privacy data are overly singular, failing to perfectly harmonize high privacy with fine-grained access control [10].</w:t>
      </w:r>
    </w:p>
    <w:p w14:paraId="4A4FB4EF">
      <w:pPr>
        <w:spacing w:after="120" w:line="360" w:lineRule="auto"/>
        <w:rPr>
          <w:rFonts w:hint="default" w:ascii="Times New Roman Regular" w:hAnsi="Times New Roman Regular" w:cs="Times New Roman Regular"/>
          <w:color w:val="auto"/>
        </w:rPr>
      </w:pPr>
      <w:r>
        <w:rPr>
          <w:rFonts w:hint="default" w:ascii="Times New Roman Regular" w:hAnsi="Times New Roman Regular" w:eastAsia="Times New Roman" w:cs="Times New Roman Regular"/>
          <w:b w:val="0"/>
          <w:i w:val="0"/>
          <w:color w:val="auto"/>
          <w:sz w:val="22"/>
        </w:rPr>
        <w:t>Finally, there is the research mechanism on smart contract-based dynamic access control. To break free from the inefficiency and uncertainty of traditional manual approvals, academia has progressively introduced the Attribute-Based Access Control (ABAC) model, translating its core decision-making logic into automatically triggerable smart contract code [11]. Yet, in actual deployment scenarios, the parsing of complex policy trees is often accompanied by high execution latency and resource overhead within smart contracts. How to guarantee fine-grained dynamic power control while narrowing performance loss remains the vanguard focus of current research [12].</w:t>
      </w:r>
    </w:p>
    <w:p w14:paraId="68318820">
      <w:pPr>
        <w:pStyle w:val="4"/>
        <w:bidi w:val="0"/>
        <w:spacing w:line="360" w:lineRule="auto"/>
        <w:rPr>
          <w:rFonts w:hint="default" w:ascii="Times New Roman Regular" w:hAnsi="Times New Roman Regular" w:cs="Times New Roman Regular"/>
          <w:color w:val="auto"/>
        </w:rPr>
      </w:pPr>
      <w:bookmarkStart w:id="7" w:name="_Toc55916613"/>
      <w:r>
        <w:rPr>
          <w:rFonts w:hint="default" w:ascii="Times New Roman Regular" w:hAnsi="Times New Roman Regular" w:cs="Times New Roman Regular"/>
          <w:color w:val="auto"/>
        </w:rPr>
        <w:t>2 Relevant Technological Foundations</w:t>
      </w:r>
      <w:bookmarkEnd w:id="7"/>
    </w:p>
    <w:p w14:paraId="025FEBA9">
      <w:pPr>
        <w:pStyle w:val="5"/>
        <w:bidi w:val="0"/>
        <w:spacing w:line="360" w:lineRule="auto"/>
        <w:rPr>
          <w:rFonts w:hint="default" w:ascii="Times New Roman Regular" w:hAnsi="Times New Roman Regular" w:cs="Times New Roman Regular"/>
          <w:color w:val="auto"/>
        </w:rPr>
      </w:pPr>
      <w:bookmarkStart w:id="8" w:name="_Toc1340160952"/>
      <w:r>
        <w:rPr>
          <w:rFonts w:hint="default" w:ascii="Times New Roman Regular" w:hAnsi="Times New Roman Regular" w:cs="Times New Roman Regular"/>
          <w:color w:val="auto"/>
        </w:rPr>
        <w:t>2.1 Consortium Blockchain and Hyperledger Fabric</w:t>
      </w:r>
      <w:bookmarkEnd w:id="8"/>
    </w:p>
    <w:p w14:paraId="4DA06552">
      <w:pPr>
        <w:spacing w:after="120" w:line="360" w:lineRule="auto"/>
        <w:rPr>
          <w:rFonts w:hint="default" w:ascii="Times New Roman Regular" w:hAnsi="Times New Roman Regular" w:cs="Times New Roman Regular"/>
          <w:color w:val="auto"/>
        </w:rPr>
      </w:pPr>
      <w:r>
        <w:rPr>
          <w:rFonts w:hint="default" w:ascii="Times New Roman Regular" w:hAnsi="Times New Roman Regular" w:eastAsia="Times New Roman" w:cs="Times New Roman Regular"/>
          <w:b w:val="0"/>
          <w:i w:val="0"/>
          <w:color w:val="auto"/>
          <w:sz w:val="22"/>
        </w:rPr>
        <w:t>Blockchain technology is essentially a distributed shared ledger concatenated by cryptographic algorithms. Within the Hyperledger Fabric consortium blockchain architecture adopted by this study [16], its core elements and mainstream operating mechanisms are as follows [3,9]:</w:t>
      </w:r>
    </w:p>
    <w:p w14:paraId="4F76F877">
      <w:pPr>
        <w:pStyle w:val="16"/>
        <w:spacing w:after="80" w:line="360" w:lineRule="auto"/>
        <w:rPr>
          <w:rFonts w:hint="default" w:ascii="Times New Roman Regular" w:hAnsi="Times New Roman Regular" w:cs="Times New Roman Regular"/>
          <w:color w:val="auto"/>
        </w:rPr>
      </w:pPr>
      <w:r>
        <w:rPr>
          <w:rFonts w:hint="default" w:ascii="Times New Roman Regular" w:hAnsi="Times New Roman Regular" w:eastAsia="Times New Roman" w:cs="Times New Roman Regular"/>
          <w:b/>
          <w:i w:val="0"/>
          <w:color w:val="auto"/>
          <w:sz w:val="22"/>
        </w:rPr>
        <w:t xml:space="preserve">Blockchain Topology: </w:t>
      </w:r>
      <w:r>
        <w:rPr>
          <w:rFonts w:hint="default" w:ascii="Times New Roman Regular" w:hAnsi="Times New Roman Regular" w:eastAsia="Times New Roman" w:cs="Times New Roman Regular"/>
          <w:b w:val="0"/>
          <w:i w:val="0"/>
          <w:color w:val="auto"/>
          <w:sz w:val="22"/>
        </w:rPr>
        <w:t>A block consists of a Block Header and Block Data. The Block Header encapsulates the cryptographic hash of the previous block, the Merkle tree root hash of the current block, and a global timestamp. Any minute alteration to historical transaction data will trigger a severe avalanche effect in the hash chain, thereby fundamentally eliminating the possibility of data being manually erased or tampered with [13].</w:t>
      </w:r>
    </w:p>
    <w:p w14:paraId="68A090B4">
      <w:pPr>
        <w:pStyle w:val="16"/>
        <w:spacing w:after="80" w:line="360" w:lineRule="auto"/>
        <w:rPr>
          <w:rFonts w:hint="default" w:ascii="Times New Roman Regular" w:hAnsi="Times New Roman Regular" w:cs="Times New Roman Regular"/>
          <w:color w:val="auto"/>
        </w:rPr>
      </w:pPr>
      <w:r>
        <w:rPr>
          <w:rFonts w:hint="default" w:ascii="Times New Roman Regular" w:hAnsi="Times New Roman Regular" w:eastAsia="Times New Roman" w:cs="Times New Roman Regular"/>
          <w:b/>
          <w:i w:val="0"/>
          <w:color w:val="auto"/>
          <w:sz w:val="22"/>
        </w:rPr>
        <w:t xml:space="preserve">Fine-Grained Membership Service Provider (MSP): </w:t>
      </w:r>
      <w:r>
        <w:rPr>
          <w:rFonts w:hint="default" w:ascii="Times New Roman Regular" w:hAnsi="Times New Roman Regular" w:eastAsia="Times New Roman" w:cs="Times New Roman Regular"/>
          <w:b w:val="0"/>
          <w:i w:val="0"/>
          <w:color w:val="auto"/>
          <w:sz w:val="22"/>
        </w:rPr>
        <w:t>Unlike anonymous public blockchains such as Bitcoin, Fabric introduces a rigid CA certificate authentication hierarchy through the Membership Service Provider (MSP). Only medical institutions, clinical physicians, and patient nodes that have passed strict verification are permitted to connect to the network. This naturally aligns with the stringent compliance requirements for subject identity in the medical industry [9].</w:t>
      </w:r>
    </w:p>
    <w:p w14:paraId="74B5D69B">
      <w:pPr>
        <w:pStyle w:val="16"/>
        <w:spacing w:after="80" w:line="360" w:lineRule="auto"/>
        <w:rPr>
          <w:rFonts w:hint="default" w:ascii="Times New Roman Regular" w:hAnsi="Times New Roman Regular" w:cs="Times New Roman Regular"/>
          <w:color w:val="auto"/>
        </w:rPr>
      </w:pPr>
      <w:r>
        <w:rPr>
          <w:rFonts w:hint="default" w:ascii="Times New Roman Regular" w:hAnsi="Times New Roman Regular" w:eastAsia="Times New Roman" w:cs="Times New Roman Regular"/>
          <w:b/>
          <w:i w:val="0"/>
          <w:color w:val="auto"/>
          <w:sz w:val="22"/>
        </w:rPr>
        <w:t xml:space="preserve">Smart Contract (Chaincode): </w:t>
      </w:r>
      <w:r>
        <w:rPr>
          <w:rFonts w:hint="default" w:ascii="Times New Roman Regular" w:hAnsi="Times New Roman Regular" w:eastAsia="Times New Roman" w:cs="Times New Roman Regular"/>
          <w:b w:val="0"/>
          <w:i w:val="0"/>
          <w:color w:val="auto"/>
          <w:sz w:val="22"/>
        </w:rPr>
        <w:t>Executable distributed script code pre-deployed on peer nodes of the consortium blockchain. In this system, business logic and ABAC policy matching rules are solidified into chaincode. Once deployed, they are executed jointly and compulsorily by all nodes across the network, eradicating the 'trust-seeking' space of centralized human intervention [11].</w:t>
      </w:r>
    </w:p>
    <w:p w14:paraId="170BDD47">
      <w:pPr>
        <w:pStyle w:val="5"/>
        <w:bidi w:val="0"/>
        <w:spacing w:line="360" w:lineRule="auto"/>
        <w:rPr>
          <w:rFonts w:hint="default" w:ascii="Times New Roman Regular" w:hAnsi="Times New Roman Regular" w:cs="Times New Roman Regular"/>
          <w:color w:val="auto"/>
        </w:rPr>
      </w:pPr>
      <w:bookmarkStart w:id="9" w:name="_Toc1276630528"/>
      <w:r>
        <w:rPr>
          <w:rFonts w:hint="default" w:ascii="Times New Roman Regular" w:hAnsi="Times New Roman Regular" w:cs="Times New Roman Regular"/>
          <w:color w:val="auto"/>
        </w:rPr>
        <w:t>2.2 InterPlanetary File System (IPFS) Distributed Storage</w:t>
      </w:r>
      <w:bookmarkEnd w:id="9"/>
    </w:p>
    <w:p w14:paraId="238BCEF2">
      <w:pPr>
        <w:spacing w:after="120" w:line="360" w:lineRule="auto"/>
        <w:rPr>
          <w:rFonts w:hint="default" w:ascii="Times New Roman Regular" w:hAnsi="Times New Roman Regular" w:cs="Times New Roman Regular"/>
          <w:color w:val="auto"/>
        </w:rPr>
      </w:pPr>
      <w:r>
        <w:rPr>
          <w:rFonts w:hint="default" w:ascii="Times New Roman Regular" w:hAnsi="Times New Roman Regular" w:eastAsia="Times New Roman" w:cs="Times New Roman Regular"/>
          <w:b w:val="0"/>
          <w:i w:val="0"/>
          <w:color w:val="auto"/>
          <w:sz w:val="22"/>
        </w:rPr>
        <w:t>The InterPlanetary File System (IPFS) is a content-addressed, peer-to-peer distributed hypermedia transmission protocol [2].</w:t>
      </w:r>
    </w:p>
    <w:p w14:paraId="05B0630E">
      <w:pPr>
        <w:pStyle w:val="16"/>
        <w:spacing w:after="80" w:line="360" w:lineRule="auto"/>
        <w:rPr>
          <w:rFonts w:hint="default" w:ascii="Times New Roman Regular" w:hAnsi="Times New Roman Regular" w:cs="Times New Roman Regular"/>
          <w:color w:val="auto"/>
        </w:rPr>
      </w:pPr>
      <w:r>
        <w:rPr>
          <w:rFonts w:hint="default" w:ascii="Times New Roman Regular" w:hAnsi="Times New Roman Regular" w:eastAsia="Times New Roman" w:cs="Times New Roman Regular"/>
          <w:b/>
          <w:i w:val="0"/>
          <w:color w:val="auto"/>
          <w:sz w:val="22"/>
        </w:rPr>
        <w:t xml:space="preserve">Content Addressing Mechanism: </w:t>
      </w:r>
      <w:r>
        <w:rPr>
          <w:rFonts w:hint="default" w:ascii="Times New Roman Regular" w:hAnsi="Times New Roman Regular" w:eastAsia="Times New Roman" w:cs="Times New Roman Regular"/>
          <w:b w:val="0"/>
          <w:i w:val="0"/>
          <w:color w:val="auto"/>
          <w:sz w:val="22"/>
        </w:rPr>
        <w:t>In an IPFS network, files are no longer addressed via traditional URL domain names and IP paths; instead, cryptographic hash calculations are performed directly on the file content to generate a globally unique 256-bit hash value acting as the Content Identifier (CID). If the contents of two files are perfectly identical, their CIDs must be identical; if the content changes by a single bit, the CID will be completely reconstructed [14].</w:t>
      </w:r>
    </w:p>
    <w:p w14:paraId="30E79D57">
      <w:pPr>
        <w:pStyle w:val="16"/>
        <w:spacing w:after="80" w:line="360" w:lineRule="auto"/>
        <w:rPr>
          <w:rFonts w:hint="default" w:ascii="Times New Roman Regular" w:hAnsi="Times New Roman Regular" w:cs="Times New Roman Regular"/>
          <w:color w:val="auto"/>
        </w:rPr>
      </w:pPr>
      <w:r>
        <w:rPr>
          <w:rFonts w:hint="default" w:ascii="Times New Roman Regular" w:hAnsi="Times New Roman Regular" w:eastAsia="Times New Roman" w:cs="Times New Roman Regular"/>
          <w:b/>
          <w:i w:val="0"/>
          <w:color w:val="auto"/>
          <w:sz w:val="22"/>
        </w:rPr>
        <w:t xml:space="preserve">Distributed Synergy: </w:t>
      </w:r>
      <w:r>
        <w:rPr>
          <w:rFonts w:hint="default" w:ascii="Times New Roman Regular" w:hAnsi="Times New Roman Regular" w:eastAsia="Times New Roman" w:cs="Times New Roman Regular"/>
          <w:b w:val="0"/>
          <w:i w:val="0"/>
          <w:color w:val="auto"/>
          <w:sz w:val="22"/>
        </w:rPr>
        <w:t>Storing high-capacity, heterogeneous original medical records and DICOM imaging reports within an IPFS distributed cluster, while writing only the lightweight CID index back to the blockchain ledger, can perfectly relieve the storage burden of the consortium blockchain and realize infinite horizontal expansion of storage space [15].</w:t>
      </w:r>
    </w:p>
    <w:p w14:paraId="6E93F64C">
      <w:pPr>
        <w:pStyle w:val="5"/>
        <w:bidi w:val="0"/>
        <w:spacing w:line="360" w:lineRule="auto"/>
        <w:rPr>
          <w:rFonts w:hint="default" w:ascii="Times New Roman Regular" w:hAnsi="Times New Roman Regular" w:cs="Times New Roman Regular"/>
          <w:color w:val="auto"/>
        </w:rPr>
      </w:pPr>
      <w:bookmarkStart w:id="10" w:name="_Toc820166919"/>
      <w:r>
        <w:rPr>
          <w:rFonts w:hint="default" w:ascii="Times New Roman Regular" w:hAnsi="Times New Roman Regular" w:cs="Times New Roman Regular"/>
          <w:color w:val="auto"/>
        </w:rPr>
        <w:t>2.3 Attribute-Based Access Control (ABAC) Model</w:t>
      </w:r>
      <w:bookmarkEnd w:id="10"/>
    </w:p>
    <w:p w14:paraId="162ED6EB">
      <w:pPr>
        <w:spacing w:after="120" w:line="360" w:lineRule="auto"/>
        <w:rPr>
          <w:rFonts w:hint="default" w:ascii="Times New Roman Regular" w:hAnsi="Times New Roman Regular" w:cs="Times New Roman Regular"/>
          <w:color w:val="auto"/>
        </w:rPr>
      </w:pPr>
      <w:r>
        <w:rPr>
          <w:rFonts w:hint="default" w:ascii="Times New Roman Regular" w:hAnsi="Times New Roman Regular" w:eastAsia="Times New Roman" w:cs="Times New Roman Regular"/>
          <w:b w:val="0"/>
          <w:i w:val="0"/>
          <w:color w:val="auto"/>
          <w:sz w:val="22"/>
        </w:rPr>
        <w:t>Aiming at complex privilege control requirements such as cross-role crossing, dynamic authorization, and temporary emergency data allocation in cross-institutional medical circulation scenarios, traditional Role-Based Access Control (RBAC) easily triggers 'role explosion' and privilege lag vulnerabilities. The Attribute-Based Access Control (ABAC) model introduced in this paper abstracts subjects, objects, and environments into multi-dimensional attribute dictionaries, executing formalized Boolean logic matching via smart contracts [3]. Its core evaluation decision formula is as follows:</w:t>
      </w:r>
    </w:p>
    <w:p w14:paraId="0000001B">
      <w:pPr>
        <w:pBdr>
          <w:top w:val="none" w:color="auto" w:sz="0" w:space="0"/>
          <w:left w:val="none" w:color="auto" w:sz="0" w:space="0"/>
          <w:bottom w:val="none" w:color="auto" w:sz="0" w:space="0"/>
          <w:right w:val="none" w:color="auto" w:sz="0" w:space="0"/>
          <w:between w:val="none" w:color="auto" w:sz="0" w:space="0"/>
        </w:pBdr>
        <w:shd w:val="clear" w:fill="auto"/>
        <w:spacing w:line="360" w:lineRule="auto"/>
        <w:rPr>
          <w:rFonts w:hint="default" w:ascii="Times New Roman Regular" w:hAnsi="Times New Roman Regular" w:eastAsia="Times New Roman" w:cs="Times New Roman Regular"/>
          <w:color w:val="auto"/>
        </w:rPr>
      </w:pPr>
    </w:p>
    <w:p w14:paraId="073288C7">
      <w:pPr>
        <w:spacing w:after="120" w:line="360" w:lineRule="auto"/>
        <w:rPr>
          <w:rFonts w:hint="default" w:hAnsi="DejaVu Math TeX Gyre" w:eastAsia="Times New Roman"/>
          <w:i w:val="0"/>
          <w:color w:val="auto"/>
          <w:sz w:val="22"/>
        </w:rPr>
      </w:pPr>
      <m:oMathPara>
        <m:oMath>
          <m:r>
            <m:rPr/>
            <w:rPr>
              <w:rFonts w:hint="default" w:ascii="DejaVu Math TeX Gyre" w:hAnsi="DejaVu Math TeX Gyre" w:eastAsia="Times New Roman"/>
              <w:color w:val="auto"/>
              <w:sz w:val="22"/>
            </w:rPr>
            <m:t>Access_Decision=f(</m:t>
          </m:r>
          <m:sSub>
            <m:sSubPr>
              <m:ctrlPr>
                <w:rPr>
                  <w:rFonts w:hint="default" w:ascii="DejaVu Math TeX Gyre" w:hAnsi="DejaVu Math TeX Gyre" w:eastAsia="Times New Roman"/>
                  <w:color w:val="auto"/>
                  <w:sz w:val="22"/>
                </w:rPr>
              </m:ctrlPr>
            </m:sSubPr>
            <m:e>
              <m:r>
                <m:rPr/>
                <w:rPr>
                  <w:rFonts w:hint="default" w:ascii="DejaVu Math TeX Gyre" w:hAnsi="DejaVu Math TeX Gyre" w:eastAsia="Times New Roman"/>
                  <w:color w:val="auto"/>
                  <w:sz w:val="22"/>
                </w:rPr>
                <m:t>U</m:t>
              </m:r>
              <m:ctrlPr>
                <w:rPr>
                  <w:rFonts w:ascii="DejaVu Math TeX Gyre" w:hAnsi="DejaVu Math TeX Gyre" w:eastAsia="Times New Roman"/>
                  <w:color w:val="auto"/>
                  <w:sz w:val="22"/>
                </w:rPr>
              </m:ctrlPr>
            </m:e>
            <m:sub>
              <m:r>
                <m:rPr/>
                <w:rPr>
                  <w:rFonts w:hint="default" w:ascii="DejaVu Math TeX Gyre" w:hAnsi="DejaVu Math TeX Gyre" w:eastAsia="Times New Roman"/>
                  <w:color w:val="auto"/>
                  <w:sz w:val="22"/>
                </w:rPr>
                <m:t>A</m:t>
              </m:r>
              <m:ctrlPr>
                <w:rPr>
                  <w:rFonts w:ascii="DejaVu Math TeX Gyre" w:hAnsi="DejaVu Math TeX Gyre" w:eastAsia="Times New Roman"/>
                  <w:color w:val="auto"/>
                  <w:sz w:val="22"/>
                </w:rPr>
              </m:ctrlPr>
            </m:sub>
          </m:sSub>
          <m:r>
            <m:rPr/>
            <w:rPr>
              <w:rFonts w:hint="default" w:ascii="DejaVu Math TeX Gyre" w:hAnsi="DejaVu Math TeX Gyre" w:eastAsia="Times New Roman"/>
              <w:color w:val="auto"/>
              <w:sz w:val="22"/>
            </w:rPr>
            <m:t>,</m:t>
          </m:r>
          <m:sSub>
            <m:sSubPr>
              <m:ctrlPr>
                <w:rPr>
                  <w:rFonts w:hint="default" w:ascii="DejaVu Math TeX Gyre" w:hAnsi="DejaVu Math TeX Gyre" w:eastAsia="Times New Roman"/>
                  <w:color w:val="auto"/>
                  <w:sz w:val="22"/>
                </w:rPr>
              </m:ctrlPr>
            </m:sSubPr>
            <m:e>
              <m:r>
                <m:rPr/>
                <w:rPr>
                  <w:rFonts w:hint="default" w:ascii="DejaVu Math TeX Gyre" w:hAnsi="DejaVu Math TeX Gyre" w:eastAsia="Times New Roman"/>
                  <w:color w:val="auto"/>
                  <w:sz w:val="22"/>
                </w:rPr>
                <m:t>R</m:t>
              </m:r>
              <m:ctrlPr>
                <w:rPr>
                  <w:rFonts w:ascii="DejaVu Math TeX Gyre" w:hAnsi="DejaVu Math TeX Gyre" w:eastAsia="Times New Roman"/>
                  <w:color w:val="auto"/>
                  <w:sz w:val="22"/>
                </w:rPr>
              </m:ctrlPr>
            </m:e>
            <m:sub>
              <m:r>
                <m:rPr/>
                <w:rPr>
                  <w:rFonts w:hint="default" w:ascii="DejaVu Math TeX Gyre" w:hAnsi="DejaVu Math TeX Gyre" w:eastAsia="Times New Roman"/>
                  <w:color w:val="auto"/>
                  <w:sz w:val="22"/>
                </w:rPr>
                <m:t>A</m:t>
              </m:r>
              <m:ctrlPr>
                <w:rPr>
                  <w:rFonts w:ascii="DejaVu Math TeX Gyre" w:hAnsi="DejaVu Math TeX Gyre" w:eastAsia="Times New Roman"/>
                  <w:color w:val="auto"/>
                  <w:sz w:val="22"/>
                </w:rPr>
              </m:ctrlPr>
            </m:sub>
          </m:sSub>
          <m:r>
            <m:rPr/>
            <w:rPr>
              <w:rFonts w:hint="default" w:ascii="DejaVu Math TeX Gyre" w:hAnsi="DejaVu Math TeX Gyre" w:eastAsia="Times New Roman"/>
              <w:color w:val="auto"/>
              <w:sz w:val="22"/>
            </w:rPr>
            <m:t>,</m:t>
          </m:r>
          <m:sSub>
            <m:sSubPr>
              <m:ctrlPr>
                <w:rPr>
                  <w:rFonts w:hint="default" w:ascii="DejaVu Math TeX Gyre" w:hAnsi="DejaVu Math TeX Gyre" w:eastAsia="Times New Roman"/>
                  <w:color w:val="auto"/>
                  <w:sz w:val="22"/>
                </w:rPr>
              </m:ctrlPr>
            </m:sSubPr>
            <m:e>
              <m:r>
                <m:rPr/>
                <w:rPr>
                  <w:rFonts w:hint="default" w:ascii="DejaVu Math TeX Gyre" w:hAnsi="DejaVu Math TeX Gyre" w:eastAsia="Times New Roman"/>
                  <w:color w:val="auto"/>
                  <w:sz w:val="22"/>
                </w:rPr>
                <m:t>E</m:t>
              </m:r>
              <m:ctrlPr>
                <w:rPr>
                  <w:rFonts w:ascii="DejaVu Math TeX Gyre" w:hAnsi="DejaVu Math TeX Gyre" w:eastAsia="Times New Roman"/>
                  <w:color w:val="auto"/>
                  <w:sz w:val="22"/>
                </w:rPr>
              </m:ctrlPr>
            </m:e>
            <m:sub>
              <m:r>
                <m:rPr/>
                <w:rPr>
                  <w:rFonts w:hint="default" w:ascii="DejaVu Math TeX Gyre" w:hAnsi="DejaVu Math TeX Gyre" w:eastAsia="Times New Roman"/>
                  <w:color w:val="auto"/>
                  <w:sz w:val="22"/>
                </w:rPr>
                <m:t>A</m:t>
              </m:r>
              <m:ctrlPr>
                <w:rPr>
                  <w:rFonts w:ascii="DejaVu Math TeX Gyre" w:hAnsi="DejaVu Math TeX Gyre" w:eastAsia="Times New Roman"/>
                  <w:color w:val="auto"/>
                  <w:sz w:val="22"/>
                </w:rPr>
              </m:ctrlPr>
            </m:sub>
          </m:sSub>
          <m:r>
            <m:rPr/>
            <w:rPr>
              <w:rFonts w:hint="default" w:ascii="DejaVu Math TeX Gyre" w:hAnsi="DejaVu Math TeX Gyre" w:eastAsia="Times New Roman"/>
              <w:color w:val="auto"/>
              <w:sz w:val="22"/>
            </w:rPr>
            <m:t>,P)</m:t>
          </m:r>
        </m:oMath>
      </m:oMathPara>
    </w:p>
    <w:p w14:paraId="1B881817">
      <w:pPr>
        <w:spacing w:after="120" w:line="360" w:lineRule="auto"/>
        <w:rPr>
          <w:rFonts w:hint="default" w:ascii="Times New Roman Regular" w:hAnsi="Times New Roman Regular" w:cs="Times New Roman Regular"/>
          <w:color w:val="auto"/>
        </w:rPr>
      </w:pPr>
      <w:r>
        <w:rPr>
          <w:rFonts w:hint="default" w:ascii="Times New Roman Regular" w:hAnsi="Times New Roman Regular" w:eastAsia="Times New Roman" w:cs="Times New Roman Regular"/>
          <w:b w:val="0"/>
          <w:i w:val="0"/>
          <w:color w:val="auto"/>
          <w:sz w:val="22"/>
        </w:rPr>
        <w:t>Where:</w:t>
      </w:r>
    </w:p>
    <w:p w14:paraId="035D04CD">
      <w:pPr>
        <w:pStyle w:val="16"/>
        <w:spacing w:after="80" w:line="360" w:lineRule="auto"/>
        <w:rPr>
          <w:rFonts w:hint="default" w:ascii="Times New Roman Regular" w:hAnsi="Times New Roman Regular" w:cs="Times New Roman Regular"/>
          <w:color w:val="auto"/>
        </w:rPr>
      </w:pPr>
      <w:r>
        <w:rPr>
          <w:rFonts w:hint="default" w:ascii="Times New Roman Regular" w:hAnsi="Times New Roman Regular" w:eastAsia="Times New Roman" w:cs="Times New Roman Regular"/>
          <w:b/>
          <w:i w:val="0"/>
          <w:color w:val="auto"/>
          <w:sz w:val="22"/>
        </w:rPr>
        <w:t xml:space="preserve">UA (User Attributes): </w:t>
      </w:r>
      <w:r>
        <w:rPr>
          <w:rFonts w:hint="default" w:ascii="Times New Roman Regular" w:hAnsi="Times New Roman Regular" w:eastAsia="Times New Roman" w:cs="Times New Roman Regular"/>
          <w:b w:val="0"/>
          <w:i w:val="0"/>
          <w:color w:val="auto"/>
          <w:sz w:val="22"/>
        </w:rPr>
        <w:t>The attribute space of the requesting subject (e.g., affiliated hospital, department title, historical credit score).</w:t>
      </w:r>
    </w:p>
    <w:p w14:paraId="41E3731A">
      <w:pPr>
        <w:pStyle w:val="16"/>
        <w:spacing w:after="80" w:line="360" w:lineRule="auto"/>
        <w:rPr>
          <w:rFonts w:hint="default" w:ascii="Times New Roman Regular" w:hAnsi="Times New Roman Regular" w:cs="Times New Roman Regular"/>
          <w:color w:val="auto"/>
        </w:rPr>
      </w:pPr>
      <w:r>
        <w:rPr>
          <w:rFonts w:hint="default" w:ascii="Times New Roman Regular" w:hAnsi="Times New Roman Regular" w:eastAsia="Times New Roman" w:cs="Times New Roman Regular"/>
          <w:b/>
          <w:i w:val="0"/>
          <w:color w:val="auto"/>
          <w:sz w:val="22"/>
        </w:rPr>
        <w:t xml:space="preserve">RA (Resource Attributes): </w:t>
      </w:r>
      <w:r>
        <w:rPr>
          <w:rFonts w:hint="default" w:ascii="Times New Roman Regular" w:hAnsi="Times New Roman Regular" w:eastAsia="Times New Roman" w:cs="Times New Roman Regular"/>
          <w:b w:val="0"/>
          <w:i w:val="0"/>
          <w:color w:val="auto"/>
          <w:sz w:val="22"/>
        </w:rPr>
        <w:t>The attribute space of the accessed medical asset (e.g., patient ID to whom data belongs, medical record sensitivity level, data classification tag).</w:t>
      </w:r>
    </w:p>
    <w:p w14:paraId="0D5E6F9A">
      <w:pPr>
        <w:pStyle w:val="16"/>
        <w:spacing w:after="80" w:line="360" w:lineRule="auto"/>
        <w:rPr>
          <w:rFonts w:hint="default" w:ascii="Times New Roman Regular" w:hAnsi="Times New Roman Regular" w:cs="Times New Roman Regular"/>
          <w:color w:val="auto"/>
        </w:rPr>
      </w:pPr>
      <w:r>
        <w:rPr>
          <w:rFonts w:hint="default" w:ascii="Times New Roman Regular" w:hAnsi="Times New Roman Regular" w:eastAsia="Times New Roman" w:cs="Times New Roman Regular"/>
          <w:b/>
          <w:i w:val="0"/>
          <w:color w:val="auto"/>
          <w:sz w:val="22"/>
        </w:rPr>
        <w:t xml:space="preserve">EA (Environment Attributes): </w:t>
      </w:r>
      <w:r>
        <w:rPr>
          <w:rFonts w:hint="default" w:ascii="Times New Roman Regular" w:hAnsi="Times New Roman Regular" w:eastAsia="Times New Roman" w:cs="Times New Roman Regular"/>
          <w:b w:val="0"/>
          <w:i w:val="0"/>
          <w:color w:val="auto"/>
          <w:sz w:val="22"/>
        </w:rPr>
        <w:t>The real-time environmental context when the access occurs (e.g., real-time timestamp window, current requesting IP address locality, client secure channel type) [12].</w:t>
      </w:r>
    </w:p>
    <w:p w14:paraId="6793AE42">
      <w:pPr>
        <w:pStyle w:val="16"/>
        <w:spacing w:after="80" w:line="360" w:lineRule="auto"/>
        <w:rPr>
          <w:rFonts w:hint="default" w:ascii="Times New Roman Regular" w:hAnsi="Times New Roman Regular" w:cs="Times New Roman Regular"/>
          <w:color w:val="auto"/>
        </w:rPr>
      </w:pPr>
      <w:r>
        <w:rPr>
          <w:rFonts w:hint="default" w:ascii="Times New Roman Regular" w:hAnsi="Times New Roman Regular" w:eastAsia="Times New Roman" w:cs="Times New Roman Regular"/>
          <w:b/>
          <w:i w:val="0"/>
          <w:color w:val="auto"/>
          <w:sz w:val="22"/>
        </w:rPr>
        <w:t xml:space="preserve">P (Policy): </w:t>
      </w:r>
      <w:r>
        <w:rPr>
          <w:rFonts w:hint="default" w:ascii="Times New Roman Regular" w:hAnsi="Times New Roman Regular" w:eastAsia="Times New Roman" w:cs="Times New Roman Regular"/>
          <w:b w:val="0"/>
          <w:i w:val="0"/>
          <w:color w:val="auto"/>
          <w:sz w:val="22"/>
        </w:rPr>
        <w:t>The Boolean logical policy expression autonomously configured by patients or solidified in smart contracts by medical regulatory statutes [11].</w:t>
      </w:r>
    </w:p>
    <w:p w14:paraId="4B81E14F">
      <w:pPr>
        <w:pStyle w:val="4"/>
        <w:bidi w:val="0"/>
        <w:spacing w:line="360" w:lineRule="auto"/>
        <w:rPr>
          <w:rFonts w:hint="default" w:ascii="Times New Roman Regular" w:hAnsi="Times New Roman Regular" w:cs="Times New Roman Regular"/>
          <w:color w:val="auto"/>
        </w:rPr>
      </w:pPr>
      <w:bookmarkStart w:id="11" w:name="_Toc1995361187"/>
      <w:r>
        <w:rPr>
          <w:rFonts w:hint="default" w:ascii="Times New Roman Regular" w:hAnsi="Times New Roman Regular" w:cs="Times New Roman Regular"/>
          <w:color w:val="auto"/>
        </w:rPr>
        <w:t>3 Design of Blockchain and IPFS-Based Medical Data Management Model</w:t>
      </w:r>
      <w:bookmarkEnd w:id="11"/>
    </w:p>
    <w:p w14:paraId="72D7E938">
      <w:pPr>
        <w:pStyle w:val="5"/>
        <w:bidi w:val="0"/>
        <w:spacing w:line="360" w:lineRule="auto"/>
        <w:rPr>
          <w:rFonts w:hint="default" w:ascii="Times New Roman Regular" w:hAnsi="Times New Roman Regular" w:cs="Times New Roman Regular"/>
          <w:color w:val="auto"/>
        </w:rPr>
      </w:pPr>
      <w:bookmarkStart w:id="12" w:name="_Toc930838357"/>
      <w:r>
        <w:rPr>
          <w:rFonts w:hint="default" w:ascii="Times New Roman Regular" w:hAnsi="Times New Roman Regular" w:cs="Times New Roman Regular"/>
          <w:color w:val="auto"/>
        </w:rPr>
        <w:t>3.1 System Layered Architecture Design</w:t>
      </w:r>
      <w:bookmarkEnd w:id="12"/>
    </w:p>
    <w:p w14:paraId="48BE880A">
      <w:pPr>
        <w:spacing w:after="120" w:line="360" w:lineRule="auto"/>
        <w:rPr>
          <w:rFonts w:hint="default" w:ascii="Times New Roman Regular" w:hAnsi="Times New Roman Regular" w:cs="Times New Roman Regular"/>
          <w:color w:val="auto"/>
        </w:rPr>
      </w:pPr>
      <w:r>
        <w:rPr>
          <w:rFonts w:hint="default" w:ascii="Times New Roman Regular" w:hAnsi="Times New Roman Regular" w:eastAsia="Times New Roman" w:cs="Times New Roman Regular"/>
          <w:b w:val="0"/>
          <w:i w:val="0"/>
          <w:color w:val="auto"/>
          <w:sz w:val="22"/>
        </w:rPr>
        <w:t>The system is designed using a highly decoupled, service-oriented, four-layer vertical hierarchical evolutionary topology, with each layer fulfilling its respective duties and implementing secure interactions via standardized gRPC/HTTPS interfaces [10].</w:t>
      </w:r>
    </w:p>
    <w:p w14:paraId="0A6813C3">
      <w:pPr>
        <w:spacing w:before="240" w:after="240" w:line="36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rPr>
        <w:drawing>
          <wp:inline distT="0" distB="0" distL="114300" distR="114300">
            <wp:extent cx="5936615" cy="3530600"/>
            <wp:effectExtent l="0" t="0" r="698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936615" cy="3530600"/>
                    </a:xfrm>
                    <a:prstGeom prst="rect">
                      <a:avLst/>
                    </a:prstGeom>
                    <a:noFill/>
                    <a:ln>
                      <a:noFill/>
                    </a:ln>
                  </pic:spPr>
                </pic:pic>
              </a:graphicData>
            </a:graphic>
          </wp:inline>
        </w:drawing>
      </w:r>
      <w:r>
        <w:rPr>
          <w:rFonts w:hint="default" w:ascii="Times New Roman Regular" w:hAnsi="Times New Roman Regular" w:eastAsia="Times New Roman" w:cs="Times New Roman Regular"/>
          <w:b w:val="0"/>
          <w:i/>
          <w:color w:val="auto"/>
          <w:sz w:val="20"/>
        </w:rPr>
        <w:br w:type="textWrapping"/>
      </w:r>
      <w:r>
        <w:rPr>
          <w:rFonts w:hint="default" w:ascii="Times New Roman Regular" w:hAnsi="Times New Roman Regular" w:eastAsia="Times New Roman" w:cs="Times New Roman Regular"/>
          <w:b w:val="0"/>
          <w:i/>
          <w:color w:val="auto"/>
          <w:sz w:val="20"/>
        </w:rPr>
        <w:t>[ Figure 3-1. System Layered Architecture Design: Application Layer (Patient Autonomy, Doctor Diagnosis, Audit Traceability, Policy Configuration) -&gt; Smart Contract Layer (Data Attestation, Access Control via ABAC, Log Audit) -&gt; Blockchain Layer (Fabric Peer Nodes Ledger, Consensus, MSP) -&gt; Data Layer (Data Standardization, AES-GCM Encryption, IPFS Cluster) ]</w:t>
      </w:r>
    </w:p>
    <w:p w14:paraId="5518F7C1">
      <w:pPr>
        <w:spacing w:before="240" w:after="240" w:line="360" w:lineRule="auto"/>
        <w:jc w:val="both"/>
        <w:rPr>
          <w:rFonts w:hint="default" w:ascii="Times New Roman Regular" w:hAnsi="Times New Roman Regular" w:cs="Times New Roman Regular"/>
          <w:color w:val="auto"/>
        </w:rPr>
      </w:pPr>
    </w:p>
    <w:p w14:paraId="1FB3C0D1">
      <w:pPr>
        <w:pStyle w:val="16"/>
        <w:spacing w:after="80" w:line="360" w:lineRule="auto"/>
        <w:rPr>
          <w:rFonts w:hint="default" w:ascii="Times New Roman Regular" w:hAnsi="Times New Roman Regular" w:cs="Times New Roman Regular"/>
          <w:color w:val="auto"/>
        </w:rPr>
      </w:pPr>
      <w:r>
        <w:rPr>
          <w:rFonts w:hint="default" w:ascii="Times New Roman Regular" w:hAnsi="Times New Roman Regular" w:eastAsia="Times New Roman" w:cs="Times New Roman Regular"/>
          <w:b/>
          <w:i w:val="0"/>
          <w:color w:val="auto"/>
          <w:sz w:val="22"/>
        </w:rPr>
        <w:t xml:space="preserve">Data Layer: </w:t>
      </w:r>
      <w:r>
        <w:rPr>
          <w:rFonts w:hint="default" w:ascii="Times New Roman Regular" w:hAnsi="Times New Roman Regular" w:eastAsia="Times New Roman" w:cs="Times New Roman Regular"/>
          <w:b w:val="0"/>
          <w:i w:val="0"/>
          <w:color w:val="auto"/>
          <w:sz w:val="22"/>
        </w:rPr>
        <w:t>Responsible for the generation and pre-encryption secure encapsulation of massive heterogeneous medical data [1]. To completely evade academic ethical risks triggered by directly utilizing patients' sensitive real medical records, this layer automatically cleanses and outputs structured, interoperable Electronic Health Records (compliant with FHIR standards) [8]. Subsequently, utilizing asymmetric encryption algorithms (ECC-256) and advanced symmetric encryption (AES-GCM-256), the original simulated medical records are heavily reinforced locally, ensuring that the data possesses supreme anti-decryption capabilities even in an offline state [10].</w:t>
      </w:r>
    </w:p>
    <w:p w14:paraId="55F911DB">
      <w:pPr>
        <w:pStyle w:val="16"/>
        <w:spacing w:after="80" w:line="360" w:lineRule="auto"/>
        <w:rPr>
          <w:rFonts w:hint="default" w:ascii="Times New Roman Regular" w:hAnsi="Times New Roman Regular" w:cs="Times New Roman Regular"/>
          <w:color w:val="auto"/>
        </w:rPr>
      </w:pPr>
      <w:r>
        <w:rPr>
          <w:rFonts w:hint="default" w:ascii="Times New Roman Regular" w:hAnsi="Times New Roman Regular" w:eastAsia="Times New Roman" w:cs="Times New Roman Regular"/>
          <w:b/>
          <w:i w:val="0"/>
          <w:color w:val="auto"/>
          <w:sz w:val="22"/>
        </w:rPr>
        <w:t xml:space="preserve">Blockchain Layer: </w:t>
      </w:r>
      <w:r>
        <w:rPr>
          <w:rFonts w:hint="default" w:ascii="Times New Roman Regular" w:hAnsi="Times New Roman Regular" w:eastAsia="Times New Roman" w:cs="Times New Roman Regular"/>
          <w:b w:val="0"/>
          <w:i w:val="0"/>
          <w:color w:val="auto"/>
          <w:sz w:val="22"/>
        </w:rPr>
        <w:t>Constructed upon a Hyperledger Fabric consortium blockchain network [9]. Each affiliated medical institution is mapped as an Organization representing peer endorsing nodes (Peer Nodes) in the network, with all nodes jointly maintaining a perfectly consistent, decentralized global distributed ledger. This layer introduces an ordering service based on the Raft protocol (Orderer Service) to ensure that concurrent transactions can achieve millisecond-level, strongly consistent state consensus among multi-institutional nodes [13].</w:t>
      </w:r>
    </w:p>
    <w:p w14:paraId="54C3E47F">
      <w:pPr>
        <w:pStyle w:val="16"/>
        <w:spacing w:after="80" w:line="360" w:lineRule="auto"/>
        <w:rPr>
          <w:rFonts w:hint="default" w:ascii="Times New Roman Regular" w:hAnsi="Times New Roman Regular" w:cs="Times New Roman Regular"/>
          <w:color w:val="auto"/>
        </w:rPr>
      </w:pPr>
      <w:r>
        <w:rPr>
          <w:rFonts w:hint="default" w:ascii="Times New Roman Regular" w:hAnsi="Times New Roman Regular" w:eastAsia="Times New Roman" w:cs="Times New Roman Regular"/>
          <w:b/>
          <w:i w:val="0"/>
          <w:color w:val="auto"/>
          <w:sz w:val="22"/>
        </w:rPr>
        <w:t xml:space="preserve">Smart Contract Layer: </w:t>
      </w:r>
      <w:r>
        <w:rPr>
          <w:rFonts w:hint="default" w:ascii="Times New Roman Regular" w:hAnsi="Times New Roman Regular" w:eastAsia="Times New Roman" w:cs="Times New Roman Regular"/>
          <w:b w:val="0"/>
          <w:i w:val="0"/>
          <w:color w:val="auto"/>
          <w:sz w:val="22"/>
        </w:rPr>
        <w:t>The core control center of this system, where the rigid constraint logic of privileges and data flows is solidified [11]. This layer comprises three core chaincodes: the Data Attestation Contract is responsible for establishing strict strong mappings between the metadata and the CID hash addressing pointers returned by the off-chain IPFS, subsequently writing them into the ledger [14]; the Access Control Contract embeds the ABAC decision parsing engine to perform dynamic attribute and environmental matching tests on all access requests [3]; the Log Audit Contract serves as the final line of defense, unconditionally capturing all behavioral data, such as unauthorized attempts, authorized transfers, and data reads, solidifying them in real-time on the chain [12].</w:t>
      </w:r>
    </w:p>
    <w:p w14:paraId="6CC5C8FB">
      <w:pPr>
        <w:pStyle w:val="16"/>
        <w:spacing w:after="80" w:line="360" w:lineRule="auto"/>
        <w:rPr>
          <w:rFonts w:hint="default" w:ascii="Times New Roman Regular" w:hAnsi="Times New Roman Regular" w:cs="Times New Roman Regular"/>
          <w:color w:val="auto"/>
        </w:rPr>
      </w:pPr>
      <w:r>
        <w:rPr>
          <w:rFonts w:hint="default" w:ascii="Times New Roman Regular" w:hAnsi="Times New Roman Regular" w:eastAsia="Times New Roman" w:cs="Times New Roman Regular"/>
          <w:b/>
          <w:i w:val="0"/>
          <w:color w:val="auto"/>
          <w:sz w:val="22"/>
        </w:rPr>
        <w:t xml:space="preserve">Application Layer: </w:t>
      </w:r>
      <w:r>
        <w:rPr>
          <w:rFonts w:hint="default" w:ascii="Times New Roman Regular" w:hAnsi="Times New Roman Regular" w:eastAsia="Times New Roman" w:cs="Times New Roman Regular"/>
          <w:b w:val="0"/>
          <w:i w:val="0"/>
          <w:color w:val="auto"/>
          <w:sz w:val="22"/>
        </w:rPr>
        <w:t>Visual business interaction views and client SDKs constructed for different subjects. Patients can view the flow of their data in real-time and configure autonomous authorization policies via this interface; doctors can securely initiate multi-center joint medical record retrieval requests via this terminal; regulatory agencies and auditors can extract full-lifecycle合规 compliance logs with a single click [4].</w:t>
      </w:r>
    </w:p>
    <w:p w14:paraId="66AA7226">
      <w:pPr>
        <w:pStyle w:val="5"/>
        <w:bidi w:val="0"/>
        <w:spacing w:line="360" w:lineRule="auto"/>
        <w:rPr>
          <w:rFonts w:hint="default" w:ascii="Times New Roman Regular" w:hAnsi="Times New Roman Regular" w:cs="Times New Roman Regular"/>
          <w:color w:val="auto"/>
        </w:rPr>
      </w:pPr>
      <w:bookmarkStart w:id="13" w:name="_Toc181897704"/>
      <w:r>
        <w:rPr>
          <w:rFonts w:hint="default" w:ascii="Times New Roman Regular" w:hAnsi="Times New Roman Regular" w:cs="Times New Roman Regular"/>
          <w:color w:val="auto"/>
        </w:rPr>
        <w:t>3.2 On-Chain/Off-Chain Hybrid Storage Model and Decoupling Mechanism Design</w:t>
      </w:r>
      <w:bookmarkEnd w:id="13"/>
    </w:p>
    <w:p w14:paraId="6528EAC5">
      <w:pPr>
        <w:spacing w:after="120" w:line="360" w:lineRule="auto"/>
        <w:rPr>
          <w:rFonts w:hint="default" w:ascii="Times New Roman Regular" w:hAnsi="Times New Roman Regular" w:cs="Times New Roman Regular"/>
          <w:color w:val="auto"/>
        </w:rPr>
      </w:pPr>
      <w:r>
        <w:rPr>
          <w:rFonts w:hint="default" w:ascii="Times New Roman Regular" w:hAnsi="Times New Roman Regular" w:eastAsia="Times New Roman" w:cs="Times New Roman Regular"/>
          <w:b w:val="0"/>
          <w:i w:val="0"/>
          <w:color w:val="auto"/>
          <w:sz w:val="22"/>
        </w:rPr>
        <w:t>Under the cross-institutional smart medical interaction scenario, if large-capacity DICOM medical images, complex pathological charts, and original data of hundreds of thousands of lines of electronic medical records are frequently written directly into the internal state database of the blockchain, it will lead to a severe 'avalanche expansion' of storage space in the consortium blockchain ledger, and drastically drag down the transaction throughput (TPS) of the consensus layer [2]. To this end, this paper designs a hybrid architectural model featuring on-chain index feature value anchoring paired with off-chain distributed content-addressed storage.</w:t>
      </w:r>
    </w:p>
    <w:p w14:paraId="5CEE494B">
      <w:pPr>
        <w:pStyle w:val="6"/>
        <w:bidi w:val="0"/>
        <w:spacing w:line="36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3.2.1 Storage Resource Decoupling Flow Path</w:t>
      </w:r>
    </w:p>
    <w:p w14:paraId="5C19375E">
      <w:pPr>
        <w:spacing w:after="120" w:line="360" w:lineRule="auto"/>
        <w:rPr>
          <w:rFonts w:hint="default" w:ascii="Times New Roman Regular" w:hAnsi="Times New Roman Regular" w:cs="Times New Roman Regular"/>
          <w:color w:val="auto"/>
        </w:rPr>
      </w:pPr>
      <w:r>
        <w:rPr>
          <w:rFonts w:hint="default" w:ascii="Times New Roman Regular" w:hAnsi="Times New Roman Regular" w:eastAsia="Times New Roman" w:cs="Times New Roman Regular"/>
          <w:b w:val="0"/>
          <w:i w:val="0"/>
          <w:color w:val="auto"/>
          <w:sz w:val="22"/>
        </w:rPr>
        <w:t>When a certain medical institution node generates a new simulated medical datum, its decoupled flow path is as follows [2]:</w:t>
      </w:r>
    </w:p>
    <w:p w14:paraId="58C2B9E4">
      <w:pPr>
        <w:spacing w:after="120" w:line="360" w:lineRule="auto"/>
        <w:rPr>
          <w:rFonts w:hint="default" w:ascii="Times New Roman Regular" w:hAnsi="Times New Roman Regular" w:cs="Times New Roman Regular"/>
          <w:color w:val="auto"/>
        </w:rPr>
      </w:pPr>
      <w:r>
        <w:rPr>
          <w:rFonts w:hint="default" w:ascii="Times New Roman Regular" w:hAnsi="Times New Roman Regular" w:eastAsia="Times New Roman" w:cs="Times New Roman Regular"/>
          <w:b w:val="0"/>
          <w:i w:val="0"/>
          <w:color w:val="auto"/>
          <w:sz w:val="22"/>
        </w:rPr>
        <w:t>1. The local client invokes the AES-GCM-256 algorithm via the data layer to perform symmetric encryption on the simulated medical record file, generating the ciphertext block Mcipher.</w:t>
      </w:r>
    </w:p>
    <w:p w14:paraId="00000033">
      <w:pPr>
        <w:spacing w:after="120" w:line="360" w:lineRule="auto"/>
        <w:rPr>
          <w:rFonts w:hint="default" w:ascii="Times New Roman Regular" w:hAnsi="Times New Roman Regular" w:eastAsia="Times New Roman" w:cs="Times New Roman Regular"/>
          <w:b w:val="0"/>
          <w:i w:val="0"/>
          <w:color w:val="auto"/>
          <w:sz w:val="22"/>
        </w:rPr>
      </w:pPr>
      <w:r>
        <w:rPr>
          <w:rFonts w:hint="default" w:ascii="Times New Roman Regular" w:hAnsi="Times New Roman Regular" w:eastAsia="Times New Roman" w:cs="Times New Roman Regular"/>
          <w:b w:val="0"/>
          <w:i w:val="0"/>
          <w:color w:val="auto"/>
          <w:sz w:val="22"/>
        </w:rPr>
        <w:t>2. Mcipher is uploaded directly to the off-chain IPFS distributed storage cluster. Based on content-addressing principles, IPFS executes a cryptographic hash operation on the ciphertext data, immediately returning a globally unique content identifier CID [14].</w:t>
      </w:r>
    </w:p>
    <w:p w14:paraId="7FA8847D">
      <w:pPr>
        <w:spacing w:after="120" w:line="360" w:lineRule="auto"/>
        <w:rPr>
          <w:rFonts w:hint="default" w:ascii="Times New Roman Regular" w:hAnsi="Times New Roman Regular" w:eastAsia="Times New Roman" w:cs="Times New Roman Regular"/>
          <w:b w:val="0"/>
          <w:i w:val="0"/>
          <w:color w:val="auto"/>
          <w:sz w:val="22"/>
        </w:rPr>
      </w:pPr>
    </w:p>
    <w:p w14:paraId="2020BE3D">
      <w:pPr>
        <w:spacing w:after="120" w:line="360" w:lineRule="auto"/>
        <w:rPr>
          <w:rFonts w:hint="default" w:hAnsi="DejaVu Math TeX Gyre" w:eastAsia="Times New Roman"/>
          <w:i w:val="0"/>
          <w:sz w:val="22"/>
        </w:rPr>
      </w:pPr>
      <m:oMathPara>
        <m:oMath>
          <m:r>
            <m:rPr/>
            <w:rPr>
              <w:rFonts w:hint="default" w:ascii="DejaVu Math TeX Gyre" w:hAnsi="DejaVu Math TeX Gyre" w:eastAsia="Times New Roman"/>
              <w:sz w:val="22"/>
            </w:rPr>
            <m:t>CID=IPFS_Cryptographic_Hash(</m:t>
          </m:r>
          <m:sSub>
            <m:sSubPr>
              <m:ctrlPr>
                <w:rPr>
                  <w:rFonts w:hint="default" w:ascii="DejaVu Math TeX Gyre" w:hAnsi="DejaVu Math TeX Gyre" w:eastAsia="Times New Roman"/>
                  <w:sz w:val="22"/>
                </w:rPr>
              </m:ctrlPr>
            </m:sSubPr>
            <m:e>
              <m:r>
                <m:rPr/>
                <w:rPr>
                  <w:rFonts w:hint="default" w:ascii="DejaVu Math TeX Gyre" w:hAnsi="DejaVu Math TeX Gyre" w:eastAsia="Times New Roman"/>
                  <w:sz w:val="22"/>
                </w:rPr>
                <m:t>M</m:t>
              </m:r>
              <m:ctrlPr>
                <w:rPr>
                  <w:rFonts w:ascii="DejaVu Math TeX Gyre" w:hAnsi="DejaVu Math TeX Gyre" w:eastAsia="Times New Roman"/>
                  <w:sz w:val="22"/>
                </w:rPr>
              </m:ctrlPr>
            </m:e>
            <m:sub>
              <m:r>
                <m:rPr/>
                <w:rPr>
                  <w:rFonts w:hint="default" w:ascii="DejaVu Math TeX Gyre" w:hAnsi="DejaVu Math TeX Gyre" w:eastAsia="Times New Roman"/>
                  <w:sz w:val="22"/>
                </w:rPr>
                <m:t>cipher</m:t>
              </m:r>
              <m:ctrlPr>
                <w:rPr>
                  <w:rFonts w:ascii="DejaVu Math TeX Gyre" w:hAnsi="DejaVu Math TeX Gyre" w:eastAsia="Times New Roman"/>
                  <w:sz w:val="22"/>
                </w:rPr>
              </m:ctrlPr>
            </m:sub>
          </m:sSub>
          <m:r>
            <m:rPr/>
            <w:rPr>
              <w:rFonts w:hint="default" w:ascii="DejaVu Math TeX Gyre" w:hAnsi="DejaVu Math TeX Gyre" w:eastAsia="Times New Roman"/>
              <w:sz w:val="22"/>
            </w:rPr>
            <m:t>)</m:t>
          </m:r>
        </m:oMath>
      </m:oMathPara>
    </w:p>
    <w:p w14:paraId="229E4280">
      <w:pPr>
        <w:spacing w:after="120" w:line="360" w:lineRule="auto"/>
        <w:rPr>
          <w:rFonts w:hint="default" w:hAnsi="DejaVu Math TeX Gyre" w:eastAsia="Times New Roman"/>
          <w:i w:val="0"/>
          <w:sz w:val="22"/>
        </w:rPr>
      </w:pPr>
    </w:p>
    <w:p w14:paraId="4AC688BF">
      <w:pPr>
        <w:spacing w:after="120" w:line="360" w:lineRule="auto"/>
        <w:rPr>
          <w:rFonts w:hint="default" w:ascii="Times New Roman Regular" w:hAnsi="Times New Roman Regular" w:cs="Times New Roman Regular"/>
          <w:color w:val="auto"/>
        </w:rPr>
      </w:pPr>
      <w:r>
        <w:rPr>
          <w:rFonts w:hint="default" w:ascii="Times New Roman Regular" w:hAnsi="Times New Roman Regular" w:eastAsia="Times New Roman" w:cs="Times New Roman Regular"/>
          <w:b w:val="0"/>
          <w:i w:val="0"/>
          <w:color w:val="auto"/>
          <w:sz w:val="22"/>
        </w:rPr>
        <w:t>3. The medical institution node assembles this CID, the virtual obfuscated identifier of the patient owning the data, data type tags, data size, and the symmetric key ciphertext encrypted with the receiver's public key into a lightweight structured transaction packet.</w:t>
      </w:r>
    </w:p>
    <w:p w14:paraId="4B0EC67C">
      <w:pPr>
        <w:spacing w:after="120" w:line="360" w:lineRule="auto"/>
        <w:rPr>
          <w:rFonts w:hint="default" w:ascii="Times New Roman Regular" w:hAnsi="Times New Roman Regular" w:cs="Times New Roman Regular"/>
          <w:color w:val="auto"/>
        </w:rPr>
      </w:pPr>
      <w:r>
        <w:rPr>
          <w:rFonts w:hint="default" w:ascii="Times New Roman Regular" w:hAnsi="Times New Roman Regular" w:eastAsia="Times New Roman" w:cs="Times New Roman Regular"/>
          <w:b w:val="0"/>
          <w:i w:val="0"/>
          <w:color w:val="auto"/>
          <w:sz w:val="22"/>
        </w:rPr>
        <w:t>4. The Data Attestation Contract is invoked to permanently write this lightweight transaction packet into the block state ledger through the Fabric consortium blockchain consensus. Since only a constant-sized CID string is placed on the blockchain (constant space overhead), this hybrid design successfully compresses and reduces the storage complexity of the blockchain ledger from O(Size), which is strongly correlated with the original file size, to a constant O(1), perfectly breaking through the storage hosting bottleneck of the blockchain [8,15].</w:t>
      </w:r>
    </w:p>
    <w:p w14:paraId="24668E79">
      <w:pPr>
        <w:pStyle w:val="6"/>
        <w:bidi w:val="0"/>
        <w:spacing w:line="36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3.2.2 Data Integrity Two-Way Verification Algorithm</w:t>
      </w:r>
    </w:p>
    <w:p w14:paraId="1E6B9858">
      <w:pPr>
        <w:spacing w:after="120" w:line="360" w:lineRule="auto"/>
        <w:rPr>
          <w:rFonts w:hint="default" w:ascii="Times New Roman Regular" w:hAnsi="Times New Roman Regular" w:cs="Times New Roman Regular"/>
          <w:color w:val="auto"/>
        </w:rPr>
      </w:pPr>
      <w:r>
        <w:rPr>
          <w:rFonts w:hint="default" w:ascii="Times New Roman Regular" w:hAnsi="Times New Roman Regular" w:eastAsia="Times New Roman" w:cs="Times New Roman Regular"/>
          <w:b w:val="0"/>
          <w:i w:val="0"/>
          <w:color w:val="auto"/>
          <w:sz w:val="22"/>
        </w:rPr>
        <w:t>In order to rapidly detect and intercept any actions by nodes due to hacker attacks, hardware damage, or malicious alteration and forgery of original medical records by internal senior operations personnel within a completely decentralized wide-area network multi-center environment, the system designs an on-chain/off-chain two-way hash anchoring verification mechanism [13,14]. Its formalized logic and calculation process are as follows:</w:t>
      </w:r>
    </w:p>
    <w:p w14:paraId="6D98318D">
      <w:pPr>
        <w:spacing w:after="120" w:line="360" w:lineRule="auto"/>
        <w:rPr>
          <w:rFonts w:hint="default" w:ascii="Times New Roman Regular" w:hAnsi="Times New Roman Regular" w:eastAsia="Times New Roman" w:cs="Times New Roman Regular"/>
          <w:b w:val="0"/>
          <w:i w:val="0"/>
          <w:color w:val="auto"/>
          <w:sz w:val="22"/>
        </w:rPr>
      </w:pPr>
      <w:r>
        <w:rPr>
          <w:rFonts w:hint="default" w:ascii="Times New Roman Regular" w:hAnsi="Times New Roman Regular" w:eastAsia="Times New Roman" w:cs="Times New Roman Regular"/>
          <w:b w:val="0"/>
          <w:i w:val="0"/>
          <w:color w:val="auto"/>
          <w:sz w:val="22"/>
        </w:rPr>
        <w:t>When the application layer (e.g., a clinical doctor initiating cross-hospital healthcare lookup) requests the system to retrieve a specific medical datum, the smart contract automatically triggers an integrity check. The system cross-compares the real-time hash value Hreal, calculated from the ciphertext file actually pulled from the off-chain IPFS cluster, with the anchored hash value Hanchor (i.e., the attested CID) recorded in the blockchain ledger which is irreversibly immutable once uploaded:</w:t>
      </w:r>
    </w:p>
    <w:p w14:paraId="22FE5E8D">
      <w:pPr>
        <w:spacing w:after="120" w:line="360" w:lineRule="auto"/>
        <w:rPr>
          <w:rFonts w:hint="default" w:ascii="Times New Roman Regular" w:hAnsi="Times New Roman Regular" w:eastAsia="Times New Roman" w:cs="Times New Roman Regular"/>
          <w:b w:val="0"/>
          <w:i w:val="0"/>
          <w:color w:val="auto"/>
          <w:sz w:val="22"/>
        </w:rPr>
      </w:pPr>
    </w:p>
    <w:p w14:paraId="0000003B">
      <w:pPr>
        <w:pBdr>
          <w:top w:val="none" w:color="auto" w:sz="0" w:space="0"/>
          <w:left w:val="none" w:color="auto" w:sz="0" w:space="0"/>
          <w:bottom w:val="none" w:color="auto" w:sz="0" w:space="0"/>
          <w:right w:val="none" w:color="auto" w:sz="0" w:space="0"/>
          <w:between w:val="none" w:color="auto" w:sz="0" w:space="0"/>
        </w:pBdr>
        <w:shd w:val="clear" w:fill="auto"/>
        <w:spacing w:line="360" w:lineRule="auto"/>
        <w:rPr>
          <w:rFonts w:hint="default" w:ascii="Times New Roman Regular" w:hAnsi="Times New Roman Regular" w:eastAsia="Times New Roman" w:cs="Times New Roman Regular"/>
          <w:color w:val="auto"/>
        </w:rPr>
      </w:pPr>
      <m:oMathPara>
        <m:oMath>
          <m:r>
            <m:rPr/>
            <w:rPr>
              <w:rFonts w:hint="default" w:ascii="DejaVu Math TeX Gyre" w:hAnsi="DejaVu Math TeX Gyre" w:eastAsia="Times New Roman"/>
              <w:color w:val="auto"/>
              <w:sz w:val="22"/>
            </w:rPr>
            <m:t>Verification_Result=</m:t>
          </m:r>
          <m:d>
            <m:dPr>
              <m:begChr m:val="{"/>
              <m:endChr m:val=""/>
              <m:ctrlPr>
                <w:rPr>
                  <w:rFonts w:hint="default" w:ascii="DejaVu Math TeX Gyre" w:hAnsi="DejaVu Math TeX Gyre" w:eastAsia="Times New Roman"/>
                  <w:i/>
                  <w:color w:val="auto"/>
                  <w:sz w:val="22"/>
                </w:rPr>
              </m:ctrlPr>
            </m:dPr>
            <m:e>
              <m:m>
                <m:mPr>
                  <m:mcs>
                    <m:mc>
                      <m:mcPr>
                        <m:count m:val="2"/>
                        <m:mcJc m:val="left"/>
                      </m:mcPr>
                    </m:mc>
                  </m:mcs>
                  <m:plcHide m:val="1"/>
                  <m:ctrlPr>
                    <w:rPr>
                      <w:rFonts w:hint="default" w:ascii="DejaVu Math TeX Gyre" w:hAnsi="DejaVu Math TeX Gyre" w:eastAsia="Times New Roman"/>
                      <w:i/>
                      <w:color w:val="auto"/>
                      <w:sz w:val="22"/>
                    </w:rPr>
                  </m:ctrlPr>
                </m:mPr>
                <m:mr>
                  <m:e>
                    <m:r>
                      <m:rPr/>
                      <w:rPr>
                        <w:rFonts w:hint="default" w:ascii="DejaVu Math TeX Gyre" w:hAnsi="DejaVu Math TeX Gyre" w:eastAsia="Times New Roman"/>
                        <w:color w:val="auto"/>
                        <w:sz w:val="22"/>
                      </w:rPr>
                      <m:t>1,</m:t>
                    </m:r>
                    <m:ctrlPr>
                      <w:rPr>
                        <w:rFonts w:ascii="DejaVu Math TeX Gyre" w:hAnsi="DejaVu Math TeX Gyre" w:eastAsia="Times New Roman"/>
                        <w:color w:val="auto"/>
                        <w:sz w:val="22"/>
                      </w:rPr>
                    </m:ctrlPr>
                  </m:e>
                  <m:e>
                    <m:r>
                      <m:rPr/>
                      <w:rPr>
                        <w:rFonts w:hint="default" w:ascii="DejaVu Math TeX Gyre" w:hAnsi="DejaVu Math TeX Gyre" w:eastAsia="Times New Roman"/>
                        <w:color w:val="auto"/>
                        <w:sz w:val="22"/>
                      </w:rPr>
                      <m:t>if</m:t>
                    </m:r>
                    <m:r>
                      <m:rPr>
                        <m:sty m:val="p"/>
                      </m:rPr>
                      <w:rPr>
                        <w:rFonts w:hint="default" w:ascii="DejaVu Math TeX Gyre" w:hAnsi="DejaVu Math TeX Gyre" w:eastAsia="Times New Roman"/>
                        <w:color w:val="auto"/>
                        <w:sz w:val="22"/>
                      </w:rPr>
                      <m:t xml:space="preserve"> </m:t>
                    </m:r>
                    <m:sSub>
                      <m:sSubPr>
                        <m:ctrlPr>
                          <w:rPr>
                            <w:rFonts w:hint="default" w:ascii="DejaVu Math TeX Gyre" w:hAnsi="DejaVu Math TeX Gyre" w:eastAsia="Times New Roman"/>
                            <w:color w:val="auto"/>
                            <w:sz w:val="22"/>
                          </w:rPr>
                        </m:ctrlPr>
                      </m:sSubPr>
                      <m:e>
                        <m:r>
                          <m:rPr/>
                          <w:rPr>
                            <w:rFonts w:hint="default" w:ascii="DejaVu Math TeX Gyre" w:hAnsi="DejaVu Math TeX Gyre" w:eastAsia="Times New Roman"/>
                            <w:color w:val="auto"/>
                            <w:sz w:val="22"/>
                          </w:rPr>
                          <m:t>H</m:t>
                        </m:r>
                        <m:ctrlPr>
                          <w:rPr>
                            <w:rFonts w:ascii="DejaVu Math TeX Gyre" w:hAnsi="DejaVu Math TeX Gyre" w:eastAsia="Times New Roman"/>
                            <w:color w:val="auto"/>
                            <w:sz w:val="22"/>
                          </w:rPr>
                        </m:ctrlPr>
                      </m:e>
                      <m:sub>
                        <m:r>
                          <m:rPr/>
                          <w:rPr>
                            <w:rFonts w:hint="default" w:ascii="DejaVu Math TeX Gyre" w:hAnsi="DejaVu Math TeX Gyre" w:eastAsia="Times New Roman"/>
                            <w:color w:val="auto"/>
                            <w:sz w:val="22"/>
                          </w:rPr>
                          <m:t>real</m:t>
                        </m:r>
                        <m:ctrlPr>
                          <w:rPr>
                            <w:rFonts w:ascii="DejaVu Math TeX Gyre" w:hAnsi="DejaVu Math TeX Gyre" w:eastAsia="Times New Roman"/>
                            <w:color w:val="auto"/>
                            <w:sz w:val="22"/>
                          </w:rPr>
                        </m:ctrlPr>
                      </m:sub>
                    </m:sSub>
                    <m:r>
                      <m:rPr/>
                      <w:rPr>
                        <w:rFonts w:hint="default" w:ascii="DejaVu Math TeX Gyre" w:hAnsi="DejaVu Math TeX Gyre" w:eastAsia="Times New Roman"/>
                        <w:color w:val="auto"/>
                        <w:sz w:val="22"/>
                      </w:rPr>
                      <m:t>(Dat</m:t>
                    </m:r>
                    <m:sSub>
                      <m:sSubPr>
                        <m:ctrlPr>
                          <w:rPr>
                            <w:rFonts w:hint="default" w:ascii="DejaVu Math TeX Gyre" w:hAnsi="DejaVu Math TeX Gyre" w:eastAsia="Times New Roman"/>
                            <w:color w:val="auto"/>
                            <w:sz w:val="22"/>
                          </w:rPr>
                        </m:ctrlPr>
                      </m:sSubPr>
                      <m:e>
                        <m:r>
                          <m:rPr/>
                          <w:rPr>
                            <w:rFonts w:hint="default" w:ascii="DejaVu Math TeX Gyre" w:hAnsi="DejaVu Math TeX Gyre" w:eastAsia="Times New Roman"/>
                            <w:color w:val="auto"/>
                            <w:sz w:val="22"/>
                          </w:rPr>
                          <m:t>a</m:t>
                        </m:r>
                        <m:ctrlPr>
                          <w:rPr>
                            <w:rFonts w:ascii="DejaVu Math TeX Gyre" w:hAnsi="DejaVu Math TeX Gyre" w:eastAsia="Times New Roman"/>
                            <w:color w:val="auto"/>
                            <w:sz w:val="22"/>
                          </w:rPr>
                        </m:ctrlPr>
                      </m:e>
                      <m:sub>
                        <m:r>
                          <m:rPr/>
                          <w:rPr>
                            <w:rFonts w:hint="default" w:ascii="DejaVu Math TeX Gyre" w:hAnsi="DejaVu Math TeX Gyre" w:eastAsia="Times New Roman"/>
                            <w:color w:val="auto"/>
                            <w:sz w:val="22"/>
                          </w:rPr>
                          <m:t>off_chain</m:t>
                        </m:r>
                        <m:ctrlPr>
                          <w:rPr>
                            <w:rFonts w:ascii="DejaVu Math TeX Gyre" w:hAnsi="DejaVu Math TeX Gyre" w:eastAsia="Times New Roman"/>
                            <w:color w:val="auto"/>
                            <w:sz w:val="22"/>
                          </w:rPr>
                        </m:ctrlPr>
                      </m:sub>
                    </m:sSub>
                    <m:r>
                      <m:rPr/>
                      <w:rPr>
                        <w:rFonts w:hint="default" w:ascii="DejaVu Math TeX Gyre" w:hAnsi="DejaVu Math TeX Gyre" w:eastAsia="Times New Roman"/>
                        <w:color w:val="auto"/>
                        <w:sz w:val="22"/>
                      </w:rPr>
                      <m:t>)≡</m:t>
                    </m:r>
                    <m:sSub>
                      <m:sSubPr>
                        <m:ctrlPr>
                          <w:rPr>
                            <w:rFonts w:hint="default" w:ascii="DejaVu Math TeX Gyre" w:hAnsi="DejaVu Math TeX Gyre" w:eastAsia="Times New Roman"/>
                            <w:color w:val="auto"/>
                            <w:sz w:val="22"/>
                          </w:rPr>
                        </m:ctrlPr>
                      </m:sSubPr>
                      <m:e>
                        <m:r>
                          <m:rPr/>
                          <w:rPr>
                            <w:rFonts w:hint="default" w:ascii="DejaVu Math TeX Gyre" w:hAnsi="DejaVu Math TeX Gyre" w:eastAsia="Times New Roman"/>
                            <w:color w:val="auto"/>
                            <w:sz w:val="22"/>
                          </w:rPr>
                          <m:t>H</m:t>
                        </m:r>
                        <m:ctrlPr>
                          <w:rPr>
                            <w:rFonts w:ascii="DejaVu Math TeX Gyre" w:hAnsi="DejaVu Math TeX Gyre" w:eastAsia="Times New Roman"/>
                            <w:color w:val="auto"/>
                            <w:sz w:val="22"/>
                          </w:rPr>
                        </m:ctrlPr>
                      </m:e>
                      <m:sub>
                        <m:r>
                          <m:rPr/>
                          <w:rPr>
                            <w:rFonts w:hint="default" w:ascii="DejaVu Math TeX Gyre" w:hAnsi="DejaVu Math TeX Gyre" w:eastAsia="Times New Roman"/>
                            <w:color w:val="auto"/>
                            <w:sz w:val="22"/>
                          </w:rPr>
                          <m:t>anchor</m:t>
                        </m:r>
                        <m:ctrlPr>
                          <w:rPr>
                            <w:rFonts w:ascii="DejaVu Math TeX Gyre" w:hAnsi="DejaVu Math TeX Gyre" w:eastAsia="Times New Roman"/>
                            <w:color w:val="auto"/>
                            <w:sz w:val="22"/>
                          </w:rPr>
                        </m:ctrlPr>
                      </m:sub>
                    </m:sSub>
                    <m:r>
                      <m:rPr/>
                      <w:rPr>
                        <w:rFonts w:hint="default" w:ascii="DejaVu Math TeX Gyre" w:hAnsi="DejaVu Math TeX Gyre" w:eastAsia="Times New Roman"/>
                        <w:color w:val="auto"/>
                        <w:sz w:val="22"/>
                      </w:rPr>
                      <m:t>(Ledge</m:t>
                    </m:r>
                    <m:sSub>
                      <m:sSubPr>
                        <m:ctrlPr>
                          <w:rPr>
                            <w:rFonts w:hint="default" w:ascii="DejaVu Math TeX Gyre" w:hAnsi="DejaVu Math TeX Gyre" w:eastAsia="Times New Roman"/>
                            <w:color w:val="auto"/>
                            <w:sz w:val="22"/>
                          </w:rPr>
                        </m:ctrlPr>
                      </m:sSubPr>
                      <m:e>
                        <m:r>
                          <m:rPr/>
                          <w:rPr>
                            <w:rFonts w:hint="default" w:ascii="DejaVu Math TeX Gyre" w:hAnsi="DejaVu Math TeX Gyre" w:eastAsia="Times New Roman"/>
                            <w:color w:val="auto"/>
                            <w:sz w:val="22"/>
                          </w:rPr>
                          <m:t>r</m:t>
                        </m:r>
                        <m:ctrlPr>
                          <w:rPr>
                            <w:rFonts w:ascii="DejaVu Math TeX Gyre" w:hAnsi="DejaVu Math TeX Gyre" w:eastAsia="Times New Roman"/>
                            <w:color w:val="auto"/>
                            <w:sz w:val="22"/>
                          </w:rPr>
                        </m:ctrlPr>
                      </m:e>
                      <m:sub>
                        <m:r>
                          <m:rPr/>
                          <w:rPr>
                            <w:rFonts w:hint="default" w:ascii="DejaVu Math TeX Gyre" w:hAnsi="DejaVu Math TeX Gyre" w:eastAsia="Times New Roman"/>
                            <w:color w:val="auto"/>
                            <w:sz w:val="22"/>
                          </w:rPr>
                          <m:t>on_chain</m:t>
                        </m:r>
                        <m:ctrlPr>
                          <w:rPr>
                            <w:rFonts w:ascii="DejaVu Math TeX Gyre" w:hAnsi="DejaVu Math TeX Gyre" w:eastAsia="Times New Roman"/>
                            <w:color w:val="auto"/>
                            <w:sz w:val="22"/>
                          </w:rPr>
                        </m:ctrlPr>
                      </m:sub>
                    </m:sSub>
                    <m:r>
                      <m:rPr/>
                      <w:rPr>
                        <w:rFonts w:hint="default" w:ascii="DejaVu Math TeX Gyre" w:hAnsi="DejaVu Math TeX Gyre" w:eastAsia="Times New Roman"/>
                        <w:color w:val="auto"/>
                        <w:sz w:val="22"/>
                      </w:rPr>
                      <m:t>)</m:t>
                    </m:r>
                    <m:ctrlPr>
                      <w:rPr>
                        <w:rFonts w:hint="default" w:ascii="DejaVu Math TeX Gyre" w:hAnsi="DejaVu Math TeX Gyre" w:eastAsia="Times New Roman"/>
                        <w:color w:val="auto"/>
                        <w:sz w:val="22"/>
                      </w:rPr>
                    </m:ctrlPr>
                  </m:e>
                </m:mr>
                <m:mr>
                  <m:e>
                    <m:r>
                      <m:rPr/>
                      <w:rPr>
                        <w:rFonts w:hint="default" w:ascii="DejaVu Math TeX Gyre" w:hAnsi="DejaVu Math TeX Gyre" w:eastAsia="Times New Roman"/>
                        <w:color w:val="auto"/>
                        <w:sz w:val="22"/>
                      </w:rPr>
                      <m:t>0,</m:t>
                    </m:r>
                    <m:ctrlPr>
                      <w:rPr>
                        <w:rFonts w:hint="default" w:ascii="DejaVu Math TeX Gyre" w:hAnsi="DejaVu Math TeX Gyre" w:eastAsia="Times New Roman"/>
                        <w:color w:val="auto"/>
                        <w:sz w:val="22"/>
                      </w:rPr>
                    </m:ctrlPr>
                  </m:e>
                  <m:e>
                    <m:r>
                      <m:rPr/>
                      <w:rPr>
                        <w:rFonts w:hint="default" w:ascii="DejaVu Math TeX Gyre" w:hAnsi="DejaVu Math TeX Gyre" w:eastAsia="Times New Roman"/>
                        <w:color w:val="auto"/>
                        <w:sz w:val="22"/>
                      </w:rPr>
                      <m:t>if</m:t>
                    </m:r>
                    <m:r>
                      <m:rPr>
                        <m:sty m:val="p"/>
                      </m:rPr>
                      <w:rPr>
                        <w:rFonts w:hint="default" w:ascii="DejaVu Math TeX Gyre" w:hAnsi="DejaVu Math TeX Gyre" w:eastAsia="Times New Roman"/>
                        <w:color w:val="auto"/>
                        <w:sz w:val="22"/>
                      </w:rPr>
                      <m:t xml:space="preserve"> </m:t>
                    </m:r>
                    <m:sSub>
                      <m:sSubPr>
                        <m:ctrlPr>
                          <w:rPr>
                            <w:rFonts w:hint="default" w:ascii="DejaVu Math TeX Gyre" w:hAnsi="DejaVu Math TeX Gyre" w:eastAsia="Times New Roman"/>
                            <w:color w:val="auto"/>
                            <w:sz w:val="22"/>
                          </w:rPr>
                        </m:ctrlPr>
                      </m:sSubPr>
                      <m:e>
                        <m:r>
                          <m:rPr/>
                          <w:rPr>
                            <w:rFonts w:hint="default" w:ascii="DejaVu Math TeX Gyre" w:hAnsi="DejaVu Math TeX Gyre" w:eastAsia="Times New Roman"/>
                            <w:color w:val="auto"/>
                            <w:sz w:val="22"/>
                          </w:rPr>
                          <m:t>H</m:t>
                        </m:r>
                        <m:ctrlPr>
                          <w:rPr>
                            <w:rFonts w:ascii="DejaVu Math TeX Gyre" w:hAnsi="DejaVu Math TeX Gyre" w:eastAsia="Times New Roman"/>
                            <w:color w:val="auto"/>
                            <w:sz w:val="22"/>
                          </w:rPr>
                        </m:ctrlPr>
                      </m:e>
                      <m:sub>
                        <m:r>
                          <m:rPr/>
                          <w:rPr>
                            <w:rFonts w:hint="default" w:ascii="DejaVu Math TeX Gyre" w:hAnsi="DejaVu Math TeX Gyre" w:eastAsia="Times New Roman"/>
                            <w:color w:val="auto"/>
                            <w:sz w:val="22"/>
                          </w:rPr>
                          <m:t>real</m:t>
                        </m:r>
                        <m:ctrlPr>
                          <w:rPr>
                            <w:rFonts w:ascii="DejaVu Math TeX Gyre" w:hAnsi="DejaVu Math TeX Gyre" w:eastAsia="Times New Roman"/>
                            <w:color w:val="auto"/>
                            <w:sz w:val="22"/>
                          </w:rPr>
                        </m:ctrlPr>
                      </m:sub>
                    </m:sSub>
                    <m:r>
                      <m:rPr/>
                      <w:rPr>
                        <w:rFonts w:hint="default" w:ascii="DejaVu Math TeX Gyre" w:hAnsi="DejaVu Math TeX Gyre" w:eastAsia="Times New Roman"/>
                        <w:color w:val="auto"/>
                        <w:sz w:val="22"/>
                      </w:rPr>
                      <m:t>(Dat</m:t>
                    </m:r>
                    <m:sSub>
                      <m:sSubPr>
                        <m:ctrlPr>
                          <w:rPr>
                            <w:rFonts w:hint="default" w:ascii="DejaVu Math TeX Gyre" w:hAnsi="DejaVu Math TeX Gyre" w:eastAsia="Times New Roman"/>
                            <w:color w:val="auto"/>
                            <w:sz w:val="22"/>
                          </w:rPr>
                        </m:ctrlPr>
                      </m:sSubPr>
                      <m:e>
                        <m:r>
                          <m:rPr/>
                          <w:rPr>
                            <w:rFonts w:hint="default" w:ascii="DejaVu Math TeX Gyre" w:hAnsi="DejaVu Math TeX Gyre" w:eastAsia="Times New Roman"/>
                            <w:color w:val="auto"/>
                            <w:sz w:val="22"/>
                          </w:rPr>
                          <m:t>a</m:t>
                        </m:r>
                        <m:ctrlPr>
                          <w:rPr>
                            <w:rFonts w:ascii="DejaVu Math TeX Gyre" w:hAnsi="DejaVu Math TeX Gyre" w:eastAsia="Times New Roman"/>
                            <w:color w:val="auto"/>
                            <w:sz w:val="22"/>
                          </w:rPr>
                        </m:ctrlPr>
                      </m:e>
                      <m:sub>
                        <m:r>
                          <m:rPr/>
                          <w:rPr>
                            <w:rFonts w:hint="default" w:ascii="DejaVu Math TeX Gyre" w:hAnsi="DejaVu Math TeX Gyre" w:eastAsia="Times New Roman"/>
                            <w:color w:val="auto"/>
                            <w:sz w:val="22"/>
                          </w:rPr>
                          <m:t>off_chain</m:t>
                        </m:r>
                        <m:ctrlPr>
                          <w:rPr>
                            <w:rFonts w:ascii="DejaVu Math TeX Gyre" w:hAnsi="DejaVu Math TeX Gyre" w:eastAsia="Times New Roman"/>
                            <w:color w:val="auto"/>
                            <w:sz w:val="22"/>
                          </w:rPr>
                        </m:ctrlPr>
                      </m:sub>
                    </m:sSub>
                    <m:r>
                      <m:rPr/>
                      <w:rPr>
                        <w:rFonts w:hint="default" w:ascii="DejaVu Math TeX Gyre" w:hAnsi="DejaVu Math TeX Gyre" w:eastAsia="Times New Roman"/>
                        <w:color w:val="auto"/>
                        <w:sz w:val="22"/>
                      </w:rPr>
                      <m:t>)</m:t>
                    </m:r>
                    <m:r>
                      <m:rPr>
                        <m:sty m:val="p"/>
                      </m:rPr>
                      <w:rPr>
                        <w:rFonts w:hint="default" w:ascii="DejaVu Math TeX Gyre" w:hAnsi="DejaVu Math TeX Gyre" w:eastAsia="Times New Roman"/>
                        <w:color w:val="auto"/>
                        <w:sz w:val="22"/>
                      </w:rPr>
                      <m:t≯</m:t>
                    </m:r>
                    <m:r>
                      <m:rPr/>
                      <w:rPr>
                        <w:rFonts w:hint="default" w:ascii="DejaVu Math TeX Gyre" w:hAnsi="DejaVu Math TeX Gyre" w:eastAsia="Times New Roman"/>
                        <w:color w:val="auto"/>
                        <w:sz w:val="22"/>
                      </w:rPr>
                      <m:t>≡</m:t>
                    </m:r>
                    <m:sSub>
                      <m:sSubPr>
                        <m:ctrlPr>
                          <w:rPr>
                            <w:rFonts w:hint="default" w:ascii="DejaVu Math TeX Gyre" w:hAnsi="DejaVu Math TeX Gyre" w:eastAsia="Times New Roman"/>
                            <w:color w:val="auto"/>
                            <w:sz w:val="22"/>
                          </w:rPr>
                        </m:ctrlPr>
                      </m:sSubPr>
                      <m:e>
                        <m:r>
                          <m:rPr/>
                          <w:rPr>
                            <w:rFonts w:hint="default" w:ascii="DejaVu Math TeX Gyre" w:hAnsi="DejaVu Math TeX Gyre" w:eastAsia="Times New Roman"/>
                            <w:color w:val="auto"/>
                            <w:sz w:val="22"/>
                          </w:rPr>
                          <m:t>H</m:t>
                        </m:r>
                        <m:ctrlPr>
                          <w:rPr>
                            <w:rFonts w:ascii="DejaVu Math TeX Gyre" w:hAnsi="DejaVu Math TeX Gyre" w:eastAsia="Times New Roman"/>
                            <w:color w:val="auto"/>
                            <w:sz w:val="22"/>
                          </w:rPr>
                        </m:ctrlPr>
                      </m:e>
                      <m:sub>
                        <m:r>
                          <m:rPr/>
                          <w:rPr>
                            <w:rFonts w:hint="default" w:ascii="DejaVu Math TeX Gyre" w:hAnsi="DejaVu Math TeX Gyre" w:eastAsia="Times New Roman"/>
                            <w:color w:val="auto"/>
                            <w:sz w:val="22"/>
                          </w:rPr>
                          <m:t>anchor</m:t>
                        </m:r>
                        <m:ctrlPr>
                          <w:rPr>
                            <w:rFonts w:ascii="DejaVu Math TeX Gyre" w:hAnsi="DejaVu Math TeX Gyre" w:eastAsia="Times New Roman"/>
                            <w:color w:val="auto"/>
                            <w:sz w:val="22"/>
                          </w:rPr>
                        </m:ctrlPr>
                      </m:sub>
                    </m:sSub>
                    <m:r>
                      <m:rPr/>
                      <w:rPr>
                        <w:rFonts w:hint="default" w:ascii="DejaVu Math TeX Gyre" w:hAnsi="DejaVu Math TeX Gyre" w:eastAsia="Times New Roman"/>
                        <w:color w:val="auto"/>
                        <w:sz w:val="22"/>
                      </w:rPr>
                      <m:t>(Ledge</m:t>
                    </m:r>
                    <m:sSub>
                      <m:sSubPr>
                        <m:ctrlPr>
                          <w:rPr>
                            <w:rFonts w:hint="default" w:ascii="DejaVu Math TeX Gyre" w:hAnsi="DejaVu Math TeX Gyre" w:eastAsia="Times New Roman"/>
                            <w:color w:val="auto"/>
                            <w:sz w:val="22"/>
                          </w:rPr>
                        </m:ctrlPr>
                      </m:sSubPr>
                      <m:e>
                        <m:r>
                          <m:rPr/>
                          <w:rPr>
                            <w:rFonts w:hint="default" w:ascii="DejaVu Math TeX Gyre" w:hAnsi="DejaVu Math TeX Gyre" w:eastAsia="Times New Roman"/>
                            <w:color w:val="auto"/>
                            <w:sz w:val="22"/>
                          </w:rPr>
                          <m:t>r</m:t>
                        </m:r>
                        <m:ctrlPr>
                          <w:rPr>
                            <w:rFonts w:ascii="DejaVu Math TeX Gyre" w:hAnsi="DejaVu Math TeX Gyre" w:eastAsia="Times New Roman"/>
                            <w:color w:val="auto"/>
                            <w:sz w:val="22"/>
                          </w:rPr>
                        </m:ctrlPr>
                      </m:e>
                      <m:sub>
                        <m:r>
                          <m:rPr/>
                          <w:rPr>
                            <w:rFonts w:hint="default" w:ascii="DejaVu Math TeX Gyre" w:hAnsi="DejaVu Math TeX Gyre" w:eastAsia="Times New Roman"/>
                            <w:color w:val="auto"/>
                            <w:sz w:val="22"/>
                          </w:rPr>
                          <m:t>on_chain</m:t>
                        </m:r>
                        <m:ctrlPr>
                          <w:rPr>
                            <w:rFonts w:ascii="DejaVu Math TeX Gyre" w:hAnsi="DejaVu Math TeX Gyre" w:eastAsia="Times New Roman"/>
                            <w:color w:val="auto"/>
                            <w:sz w:val="22"/>
                          </w:rPr>
                        </m:ctrlPr>
                      </m:sub>
                    </m:sSub>
                    <m:r>
                      <m:rPr/>
                      <w:rPr>
                        <w:rFonts w:hint="default" w:ascii="DejaVu Math TeX Gyre" w:hAnsi="DejaVu Math TeX Gyre" w:eastAsia="Times New Roman"/>
                        <w:color w:val="auto"/>
                        <w:sz w:val="22"/>
                      </w:rPr>
                      <m:t>)</m:t>
                    </m:r>
                    <m:ctrlPr>
                      <w:rPr>
                        <w:rFonts w:hint="default" w:ascii="DejaVu Math TeX Gyre" w:hAnsi="DejaVu Math TeX Gyre" w:eastAsia="Times New Roman"/>
                        <w:color w:val="auto"/>
                        <w:sz w:val="22"/>
                      </w:rPr>
                    </m:ctrlPr>
                  </m:e>
                </m:mr>
              </m:m>
              <m:ctrlPr>
                <w:rPr>
                  <w:rFonts w:hint="default" w:ascii="DejaVu Math TeX Gyre" w:hAnsi="DejaVu Math TeX Gyre" w:eastAsia="Times New Roman"/>
                  <w:i/>
                  <w:color w:val="auto"/>
                  <w:sz w:val="22"/>
                </w:rPr>
              </m:ctrlPr>
            </m:e>
          </m:d>
        </m:oMath>
      </m:oMathPara>
    </w:p>
    <w:p w14:paraId="2057A986">
      <w:pPr>
        <w:spacing w:after="120" w:line="360" w:lineRule="auto"/>
        <w:rPr>
          <w:rFonts w:hint="default" w:ascii="Times New Roman Regular" w:hAnsi="Times New Roman Regular" w:eastAsia="Times New Roman" w:cs="Times New Roman Regular"/>
          <w:b w:val="0"/>
          <w:i w:val="0"/>
          <w:color w:val="auto"/>
          <w:sz w:val="22"/>
        </w:rPr>
      </w:pPr>
    </w:p>
    <w:p w14:paraId="718E9C50">
      <w:pPr>
        <w:spacing w:after="120" w:line="360" w:lineRule="auto"/>
        <w:rPr>
          <w:rFonts w:hint="default" w:ascii="Times New Roman Regular" w:hAnsi="Times New Roman Regular" w:cs="Times New Roman Regular"/>
          <w:color w:val="auto"/>
        </w:rPr>
      </w:pPr>
      <w:r>
        <w:rPr>
          <w:rFonts w:hint="default" w:ascii="Times New Roman Regular" w:hAnsi="Times New Roman Regular" w:eastAsia="Times New Roman" w:cs="Times New Roman Regular"/>
          <w:b w:val="0"/>
          <w:i w:val="0"/>
          <w:color w:val="auto"/>
          <w:sz w:val="22"/>
        </w:rPr>
        <w:t>Due to the strict one-way nature and strong collision resistance (avalanche effect) of cryptographic hash functions, if the original ciphertext medical data undergoes even a single-bit alteration or damage within the physical medium of the off-chain storage node, its calculated Hreal will experience a long-distance, unrecognizable change. At this point, Verification_Result will inevitably return a false value of 0. The Access Control Contract will instantly and unconditionally intercept the outward circulation of this data, blocking contaminated or tampered simulated medical records from entering the clinical doctor's decision-making flow, and triggering a network-wide secure audit red-line alarm, effectively resisting insider attacks [6,13].</w:t>
      </w:r>
    </w:p>
    <w:p w14:paraId="236C5649">
      <w:pPr>
        <w:pStyle w:val="4"/>
        <w:bidi w:val="0"/>
        <w:spacing w:line="360" w:lineRule="auto"/>
        <w:rPr>
          <w:rFonts w:hint="default" w:ascii="Times New Roman Regular" w:hAnsi="Times New Roman Regular" w:cs="Times New Roman Regular"/>
          <w:color w:val="auto"/>
        </w:rPr>
      </w:pPr>
      <w:bookmarkStart w:id="14" w:name="_Toc1285481447"/>
      <w:r>
        <w:rPr>
          <w:rFonts w:hint="default" w:ascii="Times New Roman Regular" w:hAnsi="Times New Roman Regular" w:cs="Times New Roman Regular"/>
          <w:color w:val="auto"/>
        </w:rPr>
        <w:t>4 Experimental Design and Performance Analysis</w:t>
      </w:r>
      <w:bookmarkEnd w:id="14"/>
    </w:p>
    <w:p w14:paraId="605AD9C5">
      <w:pPr>
        <w:pStyle w:val="5"/>
        <w:bidi w:val="0"/>
        <w:spacing w:line="360" w:lineRule="auto"/>
        <w:rPr>
          <w:rFonts w:hint="default" w:ascii="Times New Roman Regular" w:hAnsi="Times New Roman Regular" w:cs="Times New Roman Regular"/>
          <w:color w:val="auto"/>
        </w:rPr>
      </w:pPr>
      <w:bookmarkStart w:id="15" w:name="_Toc1401190909"/>
      <w:r>
        <w:rPr>
          <w:rFonts w:hint="default" w:ascii="Times New Roman Regular" w:hAnsi="Times New Roman Regular" w:cs="Times New Roman Regular"/>
          <w:color w:val="auto"/>
        </w:rPr>
        <w:t>4.1 Experimental Environment Configuration and Quantitative Metrics Setup</w:t>
      </w:r>
      <w:bookmarkEnd w:id="15"/>
    </w:p>
    <w:p w14:paraId="385B92F7">
      <w:pPr>
        <w:spacing w:after="120" w:line="360" w:lineRule="auto"/>
        <w:rPr>
          <w:rFonts w:hint="default" w:ascii="Times New Roman Regular" w:hAnsi="Times New Roman Regular" w:cs="Times New Roman Regular"/>
          <w:color w:val="auto"/>
        </w:rPr>
      </w:pPr>
      <w:r>
        <w:rPr>
          <w:rFonts w:hint="default" w:ascii="Times New Roman Regular" w:hAnsi="Times New Roman Regular" w:eastAsia="Times New Roman" w:cs="Times New Roman Regular"/>
          <w:b w:val="0"/>
          <w:i w:val="0"/>
          <w:color w:val="auto"/>
          <w:sz w:val="22"/>
        </w:rPr>
        <w:t>In order to comprehensively stress-test and objectively evaluate the comprehensive效能 efficiency, operational cost-effectiveness, and protection high-water mark of the proposed system architecture in a authentic medical sharing scenario, the experiments were deployed on a physical workstation configured with an AMD Ryzen 7 5800H (8 cores, 16 threads, 3.2GHz base frequency), 16GB DDR4 high-speed memory, a solid-state drive, and an Ubuntu 22.04 LTS operating system. Utilizing Docker containerization virtualization technology, a Hyperledger Fabric consortium blockchain foundational network containing 4 Peer node organizations and 1 Orderer ordering service node based on the Raft protocol was successfully established [7,9]. An IPFS private distribution cluster composed of 3 physical nodes was deployed off-chain in coordination [15].</w:t>
      </w:r>
    </w:p>
    <w:p w14:paraId="21913577">
      <w:pPr>
        <w:spacing w:after="120" w:line="360" w:lineRule="auto"/>
        <w:rPr>
          <w:rFonts w:hint="default" w:ascii="Times New Roman Regular" w:hAnsi="Times New Roman Regular" w:cs="Times New Roman Regular"/>
          <w:color w:val="auto"/>
        </w:rPr>
      </w:pPr>
      <w:r>
        <w:rPr>
          <w:rFonts w:hint="default" w:ascii="Times New Roman Regular" w:hAnsi="Times New Roman Regular" w:eastAsia="Times New Roman" w:cs="Times New Roman Regular"/>
          <w:b w:val="0"/>
          <w:i w:val="0"/>
          <w:color w:val="auto"/>
          <w:sz w:val="22"/>
        </w:rPr>
        <w:t>The dataset used for testing was constructed by a self-developed Python script automating an anonymous structured electronic medical record data generator. The data scale is hierarchically divided into four high-concurrency pressure zones: 1,000 items, 5,000 items, 10,000 items, and 50,000 items. Each group of experiments was run independently and repeatedly 5 times; after removing extreme values, the arithmetic mean was extracted [1,2].</w:t>
      </w:r>
    </w:p>
    <w:p w14:paraId="68CAFA95">
      <w:pPr>
        <w:spacing w:after="120" w:line="360" w:lineRule="auto"/>
        <w:rPr>
          <w:rFonts w:hint="default" w:ascii="Times New Roman Regular" w:hAnsi="Times New Roman Regular" w:cs="Times New Roman Regular"/>
          <w:color w:val="auto"/>
        </w:rPr>
      </w:pPr>
      <w:r>
        <w:rPr>
          <w:rFonts w:hint="default" w:ascii="Times New Roman Regular" w:hAnsi="Times New Roman Regular" w:eastAsia="Times New Roman" w:cs="Times New Roman Regular"/>
          <w:b w:val="0"/>
          <w:i w:val="0"/>
          <w:color w:val="auto"/>
          <w:sz w:val="22"/>
        </w:rPr>
        <w:t>This experiment defined four complete horizontal control groups representing typical academic and industrial archetypes [5]:</w:t>
      </w:r>
    </w:p>
    <w:p w14:paraId="0453C7A5">
      <w:pPr>
        <w:pStyle w:val="16"/>
        <w:spacing w:after="80" w:line="360" w:lineRule="auto"/>
        <w:rPr>
          <w:rFonts w:hint="default" w:ascii="Times New Roman Regular" w:hAnsi="Times New Roman Regular" w:cs="Times New Roman Regular"/>
          <w:color w:val="auto"/>
        </w:rPr>
      </w:pPr>
      <w:r>
        <w:rPr>
          <w:rFonts w:hint="default" w:ascii="Times New Roman Regular" w:hAnsi="Times New Roman Regular" w:eastAsia="Times New Roman" w:cs="Times New Roman Regular"/>
          <w:b/>
          <w:i w:val="0"/>
          <w:color w:val="auto"/>
          <w:sz w:val="22"/>
        </w:rPr>
        <w:t xml:space="preserve">Group A (Traditional Centralized System): </w:t>
      </w:r>
      <w:r>
        <w:rPr>
          <w:rFonts w:hint="default" w:ascii="Times New Roman Regular" w:hAnsi="Times New Roman Regular" w:eastAsia="Times New Roman" w:cs="Times New Roman Regular"/>
          <w:b w:val="0"/>
          <w:i w:val="0"/>
          <w:color w:val="auto"/>
          <w:sz w:val="22"/>
        </w:rPr>
        <w:t>Adopts the centralized topology currently prevailing across most small and medium-sized hospitals, based on a standard relational database MySQL (single-point configuration, no cluster sharding), executing reads, writes, and access via classic SQL statements.</w:t>
      </w:r>
    </w:p>
    <w:p w14:paraId="415366CE">
      <w:pPr>
        <w:pStyle w:val="16"/>
        <w:spacing w:after="80" w:line="360" w:lineRule="auto"/>
        <w:rPr>
          <w:rFonts w:hint="default" w:ascii="Times New Roman Regular" w:hAnsi="Times New Roman Regular" w:cs="Times New Roman Regular"/>
          <w:color w:val="auto"/>
        </w:rPr>
      </w:pPr>
      <w:r>
        <w:rPr>
          <w:rFonts w:hint="default" w:ascii="Times New Roman Regular" w:hAnsi="Times New Roman Regular" w:eastAsia="Times New Roman" w:cs="Times New Roman Regular"/>
          <w:b/>
          <w:i w:val="0"/>
          <w:color w:val="auto"/>
          <w:sz w:val="22"/>
        </w:rPr>
        <w:t xml:space="preserve">Group B (Pure Hash Without Chain Verification System): </w:t>
      </w:r>
      <w:r>
        <w:rPr>
          <w:rFonts w:hint="default" w:ascii="Times New Roman Regular" w:hAnsi="Times New Roman Regular" w:eastAsia="Times New Roman" w:cs="Times New Roman Regular"/>
          <w:b w:val="0"/>
          <w:i w:val="0"/>
          <w:color w:val="auto"/>
          <w:sz w:val="22"/>
        </w:rPr>
        <w:t>Data is stored in the off-chain local file system, and only hash digests are retained in the database for comparison and verification, without introducing any decentralized blockchain distributed ledgers or node consensus mechanisms [2].</w:t>
      </w:r>
    </w:p>
    <w:p w14:paraId="48175D4B">
      <w:pPr>
        <w:pStyle w:val="16"/>
        <w:spacing w:after="80" w:line="360" w:lineRule="auto"/>
        <w:rPr>
          <w:rFonts w:hint="default" w:ascii="Times New Roman Regular" w:hAnsi="Times New Roman Regular" w:cs="Times New Roman Regular"/>
          <w:color w:val="auto"/>
        </w:rPr>
      </w:pPr>
      <w:r>
        <w:rPr>
          <w:rFonts w:hint="default" w:ascii="Times New Roman Regular" w:hAnsi="Times New Roman Regular" w:eastAsia="Times New Roman" w:cs="Times New Roman Regular"/>
          <w:b/>
          <w:i w:val="0"/>
          <w:color w:val="auto"/>
          <w:sz w:val="22"/>
        </w:rPr>
        <w:t xml:space="preserve">Group C (Traditional Centralized Database + Manual Privilege Approval Flow Medical System): </w:t>
      </w:r>
      <w:r>
        <w:rPr>
          <w:rFonts w:hint="default" w:ascii="Times New Roman Regular" w:hAnsi="Times New Roman Regular" w:eastAsia="Times New Roman" w:cs="Times New Roman Regular"/>
          <w:b w:val="0"/>
          <w:i w:val="0"/>
          <w:color w:val="auto"/>
          <w:sz w:val="22"/>
        </w:rPr>
        <w:t>Relies on the centralized storage architecture of Group A at the bottom layer, but adds manual approvals, off-chain circulation, and role-tree privilege control at the application layer [11].</w:t>
      </w:r>
    </w:p>
    <w:p w14:paraId="604EC7FC">
      <w:pPr>
        <w:pStyle w:val="16"/>
        <w:spacing w:after="80" w:line="360" w:lineRule="auto"/>
        <w:rPr>
          <w:rFonts w:hint="default" w:ascii="Times New Roman Regular" w:hAnsi="Times New Roman Regular" w:cs="Times New Roman Regular"/>
          <w:color w:val="auto"/>
        </w:rPr>
      </w:pPr>
      <w:r>
        <w:rPr>
          <w:rFonts w:hint="default" w:ascii="Times New Roman Regular" w:hAnsi="Times New Roman Regular" w:eastAsia="Times New Roman" w:cs="Times New Roman Regular"/>
          <w:b/>
          <w:i w:val="0"/>
          <w:color w:val="auto"/>
          <w:sz w:val="22"/>
        </w:rPr>
        <w:t xml:space="preserve">Group D (Our Proposed System): </w:t>
      </w:r>
      <w:r>
        <w:rPr>
          <w:rFonts w:hint="default" w:ascii="Times New Roman Regular" w:hAnsi="Times New Roman Regular" w:eastAsia="Times New Roman" w:cs="Times New Roman Regular"/>
          <w:b w:val="0"/>
          <w:i w:val="0"/>
          <w:color w:val="auto"/>
          <w:sz w:val="22"/>
        </w:rPr>
        <w:t>Fully integrates the integrated model system of 'blockchain + smart contract + IPFS hybrid decoupled storage + ABAC fine-grained rigid privilege control' proposed in this paper.</w:t>
      </w:r>
    </w:p>
    <w:p w14:paraId="485D2051">
      <w:pPr>
        <w:spacing w:after="120" w:line="360" w:lineRule="auto"/>
        <w:rPr>
          <w:rFonts w:hint="default" w:ascii="Times New Roman Regular" w:hAnsi="Times New Roman Regular" w:cs="Times New Roman Regular"/>
          <w:color w:val="auto"/>
        </w:rPr>
      </w:pPr>
      <w:r>
        <w:rPr>
          <w:rFonts w:hint="default" w:ascii="Times New Roman Regular" w:hAnsi="Times New Roman Regular" w:eastAsia="Times New Roman" w:cs="Times New Roman Regular"/>
          <w:b w:val="0"/>
          <w:i w:val="0"/>
          <w:color w:val="auto"/>
          <w:sz w:val="22"/>
        </w:rPr>
        <w:t>The quantitative evaluation matrix cross-covers four core technical dimensions [5,6]: the performance dimension (system peak throughput TPS, average data registration latency, average data verification response latency); the cost dimension (the proportion of additional storage overhead triggered by system operations); the security dimension (highly accurate malicious tampering detection rate, illegal unauthorized access false-negative leak rate), and the operation and maintenance consistency dimension.</w:t>
      </w:r>
    </w:p>
    <w:p w14:paraId="1CBA7E68">
      <w:pPr>
        <w:pStyle w:val="5"/>
        <w:bidi w:val="0"/>
        <w:spacing w:line="360" w:lineRule="auto"/>
        <w:rPr>
          <w:rFonts w:hint="default" w:ascii="Times New Roman Regular" w:hAnsi="Times New Roman Regular" w:cs="Times New Roman Regular"/>
          <w:color w:val="auto"/>
        </w:rPr>
      </w:pPr>
      <w:bookmarkStart w:id="16" w:name="_Toc509934561"/>
      <w:r>
        <w:rPr>
          <w:rFonts w:hint="default" w:ascii="Times New Roman Regular" w:hAnsi="Times New Roman Regular" w:cs="Times New Roman Regular"/>
          <w:color w:val="auto"/>
        </w:rPr>
        <w:t>4.2 Multi-Dimensional Statistical Analysis and Presentation of Experimental Results</w:t>
      </w:r>
      <w:bookmarkEnd w:id="16"/>
    </w:p>
    <w:p w14:paraId="221D8577">
      <w:pPr>
        <w:pStyle w:val="6"/>
        <w:bidi w:val="0"/>
        <w:spacing w:line="36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4.2.1 Fundamental Performance and Operational Cost Metrics Evolutionary Analysis</w:t>
      </w:r>
    </w:p>
    <w:p w14:paraId="7AA8CF33">
      <w:pPr>
        <w:spacing w:after="120" w:line="360" w:lineRule="auto"/>
        <w:rPr>
          <w:rFonts w:hint="default" w:ascii="Times New Roman Regular" w:hAnsi="Times New Roman Regular" w:cs="Times New Roman Regular"/>
          <w:color w:val="auto"/>
        </w:rPr>
      </w:pPr>
      <w:r>
        <w:rPr>
          <w:rFonts w:hint="default" w:ascii="Times New Roman Regular" w:hAnsi="Times New Roman Regular" w:eastAsia="Times New Roman" w:cs="Times New Roman Regular"/>
          <w:b w:val="0"/>
          <w:i w:val="0"/>
          <w:color w:val="auto"/>
          <w:sz w:val="22"/>
        </w:rPr>
        <w:t>Under extreme pressure conditions where multi-center nodes concurrently initiate data registration, cross-hospital retrieval, and privilege verification, the concrete performance of the four control systems at the efficiency and underlying resource overhead levels is compiled in Table 4-1:</w:t>
      </w:r>
    </w:p>
    <w:p w14:paraId="528C430F">
      <w:pPr>
        <w:keepNext/>
        <w:spacing w:before="240" w:after="120" w:line="360" w:lineRule="auto"/>
        <w:rPr>
          <w:rFonts w:hint="default" w:ascii="Times New Roman Regular" w:hAnsi="Times New Roman Regular" w:cs="Times New Roman Regular"/>
          <w:color w:val="auto"/>
        </w:rPr>
      </w:pPr>
      <w:r>
        <w:rPr>
          <w:rFonts w:hint="default" w:ascii="Times New Roman Regular" w:hAnsi="Times New Roman Regular" w:eastAsia="Times New Roman" w:cs="Times New Roman Regular"/>
          <w:b/>
          <w:i w:val="0"/>
          <w:color w:val="auto"/>
          <w:sz w:val="22"/>
        </w:rPr>
        <w:t>Table 4-1. Comparison of Comprehensive System Performance and Operational Cost Overheads</w:t>
      </w:r>
    </w:p>
    <w:tbl>
      <w:tblPr>
        <w:tblStyle w:val="35"/>
        <w:tblW w:w="0" w:type="auto"/>
        <w:jc w:val="center"/>
        <w:tblLayout w:type="autofit"/>
        <w:tblCellMar>
          <w:top w:w="0" w:type="dxa"/>
          <w:left w:w="108" w:type="dxa"/>
          <w:bottom w:w="0" w:type="dxa"/>
          <w:right w:w="108" w:type="dxa"/>
        </w:tblCellMar>
      </w:tblPr>
      <w:tblGrid>
        <w:gridCol w:w="1872"/>
        <w:gridCol w:w="1872"/>
        <w:gridCol w:w="1872"/>
        <w:gridCol w:w="1872"/>
        <w:gridCol w:w="1872"/>
      </w:tblGrid>
      <w:tr w14:paraId="43D454D8">
        <w:tblPrEx>
          <w:tblCellMar>
            <w:top w:w="0" w:type="dxa"/>
            <w:left w:w="108" w:type="dxa"/>
            <w:bottom w:w="0" w:type="dxa"/>
            <w:right w:w="108" w:type="dxa"/>
          </w:tblCellMar>
        </w:tblPrEx>
        <w:trPr>
          <w:jc w:val="center"/>
        </w:trPr>
        <w:tc>
          <w:tcPr>
            <w:tcW w:w="1872" w:type="dxa"/>
            <w:shd w:val="clear" w:color="auto" w:fill="1F4E78"/>
          </w:tcPr>
          <w:p w14:paraId="5FA16246">
            <w:pPr>
              <w:spacing w:before="40" w:after="40" w:line="360" w:lineRule="auto"/>
              <w:jc w:val="center"/>
              <w:rPr>
                <w:rFonts w:hint="default" w:ascii="Times New Roman Regular" w:hAnsi="Times New Roman Regular" w:cs="Times New Roman Regular"/>
                <w:color w:val="auto"/>
              </w:rPr>
            </w:pPr>
            <w:r>
              <w:rPr>
                <w:rFonts w:hint="default" w:ascii="Times New Roman Regular" w:hAnsi="Times New Roman Regular" w:eastAsia="Times New Roman" w:cs="Times New Roman Regular"/>
                <w:b/>
                <w:i w:val="0"/>
                <w:color w:val="auto"/>
                <w:sz w:val="20"/>
              </w:rPr>
              <w:t>Control Group</w:t>
            </w:r>
          </w:p>
        </w:tc>
        <w:tc>
          <w:tcPr>
            <w:tcW w:w="1872" w:type="dxa"/>
            <w:shd w:val="clear" w:color="auto" w:fill="1F4E78"/>
          </w:tcPr>
          <w:p w14:paraId="36484FFB">
            <w:pPr>
              <w:spacing w:before="40" w:after="40" w:line="360" w:lineRule="auto"/>
              <w:jc w:val="center"/>
              <w:rPr>
                <w:rFonts w:hint="default" w:ascii="Times New Roman Regular" w:hAnsi="Times New Roman Regular" w:cs="Times New Roman Regular"/>
                <w:color w:val="auto"/>
              </w:rPr>
            </w:pPr>
            <w:r>
              <w:rPr>
                <w:rFonts w:hint="default" w:ascii="Times New Roman Regular" w:hAnsi="Times New Roman Regular" w:eastAsia="Times New Roman" w:cs="Times New Roman Regular"/>
                <w:b/>
                <w:i w:val="0"/>
                <w:color w:val="auto"/>
                <w:sz w:val="20"/>
              </w:rPr>
              <w:t>Peak Throughput (TPS)</w:t>
            </w:r>
          </w:p>
        </w:tc>
        <w:tc>
          <w:tcPr>
            <w:tcW w:w="1872" w:type="dxa"/>
            <w:shd w:val="clear" w:color="auto" w:fill="1F4E78"/>
          </w:tcPr>
          <w:p w14:paraId="640DBC71">
            <w:pPr>
              <w:spacing w:before="40" w:after="40" w:line="360" w:lineRule="auto"/>
              <w:jc w:val="center"/>
              <w:rPr>
                <w:rFonts w:hint="default" w:ascii="Times New Roman Regular" w:hAnsi="Times New Roman Regular" w:cs="Times New Roman Regular"/>
                <w:color w:val="auto"/>
              </w:rPr>
            </w:pPr>
            <w:r>
              <w:rPr>
                <w:rFonts w:hint="default" w:ascii="Times New Roman Regular" w:hAnsi="Times New Roman Regular" w:eastAsia="Times New Roman" w:cs="Times New Roman Regular"/>
                <w:b/>
                <w:i w:val="0"/>
                <w:color w:val="auto"/>
                <w:sz w:val="20"/>
              </w:rPr>
              <w:t>Avg Registration Latency (ms)</w:t>
            </w:r>
          </w:p>
        </w:tc>
        <w:tc>
          <w:tcPr>
            <w:tcW w:w="1872" w:type="dxa"/>
            <w:shd w:val="clear" w:color="auto" w:fill="1F4E78"/>
          </w:tcPr>
          <w:p w14:paraId="0D5992AE">
            <w:pPr>
              <w:spacing w:before="40" w:after="40" w:line="360" w:lineRule="auto"/>
              <w:jc w:val="center"/>
              <w:rPr>
                <w:rFonts w:hint="default" w:ascii="Times New Roman Regular" w:hAnsi="Times New Roman Regular" w:cs="Times New Roman Regular"/>
                <w:color w:val="auto"/>
              </w:rPr>
            </w:pPr>
            <w:r>
              <w:rPr>
                <w:rFonts w:hint="default" w:ascii="Times New Roman Regular" w:hAnsi="Times New Roman Regular" w:eastAsia="Times New Roman" w:cs="Times New Roman Regular"/>
                <w:b/>
                <w:i w:val="0"/>
                <w:color w:val="auto"/>
                <w:sz w:val="20"/>
              </w:rPr>
              <w:t>Avg Verification Latency (ms)</w:t>
            </w:r>
          </w:p>
        </w:tc>
        <w:tc>
          <w:tcPr>
            <w:tcW w:w="1872" w:type="dxa"/>
            <w:shd w:val="clear" w:color="auto" w:fill="1F4E78"/>
          </w:tcPr>
          <w:p w14:paraId="3660E882">
            <w:pPr>
              <w:spacing w:before="40" w:after="40" w:line="360" w:lineRule="auto"/>
              <w:jc w:val="center"/>
              <w:rPr>
                <w:rFonts w:hint="default" w:ascii="Times New Roman Regular" w:hAnsi="Times New Roman Regular" w:cs="Times New Roman Regular"/>
                <w:color w:val="auto"/>
              </w:rPr>
            </w:pPr>
            <w:r>
              <w:rPr>
                <w:rFonts w:hint="default" w:ascii="Times New Roman Regular" w:hAnsi="Times New Roman Regular" w:eastAsia="Times New Roman" w:cs="Times New Roman Regular"/>
                <w:b/>
                <w:i w:val="0"/>
                <w:color w:val="auto"/>
                <w:sz w:val="20"/>
              </w:rPr>
              <w:t>Extra Storage Overhead (%)</w:t>
            </w:r>
          </w:p>
        </w:tc>
      </w:tr>
      <w:tr w14:paraId="51AF68E8">
        <w:tblPrEx>
          <w:tblCellMar>
            <w:top w:w="0" w:type="dxa"/>
            <w:left w:w="108" w:type="dxa"/>
            <w:bottom w:w="0" w:type="dxa"/>
            <w:right w:w="108" w:type="dxa"/>
          </w:tblCellMar>
        </w:tblPrEx>
        <w:trPr>
          <w:jc w:val="center"/>
        </w:trPr>
        <w:tc>
          <w:tcPr>
            <w:tcW w:w="1872" w:type="dxa"/>
            <w:shd w:val="clear" w:color="auto" w:fill="FFFFFF"/>
          </w:tcPr>
          <w:p w14:paraId="1C469226">
            <w:pPr>
              <w:spacing w:before="40" w:after="40" w:line="360" w:lineRule="auto"/>
              <w:rPr>
                <w:rFonts w:hint="default" w:ascii="Times New Roman Regular" w:hAnsi="Times New Roman Regular" w:cs="Times New Roman Regular"/>
                <w:color w:val="auto"/>
              </w:rPr>
            </w:pPr>
            <w:r>
              <w:rPr>
                <w:rFonts w:hint="default" w:ascii="Times New Roman Regular" w:hAnsi="Times New Roman Regular" w:eastAsia="Times New Roman" w:cs="Times New Roman Regular"/>
                <w:b w:val="0"/>
                <w:i w:val="0"/>
                <w:color w:val="auto"/>
                <w:sz w:val="20"/>
              </w:rPr>
              <w:t>Group A (Traditional Centralized)</w:t>
            </w:r>
          </w:p>
        </w:tc>
        <w:tc>
          <w:tcPr>
            <w:tcW w:w="1872" w:type="dxa"/>
            <w:shd w:val="clear" w:color="auto" w:fill="FFFFFF"/>
          </w:tcPr>
          <w:p w14:paraId="309AA449">
            <w:pPr>
              <w:spacing w:before="40" w:after="40" w:line="360" w:lineRule="auto"/>
              <w:jc w:val="center"/>
              <w:rPr>
                <w:rFonts w:hint="default" w:ascii="Times New Roman Regular" w:hAnsi="Times New Roman Regular" w:cs="Times New Roman Regular"/>
                <w:color w:val="auto"/>
              </w:rPr>
            </w:pPr>
            <w:r>
              <w:rPr>
                <w:rFonts w:hint="default" w:ascii="Times New Roman Regular" w:hAnsi="Times New Roman Regular" w:eastAsia="Times New Roman" w:cs="Times New Roman Regular"/>
                <w:b w:val="0"/>
                <w:i w:val="0"/>
                <w:color w:val="auto"/>
                <w:sz w:val="20"/>
              </w:rPr>
              <w:t>142</w:t>
            </w:r>
          </w:p>
        </w:tc>
        <w:tc>
          <w:tcPr>
            <w:tcW w:w="1872" w:type="dxa"/>
            <w:shd w:val="clear" w:color="auto" w:fill="FFFFFF"/>
          </w:tcPr>
          <w:p w14:paraId="65EADB41">
            <w:pPr>
              <w:spacing w:before="40" w:after="40" w:line="360" w:lineRule="auto"/>
              <w:jc w:val="center"/>
              <w:rPr>
                <w:rFonts w:hint="default" w:ascii="Times New Roman Regular" w:hAnsi="Times New Roman Regular" w:cs="Times New Roman Regular"/>
                <w:color w:val="auto"/>
              </w:rPr>
            </w:pPr>
            <w:r>
              <w:rPr>
                <w:rFonts w:hint="default" w:ascii="Times New Roman Regular" w:hAnsi="Times New Roman Regular" w:eastAsia="Times New Roman" w:cs="Times New Roman Regular"/>
                <w:b w:val="0"/>
                <w:i w:val="0"/>
                <w:color w:val="auto"/>
                <w:sz w:val="20"/>
              </w:rPr>
              <w:t>15</w:t>
            </w:r>
          </w:p>
        </w:tc>
        <w:tc>
          <w:tcPr>
            <w:tcW w:w="1872" w:type="dxa"/>
            <w:shd w:val="clear" w:color="auto" w:fill="FFFFFF"/>
          </w:tcPr>
          <w:p w14:paraId="5A12746D">
            <w:pPr>
              <w:spacing w:before="40" w:after="40" w:line="360" w:lineRule="auto"/>
              <w:jc w:val="center"/>
              <w:rPr>
                <w:rFonts w:hint="default" w:ascii="Times New Roman Regular" w:hAnsi="Times New Roman Regular" w:cs="Times New Roman Regular"/>
                <w:color w:val="auto"/>
              </w:rPr>
            </w:pPr>
            <w:r>
              <w:rPr>
                <w:rFonts w:hint="default" w:ascii="Times New Roman Regular" w:hAnsi="Times New Roman Regular" w:eastAsia="Times New Roman" w:cs="Times New Roman Regular"/>
                <w:b w:val="0"/>
                <w:i w:val="0"/>
                <w:color w:val="auto"/>
                <w:sz w:val="20"/>
              </w:rPr>
              <w:t>12</w:t>
            </w:r>
          </w:p>
        </w:tc>
        <w:tc>
          <w:tcPr>
            <w:tcW w:w="1872" w:type="dxa"/>
            <w:shd w:val="clear" w:color="auto" w:fill="FFFFFF"/>
          </w:tcPr>
          <w:p w14:paraId="347F4985">
            <w:pPr>
              <w:spacing w:before="40" w:after="40" w:line="360" w:lineRule="auto"/>
              <w:jc w:val="center"/>
              <w:rPr>
                <w:rFonts w:hint="default" w:ascii="Times New Roman Regular" w:hAnsi="Times New Roman Regular" w:cs="Times New Roman Regular"/>
                <w:color w:val="auto"/>
              </w:rPr>
            </w:pPr>
            <w:r>
              <w:rPr>
                <w:rFonts w:hint="default" w:ascii="Times New Roman Regular" w:hAnsi="Times New Roman Regular" w:eastAsia="Times New Roman" w:cs="Times New Roman Regular"/>
                <w:b w:val="0"/>
                <w:i w:val="0"/>
                <w:color w:val="auto"/>
                <w:sz w:val="20"/>
              </w:rPr>
              <w:t>6.2</w:t>
            </w:r>
          </w:p>
        </w:tc>
      </w:tr>
      <w:tr w14:paraId="5B3842D5">
        <w:tblPrEx>
          <w:tblCellMar>
            <w:top w:w="0" w:type="dxa"/>
            <w:left w:w="108" w:type="dxa"/>
            <w:bottom w:w="0" w:type="dxa"/>
            <w:right w:w="108" w:type="dxa"/>
          </w:tblCellMar>
        </w:tblPrEx>
        <w:trPr>
          <w:jc w:val="center"/>
        </w:trPr>
        <w:tc>
          <w:tcPr>
            <w:tcW w:w="1872" w:type="dxa"/>
            <w:shd w:val="clear" w:color="auto" w:fill="F2F2F2"/>
          </w:tcPr>
          <w:p w14:paraId="495E9E3F">
            <w:pPr>
              <w:spacing w:before="40" w:after="40" w:line="360" w:lineRule="auto"/>
              <w:rPr>
                <w:rFonts w:hint="default" w:ascii="Times New Roman Regular" w:hAnsi="Times New Roman Regular" w:cs="Times New Roman Regular"/>
                <w:color w:val="auto"/>
              </w:rPr>
            </w:pPr>
            <w:r>
              <w:rPr>
                <w:rFonts w:hint="default" w:ascii="Times New Roman Regular" w:hAnsi="Times New Roman Regular" w:eastAsia="Times New Roman" w:cs="Times New Roman Regular"/>
                <w:b w:val="0"/>
                <w:i w:val="0"/>
                <w:color w:val="auto"/>
                <w:sz w:val="20"/>
              </w:rPr>
              <w:t>Group B (Pure Hash No Chain)</w:t>
            </w:r>
          </w:p>
        </w:tc>
        <w:tc>
          <w:tcPr>
            <w:tcW w:w="1872" w:type="dxa"/>
            <w:shd w:val="clear" w:color="auto" w:fill="F2F2F2"/>
          </w:tcPr>
          <w:p w14:paraId="3220ED7C">
            <w:pPr>
              <w:spacing w:before="40" w:after="40" w:line="360" w:lineRule="auto"/>
              <w:jc w:val="center"/>
              <w:rPr>
                <w:rFonts w:hint="default" w:ascii="Times New Roman Regular" w:hAnsi="Times New Roman Regular" w:cs="Times New Roman Regular"/>
                <w:color w:val="auto"/>
              </w:rPr>
            </w:pPr>
            <w:r>
              <w:rPr>
                <w:rFonts w:hint="default" w:ascii="Times New Roman Regular" w:hAnsi="Times New Roman Regular" w:eastAsia="Times New Roman" w:cs="Times New Roman Regular"/>
                <w:b w:val="0"/>
                <w:i w:val="0"/>
                <w:color w:val="auto"/>
                <w:sz w:val="20"/>
              </w:rPr>
              <w:t>125</w:t>
            </w:r>
          </w:p>
        </w:tc>
        <w:tc>
          <w:tcPr>
            <w:tcW w:w="1872" w:type="dxa"/>
            <w:shd w:val="clear" w:color="auto" w:fill="F2F2F2"/>
          </w:tcPr>
          <w:p w14:paraId="30526936">
            <w:pPr>
              <w:spacing w:before="40" w:after="40" w:line="360" w:lineRule="auto"/>
              <w:jc w:val="center"/>
              <w:rPr>
                <w:rFonts w:hint="default" w:ascii="Times New Roman Regular" w:hAnsi="Times New Roman Regular" w:cs="Times New Roman Regular"/>
                <w:color w:val="auto"/>
              </w:rPr>
            </w:pPr>
            <w:r>
              <w:rPr>
                <w:rFonts w:hint="default" w:ascii="Times New Roman Regular" w:hAnsi="Times New Roman Regular" w:eastAsia="Times New Roman" w:cs="Times New Roman Regular"/>
                <w:b w:val="0"/>
                <w:i w:val="0"/>
                <w:color w:val="auto"/>
                <w:sz w:val="20"/>
              </w:rPr>
              <w:t>22</w:t>
            </w:r>
          </w:p>
        </w:tc>
        <w:tc>
          <w:tcPr>
            <w:tcW w:w="1872" w:type="dxa"/>
            <w:shd w:val="clear" w:color="auto" w:fill="F2F2F2"/>
          </w:tcPr>
          <w:p w14:paraId="5D793D1F">
            <w:pPr>
              <w:spacing w:before="40" w:after="40" w:line="360" w:lineRule="auto"/>
              <w:jc w:val="center"/>
              <w:rPr>
                <w:rFonts w:hint="default" w:ascii="Times New Roman Regular" w:hAnsi="Times New Roman Regular" w:cs="Times New Roman Regular"/>
                <w:color w:val="auto"/>
              </w:rPr>
            </w:pPr>
            <w:r>
              <w:rPr>
                <w:rFonts w:hint="default" w:ascii="Times New Roman Regular" w:hAnsi="Times New Roman Regular" w:eastAsia="Times New Roman" w:cs="Times New Roman Regular"/>
                <w:b w:val="0"/>
                <w:i w:val="0"/>
                <w:color w:val="auto"/>
                <w:sz w:val="20"/>
              </w:rPr>
              <w:t>18</w:t>
            </w:r>
          </w:p>
        </w:tc>
        <w:tc>
          <w:tcPr>
            <w:tcW w:w="1872" w:type="dxa"/>
            <w:shd w:val="clear" w:color="auto" w:fill="F2F2F2"/>
          </w:tcPr>
          <w:p w14:paraId="2730244B">
            <w:pPr>
              <w:spacing w:before="40" w:after="40" w:line="360" w:lineRule="auto"/>
              <w:jc w:val="center"/>
              <w:rPr>
                <w:rFonts w:hint="default" w:ascii="Times New Roman Regular" w:hAnsi="Times New Roman Regular" w:cs="Times New Roman Regular"/>
                <w:color w:val="auto"/>
              </w:rPr>
            </w:pPr>
            <w:r>
              <w:rPr>
                <w:rFonts w:hint="default" w:ascii="Times New Roman Regular" w:hAnsi="Times New Roman Regular" w:eastAsia="Times New Roman" w:cs="Times New Roman Regular"/>
                <w:b w:val="0"/>
                <w:i w:val="0"/>
                <w:color w:val="auto"/>
                <w:sz w:val="20"/>
              </w:rPr>
              <w:t>8.5</w:t>
            </w:r>
          </w:p>
        </w:tc>
      </w:tr>
      <w:tr w14:paraId="698E9459">
        <w:tblPrEx>
          <w:tblCellMar>
            <w:top w:w="0" w:type="dxa"/>
            <w:left w:w="108" w:type="dxa"/>
            <w:bottom w:w="0" w:type="dxa"/>
            <w:right w:w="108" w:type="dxa"/>
          </w:tblCellMar>
        </w:tblPrEx>
        <w:trPr>
          <w:jc w:val="center"/>
        </w:trPr>
        <w:tc>
          <w:tcPr>
            <w:tcW w:w="1872" w:type="dxa"/>
            <w:shd w:val="clear" w:color="auto" w:fill="FFFFFF"/>
          </w:tcPr>
          <w:p w14:paraId="36EDA4C9">
            <w:pPr>
              <w:spacing w:before="40" w:after="40" w:line="360" w:lineRule="auto"/>
              <w:rPr>
                <w:rFonts w:hint="default" w:ascii="Times New Roman Regular" w:hAnsi="Times New Roman Regular" w:cs="Times New Roman Regular"/>
                <w:color w:val="auto"/>
              </w:rPr>
            </w:pPr>
            <w:r>
              <w:rPr>
                <w:rFonts w:hint="default" w:ascii="Times New Roman Regular" w:hAnsi="Times New Roman Regular" w:eastAsia="Times New Roman" w:cs="Times New Roman Regular"/>
                <w:b w:val="0"/>
                <w:i w:val="0"/>
                <w:color w:val="auto"/>
                <w:sz w:val="20"/>
              </w:rPr>
              <w:t>Group C (Manual Privilege Control)</w:t>
            </w:r>
          </w:p>
        </w:tc>
        <w:tc>
          <w:tcPr>
            <w:tcW w:w="1872" w:type="dxa"/>
            <w:shd w:val="clear" w:color="auto" w:fill="FFFFFF"/>
          </w:tcPr>
          <w:p w14:paraId="56F06836">
            <w:pPr>
              <w:spacing w:before="40" w:after="40" w:line="360" w:lineRule="auto"/>
              <w:jc w:val="center"/>
              <w:rPr>
                <w:rFonts w:hint="default" w:ascii="Times New Roman Regular" w:hAnsi="Times New Roman Regular" w:cs="Times New Roman Regular"/>
                <w:color w:val="auto"/>
              </w:rPr>
            </w:pPr>
            <w:r>
              <w:rPr>
                <w:rFonts w:hint="default" w:ascii="Times New Roman Regular" w:hAnsi="Times New Roman Regular" w:eastAsia="Times New Roman" w:cs="Times New Roman Regular"/>
                <w:b w:val="0"/>
                <w:i w:val="0"/>
                <w:color w:val="auto"/>
                <w:sz w:val="20"/>
              </w:rPr>
              <w:t>118</w:t>
            </w:r>
          </w:p>
        </w:tc>
        <w:tc>
          <w:tcPr>
            <w:tcW w:w="1872" w:type="dxa"/>
            <w:shd w:val="clear" w:color="auto" w:fill="FFFFFF"/>
          </w:tcPr>
          <w:p w14:paraId="56E59C91">
            <w:pPr>
              <w:spacing w:before="40" w:after="40" w:line="360" w:lineRule="auto"/>
              <w:jc w:val="center"/>
              <w:rPr>
                <w:rFonts w:hint="default" w:ascii="Times New Roman Regular" w:hAnsi="Times New Roman Regular" w:cs="Times New Roman Regular"/>
                <w:color w:val="auto"/>
              </w:rPr>
            </w:pPr>
            <w:r>
              <w:rPr>
                <w:rFonts w:hint="default" w:ascii="Times New Roman Regular" w:hAnsi="Times New Roman Regular" w:eastAsia="Times New Roman" w:cs="Times New Roman Regular"/>
                <w:b w:val="0"/>
                <w:i w:val="0"/>
                <w:color w:val="auto"/>
                <w:sz w:val="20"/>
              </w:rPr>
              <w:t>25</w:t>
            </w:r>
          </w:p>
        </w:tc>
        <w:tc>
          <w:tcPr>
            <w:tcW w:w="1872" w:type="dxa"/>
            <w:shd w:val="clear" w:color="auto" w:fill="FFFFFF"/>
          </w:tcPr>
          <w:p w14:paraId="32EAC434">
            <w:pPr>
              <w:spacing w:before="40" w:after="40" w:line="360" w:lineRule="auto"/>
              <w:jc w:val="center"/>
              <w:rPr>
                <w:rFonts w:hint="default" w:ascii="Times New Roman Regular" w:hAnsi="Times New Roman Regular" w:cs="Times New Roman Regular"/>
                <w:color w:val="auto"/>
              </w:rPr>
            </w:pPr>
            <w:r>
              <w:rPr>
                <w:rFonts w:hint="default" w:ascii="Times New Roman Regular" w:hAnsi="Times New Roman Regular" w:eastAsia="Times New Roman" w:cs="Times New Roman Regular"/>
                <w:b w:val="0"/>
                <w:i w:val="0"/>
                <w:color w:val="auto"/>
                <w:sz w:val="20"/>
              </w:rPr>
              <w:t>21</w:t>
            </w:r>
          </w:p>
        </w:tc>
        <w:tc>
          <w:tcPr>
            <w:tcW w:w="1872" w:type="dxa"/>
            <w:shd w:val="clear" w:color="auto" w:fill="FFFFFF"/>
          </w:tcPr>
          <w:p w14:paraId="007654AF">
            <w:pPr>
              <w:spacing w:before="40" w:after="40" w:line="360" w:lineRule="auto"/>
              <w:jc w:val="center"/>
              <w:rPr>
                <w:rFonts w:hint="default" w:ascii="Times New Roman Regular" w:hAnsi="Times New Roman Regular" w:cs="Times New Roman Regular"/>
                <w:color w:val="auto"/>
              </w:rPr>
            </w:pPr>
            <w:r>
              <w:rPr>
                <w:rFonts w:hint="default" w:ascii="Times New Roman Regular" w:hAnsi="Times New Roman Regular" w:eastAsia="Times New Roman" w:cs="Times New Roman Regular"/>
                <w:b w:val="0"/>
                <w:i w:val="0"/>
                <w:color w:val="auto"/>
                <w:sz w:val="20"/>
              </w:rPr>
              <w:t>9.1</w:t>
            </w:r>
          </w:p>
        </w:tc>
      </w:tr>
      <w:tr w14:paraId="086329DF">
        <w:tblPrEx>
          <w:tblCellMar>
            <w:top w:w="0" w:type="dxa"/>
            <w:left w:w="108" w:type="dxa"/>
            <w:bottom w:w="0" w:type="dxa"/>
            <w:right w:w="108" w:type="dxa"/>
          </w:tblCellMar>
        </w:tblPrEx>
        <w:trPr>
          <w:jc w:val="center"/>
        </w:trPr>
        <w:tc>
          <w:tcPr>
            <w:tcW w:w="1872" w:type="dxa"/>
            <w:shd w:val="clear" w:color="auto" w:fill="F2F2F2"/>
          </w:tcPr>
          <w:p w14:paraId="6DC3AEB6">
            <w:pPr>
              <w:spacing w:before="40" w:after="40" w:line="360" w:lineRule="auto"/>
              <w:rPr>
                <w:rFonts w:hint="default" w:ascii="Times New Roman Regular" w:hAnsi="Times New Roman Regular" w:cs="Times New Roman Regular"/>
                <w:color w:val="auto"/>
              </w:rPr>
            </w:pPr>
            <w:r>
              <w:rPr>
                <w:rFonts w:hint="default" w:ascii="Times New Roman Regular" w:hAnsi="Times New Roman Regular" w:eastAsia="Times New Roman" w:cs="Times New Roman Regular"/>
                <w:b w:val="0"/>
                <w:i w:val="0"/>
                <w:color w:val="auto"/>
                <w:sz w:val="20"/>
              </w:rPr>
              <w:t>Group D (Our Proposed System)</w:t>
            </w:r>
          </w:p>
        </w:tc>
        <w:tc>
          <w:tcPr>
            <w:tcW w:w="1872" w:type="dxa"/>
            <w:shd w:val="clear" w:color="auto" w:fill="F2F2F2"/>
          </w:tcPr>
          <w:p w14:paraId="4EF4D0C7">
            <w:pPr>
              <w:spacing w:before="40" w:after="40" w:line="360" w:lineRule="auto"/>
              <w:jc w:val="center"/>
              <w:rPr>
                <w:rFonts w:hint="default" w:ascii="Times New Roman Regular" w:hAnsi="Times New Roman Regular" w:cs="Times New Roman Regular"/>
                <w:color w:val="auto"/>
              </w:rPr>
            </w:pPr>
            <w:r>
              <w:rPr>
                <w:rFonts w:hint="default" w:ascii="Times New Roman Regular" w:hAnsi="Times New Roman Regular" w:eastAsia="Times New Roman" w:cs="Times New Roman Regular"/>
                <w:b w:val="0"/>
                <w:i w:val="0"/>
                <w:color w:val="auto"/>
                <w:sz w:val="20"/>
              </w:rPr>
              <w:t>96</w:t>
            </w:r>
          </w:p>
        </w:tc>
        <w:tc>
          <w:tcPr>
            <w:tcW w:w="1872" w:type="dxa"/>
            <w:shd w:val="clear" w:color="auto" w:fill="F2F2F2"/>
          </w:tcPr>
          <w:p w14:paraId="6E9850DC">
            <w:pPr>
              <w:spacing w:before="40" w:after="40" w:line="360" w:lineRule="auto"/>
              <w:jc w:val="center"/>
              <w:rPr>
                <w:rFonts w:hint="default" w:ascii="Times New Roman Regular" w:hAnsi="Times New Roman Regular" w:cs="Times New Roman Regular"/>
                <w:color w:val="auto"/>
              </w:rPr>
            </w:pPr>
            <w:r>
              <w:rPr>
                <w:rFonts w:hint="default" w:ascii="Times New Roman Regular" w:hAnsi="Times New Roman Regular" w:eastAsia="Times New Roman" w:cs="Times New Roman Regular"/>
                <w:b w:val="0"/>
                <w:i w:val="0"/>
                <w:color w:val="auto"/>
                <w:sz w:val="20"/>
              </w:rPr>
              <w:t>41</w:t>
            </w:r>
          </w:p>
        </w:tc>
        <w:tc>
          <w:tcPr>
            <w:tcW w:w="1872" w:type="dxa"/>
            <w:shd w:val="clear" w:color="auto" w:fill="F2F2F2"/>
          </w:tcPr>
          <w:p w14:paraId="46602DEF">
            <w:pPr>
              <w:spacing w:before="40" w:after="40" w:line="360" w:lineRule="auto"/>
              <w:jc w:val="center"/>
              <w:rPr>
                <w:rFonts w:hint="default" w:ascii="Times New Roman Regular" w:hAnsi="Times New Roman Regular" w:cs="Times New Roman Regular"/>
                <w:color w:val="auto"/>
              </w:rPr>
            </w:pPr>
            <w:r>
              <w:rPr>
                <w:rFonts w:hint="default" w:ascii="Times New Roman Regular" w:hAnsi="Times New Roman Regular" w:eastAsia="Times New Roman" w:cs="Times New Roman Regular"/>
                <w:b w:val="0"/>
                <w:i w:val="0"/>
                <w:color w:val="auto"/>
                <w:sz w:val="20"/>
              </w:rPr>
              <w:t>32</w:t>
            </w:r>
          </w:p>
        </w:tc>
        <w:tc>
          <w:tcPr>
            <w:tcW w:w="1872" w:type="dxa"/>
            <w:shd w:val="clear" w:color="auto" w:fill="F2F2F2"/>
          </w:tcPr>
          <w:p w14:paraId="0C1288BF">
            <w:pPr>
              <w:spacing w:before="40" w:after="40" w:line="360" w:lineRule="auto"/>
              <w:jc w:val="center"/>
              <w:rPr>
                <w:rFonts w:hint="default" w:ascii="Times New Roman Regular" w:hAnsi="Times New Roman Regular" w:cs="Times New Roman Regular"/>
                <w:color w:val="auto"/>
              </w:rPr>
            </w:pPr>
            <w:r>
              <w:rPr>
                <w:rFonts w:hint="default" w:ascii="Times New Roman Regular" w:hAnsi="Times New Roman Regular" w:eastAsia="Times New Roman" w:cs="Times New Roman Regular"/>
                <w:b w:val="0"/>
                <w:i w:val="0"/>
                <w:color w:val="auto"/>
                <w:sz w:val="20"/>
              </w:rPr>
              <w:t>13.8</w:t>
            </w:r>
          </w:p>
        </w:tc>
      </w:tr>
    </w:tbl>
    <w:p w14:paraId="1E143D3F">
      <w:pPr>
        <w:spacing w:after="120" w:line="360" w:lineRule="auto"/>
        <w:rPr>
          <w:rFonts w:hint="default" w:ascii="Times New Roman Regular" w:hAnsi="Times New Roman Regular" w:cs="Times New Roman Regular"/>
          <w:color w:val="auto"/>
        </w:rPr>
      </w:pPr>
      <w:r>
        <w:rPr>
          <w:rFonts w:hint="default" w:ascii="Times New Roman Regular" w:hAnsi="Times New Roman Regular" w:eastAsia="Times New Roman" w:cs="Times New Roman Regular"/>
          <w:b w:val="0"/>
          <w:i w:val="0"/>
          <w:color w:val="auto"/>
          <w:sz w:val="22"/>
        </w:rPr>
        <w:t>Throughput and Response Latency Evolution Analysis: As can be clearly discerned from the statistical data in Table 4-1, the traditional centralized system (Group A) only needs to respond to lightweight structured SQL insertion, deletion, and modification commands at the bottom layer, completely devoid of multi-node network broadcast communication overhead and distributed consensus state propagation synchronization. Consequently, it displays the highest peak throughput (142 TPS) and extremely low verification latency (12ms). In stark contrast, the proposed system (Group D) during the data registration phase must endure the complex Fabric three-phase transaction procedure (endorsing node signing, Orderer ordering and packaging, network-wide node consensus execution and ledger updating), while during the verification phase, the smart contract needs to deeply traverse and parse complex ABAC attribute policies. This directly causes its peak throughput to shrink to 96 TPS, and the average verification latency to rise to 32ms [7,12].</w:t>
      </w:r>
    </w:p>
    <w:p w14:paraId="365732A5">
      <w:pPr>
        <w:spacing w:after="120" w:line="360" w:lineRule="auto"/>
        <w:rPr>
          <w:rFonts w:hint="default" w:ascii="Times New Roman Regular" w:hAnsi="Times New Roman Regular" w:cs="Times New Roman Regular"/>
          <w:color w:val="auto"/>
        </w:rPr>
      </w:pPr>
      <w:r>
        <w:rPr>
          <w:rFonts w:hint="default" w:ascii="Times New Roman Regular" w:hAnsi="Times New Roman Regular" w:eastAsia="Times New Roman" w:cs="Times New Roman Regular"/>
          <w:b w:val="0"/>
          <w:i w:val="0"/>
          <w:color w:val="auto"/>
          <w:sz w:val="22"/>
        </w:rPr>
        <w:t>Business Acceptability and Cost-Effectiveness Evaluation: Although the proposed system (Group D) yields a certain degree of technical penalty in pure operating efficiency compared to traditional systems due to the introduction of substantial cryptographic operations, smart contract policy parsing, and multi-node consensus mechanisms, in macro-level scenarios of multi-center smart medical data circulation and health record sharing, clinical doctors or patients initiating historical medical record or imaging report retrievals represent typical low-to-medium frequency, non-extreme high-concurrency interactions. System latencies at the 30ms to 40ms level reside perfectly within the conventional outpatient business acceptable 'secure response interval' of the healthcare industry [1,7]. This system degradation is entirely at an engineeringly reasonable level and exchanges for an extraordinarily high trust endorsement unachievable by centralized architectures [3,10].</w:t>
      </w:r>
    </w:p>
    <w:p w14:paraId="60269CA2">
      <w:pPr>
        <w:pStyle w:val="6"/>
        <w:bidi w:val="0"/>
        <w:spacing w:line="36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4.2.2 Security Protection and Operational Audit Efficiency Evolutionary Analysis</w:t>
      </w:r>
    </w:p>
    <w:p w14:paraId="78E96794">
      <w:pPr>
        <w:spacing w:after="120" w:line="360" w:lineRule="auto"/>
        <w:rPr>
          <w:rFonts w:hint="default" w:ascii="Times New Roman Regular" w:hAnsi="Times New Roman Regular" w:cs="Times New Roman Regular"/>
          <w:color w:val="auto"/>
        </w:rPr>
      </w:pPr>
      <w:r>
        <w:rPr>
          <w:rFonts w:hint="default" w:ascii="Times New Roman Regular" w:hAnsi="Times New Roman Regular" w:eastAsia="Times New Roman" w:cs="Times New Roman Regular"/>
          <w:b w:val="0"/>
          <w:i w:val="0"/>
          <w:color w:val="auto"/>
          <w:sz w:val="22"/>
        </w:rPr>
        <w:t>Aiming at secure scenarios in a distributed environment to counteract malicious operations personnel intentionally tampering with historical electronic medical records and external subjects implementing unauthorized data retrieval through forged identities, the experiment actively injected malicious colluding nodes, modified local IPFS data blocks, and constructed unauthorized attribute packets to launch attacks. The adversarial interception outcomes of each control system are outlined in Table 4-2:</w:t>
      </w:r>
    </w:p>
    <w:p w14:paraId="4DAADD4D">
      <w:pPr>
        <w:keepNext/>
        <w:spacing w:before="240" w:after="120" w:line="360" w:lineRule="auto"/>
        <w:rPr>
          <w:rFonts w:hint="default" w:ascii="Times New Roman Regular" w:hAnsi="Times New Roman Regular" w:cs="Times New Roman Regular"/>
          <w:color w:val="auto"/>
        </w:rPr>
      </w:pPr>
      <w:r>
        <w:rPr>
          <w:rFonts w:hint="default" w:ascii="Times New Roman Regular" w:hAnsi="Times New Roman Regular" w:eastAsia="Times New Roman" w:cs="Times New Roman Regular"/>
          <w:b/>
          <w:i w:val="0"/>
          <w:color w:val="auto"/>
          <w:sz w:val="22"/>
        </w:rPr>
        <w:t>Table 4-2. Comparison of Security Protection Capabilities and Audit Traceability Completeness</w:t>
      </w:r>
    </w:p>
    <w:tbl>
      <w:tblPr>
        <w:tblStyle w:val="35"/>
        <w:tblW w:w="0" w:type="auto"/>
        <w:jc w:val="center"/>
        <w:tblLayout w:type="autofit"/>
        <w:tblCellMar>
          <w:top w:w="0" w:type="dxa"/>
          <w:left w:w="108" w:type="dxa"/>
          <w:bottom w:w="0" w:type="dxa"/>
          <w:right w:w="108" w:type="dxa"/>
        </w:tblCellMar>
      </w:tblPr>
      <w:tblGrid>
        <w:gridCol w:w="1560"/>
        <w:gridCol w:w="1560"/>
        <w:gridCol w:w="1560"/>
        <w:gridCol w:w="1560"/>
        <w:gridCol w:w="1560"/>
        <w:gridCol w:w="1560"/>
      </w:tblGrid>
      <w:tr w14:paraId="11FA234D">
        <w:tblPrEx>
          <w:tblCellMar>
            <w:top w:w="0" w:type="dxa"/>
            <w:left w:w="108" w:type="dxa"/>
            <w:bottom w:w="0" w:type="dxa"/>
            <w:right w:w="108" w:type="dxa"/>
          </w:tblCellMar>
        </w:tblPrEx>
        <w:trPr>
          <w:jc w:val="center"/>
        </w:trPr>
        <w:tc>
          <w:tcPr>
            <w:tcW w:w="1560" w:type="dxa"/>
            <w:shd w:val="clear" w:color="auto" w:fill="1F4E78"/>
          </w:tcPr>
          <w:p w14:paraId="5089B532">
            <w:pPr>
              <w:spacing w:before="40" w:after="40" w:line="360" w:lineRule="auto"/>
              <w:jc w:val="center"/>
              <w:rPr>
                <w:rFonts w:hint="default" w:ascii="Times New Roman Regular" w:hAnsi="Times New Roman Regular" w:cs="Times New Roman Regular"/>
                <w:color w:val="auto"/>
              </w:rPr>
            </w:pPr>
            <w:r>
              <w:rPr>
                <w:rFonts w:hint="default" w:ascii="Times New Roman Regular" w:hAnsi="Times New Roman Regular" w:eastAsia="Times New Roman" w:cs="Times New Roman Regular"/>
                <w:b/>
                <w:i w:val="0"/>
                <w:color w:val="auto"/>
                <w:sz w:val="20"/>
              </w:rPr>
              <w:t>Control Group</w:t>
            </w:r>
          </w:p>
        </w:tc>
        <w:tc>
          <w:tcPr>
            <w:tcW w:w="1560" w:type="dxa"/>
            <w:shd w:val="clear" w:color="auto" w:fill="1F4E78"/>
          </w:tcPr>
          <w:p w14:paraId="76399BAE">
            <w:pPr>
              <w:spacing w:before="40" w:after="40" w:line="360" w:lineRule="auto"/>
              <w:jc w:val="center"/>
              <w:rPr>
                <w:rFonts w:hint="default" w:ascii="Times New Roman Regular" w:hAnsi="Times New Roman Regular" w:cs="Times New Roman Regular"/>
                <w:color w:val="auto"/>
              </w:rPr>
            </w:pPr>
            <w:r>
              <w:rPr>
                <w:rFonts w:hint="default" w:ascii="Times New Roman Regular" w:hAnsi="Times New Roman Regular" w:eastAsia="Times New Roman" w:cs="Times New Roman Regular"/>
                <w:b/>
                <w:i w:val="0"/>
                <w:color w:val="auto"/>
                <w:sz w:val="20"/>
              </w:rPr>
              <w:t>Malicious Tamper Detection (%)</w:t>
            </w:r>
          </w:p>
        </w:tc>
        <w:tc>
          <w:tcPr>
            <w:tcW w:w="1560" w:type="dxa"/>
            <w:shd w:val="clear" w:color="auto" w:fill="1F4E78"/>
          </w:tcPr>
          <w:p w14:paraId="09448D56">
            <w:pPr>
              <w:spacing w:before="40" w:after="40" w:line="360" w:lineRule="auto"/>
              <w:jc w:val="center"/>
              <w:rPr>
                <w:rFonts w:hint="default" w:ascii="Times New Roman Regular" w:hAnsi="Times New Roman Regular" w:cs="Times New Roman Regular"/>
                <w:color w:val="auto"/>
              </w:rPr>
            </w:pPr>
            <w:r>
              <w:rPr>
                <w:rFonts w:hint="default" w:ascii="Times New Roman Regular" w:hAnsi="Times New Roman Regular" w:eastAsia="Times New Roman" w:cs="Times New Roman Regular"/>
                <w:b/>
                <w:i w:val="0"/>
                <w:color w:val="auto"/>
                <w:sz w:val="20"/>
              </w:rPr>
              <w:t>Privilege Decision False Positive (%)</w:t>
            </w:r>
          </w:p>
        </w:tc>
        <w:tc>
          <w:tcPr>
            <w:tcW w:w="1560" w:type="dxa"/>
            <w:shd w:val="clear" w:color="auto" w:fill="1F4E78"/>
          </w:tcPr>
          <w:p w14:paraId="48E8618F">
            <w:pPr>
              <w:spacing w:before="40" w:after="40" w:line="360" w:lineRule="auto"/>
              <w:jc w:val="center"/>
              <w:rPr>
                <w:rFonts w:hint="default" w:ascii="Times New Roman Regular" w:hAnsi="Times New Roman Regular" w:cs="Times New Roman Regular"/>
                <w:color w:val="auto"/>
              </w:rPr>
            </w:pPr>
            <w:r>
              <w:rPr>
                <w:rFonts w:hint="default" w:ascii="Times New Roman Regular" w:hAnsi="Times New Roman Regular" w:eastAsia="Times New Roman" w:cs="Times New Roman Regular"/>
                <w:b/>
                <w:i w:val="0"/>
                <w:color w:val="auto"/>
                <w:sz w:val="20"/>
              </w:rPr>
              <w:t>Privilege Decision False Negative (%)</w:t>
            </w:r>
          </w:p>
        </w:tc>
        <w:tc>
          <w:tcPr>
            <w:tcW w:w="1560" w:type="dxa"/>
            <w:shd w:val="clear" w:color="auto" w:fill="1F4E78"/>
          </w:tcPr>
          <w:p w14:paraId="32541ACC">
            <w:pPr>
              <w:spacing w:before="40" w:after="40" w:line="360" w:lineRule="auto"/>
              <w:jc w:val="center"/>
              <w:rPr>
                <w:rFonts w:hint="default" w:ascii="Times New Roman Regular" w:hAnsi="Times New Roman Regular" w:cs="Times New Roman Regular"/>
                <w:color w:val="auto"/>
              </w:rPr>
            </w:pPr>
            <w:r>
              <w:rPr>
                <w:rFonts w:hint="default" w:ascii="Times New Roman Regular" w:hAnsi="Times New Roman Regular" w:eastAsia="Times New Roman" w:cs="Times New Roman Regular"/>
                <w:b/>
                <w:i w:val="0"/>
                <w:color w:val="auto"/>
                <w:sz w:val="20"/>
              </w:rPr>
              <w:t>Audit Traceability Completeness</w:t>
            </w:r>
          </w:p>
        </w:tc>
        <w:tc>
          <w:tcPr>
            <w:tcW w:w="1560" w:type="dxa"/>
            <w:shd w:val="clear" w:color="auto" w:fill="1F4E78"/>
          </w:tcPr>
          <w:p w14:paraId="733C7AC9">
            <w:pPr>
              <w:spacing w:before="40" w:after="40" w:line="360" w:lineRule="auto"/>
              <w:jc w:val="center"/>
              <w:rPr>
                <w:rFonts w:hint="default" w:ascii="Times New Roman Regular" w:hAnsi="Times New Roman Regular" w:cs="Times New Roman Regular"/>
                <w:color w:val="auto"/>
              </w:rPr>
            </w:pPr>
            <w:r>
              <w:rPr>
                <w:rFonts w:hint="default" w:ascii="Times New Roman Regular" w:hAnsi="Times New Roman Regular" w:eastAsia="Times New Roman" w:cs="Times New Roman Regular"/>
                <w:b/>
                <w:i w:val="0"/>
                <w:color w:val="auto"/>
                <w:sz w:val="20"/>
              </w:rPr>
              <w:t>Privilege Verification Rigidity &amp; Consistency</w:t>
            </w:r>
          </w:p>
        </w:tc>
      </w:tr>
      <w:tr w14:paraId="1069A198">
        <w:tblPrEx>
          <w:tblCellMar>
            <w:top w:w="0" w:type="dxa"/>
            <w:left w:w="108" w:type="dxa"/>
            <w:bottom w:w="0" w:type="dxa"/>
            <w:right w:w="108" w:type="dxa"/>
          </w:tblCellMar>
        </w:tblPrEx>
        <w:trPr>
          <w:jc w:val="center"/>
        </w:trPr>
        <w:tc>
          <w:tcPr>
            <w:tcW w:w="1560" w:type="dxa"/>
            <w:shd w:val="clear" w:color="auto" w:fill="FFFFFF"/>
          </w:tcPr>
          <w:p w14:paraId="2463F478">
            <w:pPr>
              <w:spacing w:before="40" w:after="40" w:line="360" w:lineRule="auto"/>
              <w:rPr>
                <w:rFonts w:hint="default" w:ascii="Times New Roman Regular" w:hAnsi="Times New Roman Regular" w:cs="Times New Roman Regular"/>
                <w:color w:val="auto"/>
              </w:rPr>
            </w:pPr>
            <w:r>
              <w:rPr>
                <w:rFonts w:hint="default" w:ascii="Times New Roman Regular" w:hAnsi="Times New Roman Regular" w:eastAsia="Times New Roman" w:cs="Times New Roman Regular"/>
                <w:b w:val="0"/>
                <w:i w:val="0"/>
                <w:color w:val="auto"/>
                <w:sz w:val="20"/>
              </w:rPr>
              <w:t>Group A (Traditional Centralized)</w:t>
            </w:r>
          </w:p>
        </w:tc>
        <w:tc>
          <w:tcPr>
            <w:tcW w:w="1560" w:type="dxa"/>
            <w:shd w:val="clear" w:color="auto" w:fill="FFFFFF"/>
          </w:tcPr>
          <w:p w14:paraId="6C79C88B">
            <w:pPr>
              <w:spacing w:before="40" w:after="40" w:line="360" w:lineRule="auto"/>
              <w:jc w:val="center"/>
              <w:rPr>
                <w:rFonts w:hint="default" w:ascii="Times New Roman Regular" w:hAnsi="Times New Roman Regular" w:cs="Times New Roman Regular"/>
                <w:color w:val="auto"/>
              </w:rPr>
            </w:pPr>
            <w:r>
              <w:rPr>
                <w:rFonts w:hint="default" w:ascii="Times New Roman Regular" w:hAnsi="Times New Roman Regular" w:eastAsia="Times New Roman" w:cs="Times New Roman Regular"/>
                <w:b w:val="0"/>
                <w:i w:val="0"/>
                <w:color w:val="auto"/>
                <w:sz w:val="20"/>
              </w:rPr>
              <w:t>72.5</w:t>
            </w:r>
          </w:p>
        </w:tc>
        <w:tc>
          <w:tcPr>
            <w:tcW w:w="1560" w:type="dxa"/>
            <w:shd w:val="clear" w:color="auto" w:fill="FFFFFF"/>
          </w:tcPr>
          <w:p w14:paraId="6EB4DDCA">
            <w:pPr>
              <w:spacing w:before="40" w:after="40" w:line="360" w:lineRule="auto"/>
              <w:jc w:val="center"/>
              <w:rPr>
                <w:rFonts w:hint="default" w:ascii="Times New Roman Regular" w:hAnsi="Times New Roman Regular" w:cs="Times New Roman Regular"/>
                <w:color w:val="auto"/>
              </w:rPr>
            </w:pPr>
            <w:r>
              <w:rPr>
                <w:rFonts w:hint="default" w:ascii="Times New Roman Regular" w:hAnsi="Times New Roman Regular" w:eastAsia="Times New Roman" w:cs="Times New Roman Regular"/>
                <w:b w:val="0"/>
                <w:i w:val="0"/>
                <w:color w:val="auto"/>
                <w:sz w:val="20"/>
              </w:rPr>
              <w:t>5.8</w:t>
            </w:r>
          </w:p>
        </w:tc>
        <w:tc>
          <w:tcPr>
            <w:tcW w:w="1560" w:type="dxa"/>
            <w:shd w:val="clear" w:color="auto" w:fill="FFFFFF"/>
          </w:tcPr>
          <w:p w14:paraId="1CDD64AA">
            <w:pPr>
              <w:spacing w:before="40" w:after="40" w:line="360" w:lineRule="auto"/>
              <w:jc w:val="center"/>
              <w:rPr>
                <w:rFonts w:hint="default" w:ascii="Times New Roman Regular" w:hAnsi="Times New Roman Regular" w:cs="Times New Roman Regular"/>
                <w:color w:val="auto"/>
              </w:rPr>
            </w:pPr>
            <w:r>
              <w:rPr>
                <w:rFonts w:hint="default" w:ascii="Times New Roman Regular" w:hAnsi="Times New Roman Regular" w:eastAsia="Times New Roman" w:cs="Times New Roman Regular"/>
                <w:b w:val="0"/>
                <w:i w:val="0"/>
                <w:color w:val="auto"/>
                <w:sz w:val="20"/>
              </w:rPr>
              <w:t>21.7</w:t>
            </w:r>
          </w:p>
        </w:tc>
        <w:tc>
          <w:tcPr>
            <w:tcW w:w="1560" w:type="dxa"/>
            <w:shd w:val="clear" w:color="auto" w:fill="FFFFFF"/>
          </w:tcPr>
          <w:p w14:paraId="69989186">
            <w:pPr>
              <w:spacing w:before="40" w:after="40" w:line="360" w:lineRule="auto"/>
              <w:rPr>
                <w:rFonts w:hint="default" w:ascii="Times New Roman Regular" w:hAnsi="Times New Roman Regular" w:cs="Times New Roman Regular"/>
                <w:color w:val="auto"/>
              </w:rPr>
            </w:pPr>
            <w:r>
              <w:rPr>
                <w:rFonts w:hint="default" w:ascii="Times New Roman Regular" w:hAnsi="Times New Roman Regular" w:eastAsia="Times New Roman" w:cs="Times New Roman Regular"/>
                <w:b w:val="0"/>
                <w:i w:val="0"/>
                <w:color w:val="auto"/>
                <w:sz w:val="20"/>
              </w:rPr>
              <w:t>Extremely vulnerable to deletion / Very Low</w:t>
            </w:r>
          </w:p>
        </w:tc>
        <w:tc>
          <w:tcPr>
            <w:tcW w:w="1560" w:type="dxa"/>
            <w:shd w:val="clear" w:color="auto" w:fill="FFFFFF"/>
          </w:tcPr>
          <w:p w14:paraId="1CB57FED">
            <w:pPr>
              <w:spacing w:before="40" w:after="40" w:line="360" w:lineRule="auto"/>
              <w:rPr>
                <w:rFonts w:hint="default" w:ascii="Times New Roman Regular" w:hAnsi="Times New Roman Regular" w:cs="Times New Roman Regular"/>
                <w:color w:val="auto"/>
              </w:rPr>
            </w:pPr>
            <w:r>
              <w:rPr>
                <w:rFonts w:hint="default" w:ascii="Times New Roman Regular" w:hAnsi="Times New Roman Regular" w:eastAsia="Times New Roman" w:cs="Times New Roman Regular"/>
                <w:b w:val="0"/>
                <w:i w:val="0"/>
                <w:color w:val="auto"/>
                <w:sz w:val="20"/>
              </w:rPr>
              <w:t>Very Low (Prone to privilege leak)</w:t>
            </w:r>
          </w:p>
        </w:tc>
      </w:tr>
      <w:tr w14:paraId="7E42817D">
        <w:tblPrEx>
          <w:tblCellMar>
            <w:top w:w="0" w:type="dxa"/>
            <w:left w:w="108" w:type="dxa"/>
            <w:bottom w:w="0" w:type="dxa"/>
            <w:right w:w="108" w:type="dxa"/>
          </w:tblCellMar>
        </w:tblPrEx>
        <w:trPr>
          <w:jc w:val="center"/>
        </w:trPr>
        <w:tc>
          <w:tcPr>
            <w:tcW w:w="1560" w:type="dxa"/>
            <w:shd w:val="clear" w:color="auto" w:fill="F2F2F2"/>
          </w:tcPr>
          <w:p w14:paraId="43A5FDF0">
            <w:pPr>
              <w:spacing w:before="40" w:after="40" w:line="360" w:lineRule="auto"/>
              <w:rPr>
                <w:rFonts w:hint="default" w:ascii="Times New Roman Regular" w:hAnsi="Times New Roman Regular" w:cs="Times New Roman Regular"/>
                <w:color w:val="auto"/>
              </w:rPr>
            </w:pPr>
            <w:r>
              <w:rPr>
                <w:rFonts w:hint="default" w:ascii="Times New Roman Regular" w:hAnsi="Times New Roman Regular" w:eastAsia="Times New Roman" w:cs="Times New Roman Regular"/>
                <w:b w:val="0"/>
                <w:i w:val="0"/>
                <w:color w:val="auto"/>
                <w:sz w:val="20"/>
              </w:rPr>
              <w:t>Group B (Pure Hash No Chain)</w:t>
            </w:r>
          </w:p>
        </w:tc>
        <w:tc>
          <w:tcPr>
            <w:tcW w:w="1560" w:type="dxa"/>
            <w:shd w:val="clear" w:color="auto" w:fill="F2F2F2"/>
          </w:tcPr>
          <w:p w14:paraId="4A4D5BB7">
            <w:pPr>
              <w:spacing w:before="40" w:after="40" w:line="360" w:lineRule="auto"/>
              <w:jc w:val="center"/>
              <w:rPr>
                <w:rFonts w:hint="default" w:ascii="Times New Roman Regular" w:hAnsi="Times New Roman Regular" w:cs="Times New Roman Regular"/>
                <w:color w:val="auto"/>
              </w:rPr>
            </w:pPr>
            <w:r>
              <w:rPr>
                <w:rFonts w:hint="default" w:ascii="Times New Roman Regular" w:hAnsi="Times New Roman Regular" w:eastAsia="Times New Roman" w:cs="Times New Roman Regular"/>
                <w:b w:val="0"/>
                <w:i w:val="0"/>
                <w:color w:val="auto"/>
                <w:sz w:val="20"/>
              </w:rPr>
              <w:t>85.3</w:t>
            </w:r>
          </w:p>
        </w:tc>
        <w:tc>
          <w:tcPr>
            <w:tcW w:w="1560" w:type="dxa"/>
            <w:shd w:val="clear" w:color="auto" w:fill="F2F2F2"/>
          </w:tcPr>
          <w:p w14:paraId="78BEF71E">
            <w:pPr>
              <w:spacing w:before="40" w:after="40" w:line="360" w:lineRule="auto"/>
              <w:jc w:val="center"/>
              <w:rPr>
                <w:rFonts w:hint="default" w:ascii="Times New Roman Regular" w:hAnsi="Times New Roman Regular" w:cs="Times New Roman Regular"/>
                <w:color w:val="auto"/>
              </w:rPr>
            </w:pPr>
            <w:r>
              <w:rPr>
                <w:rFonts w:hint="default" w:ascii="Times New Roman Regular" w:hAnsi="Times New Roman Regular" w:eastAsia="Times New Roman" w:cs="Times New Roman Regular"/>
                <w:b w:val="0"/>
                <w:i w:val="0"/>
                <w:color w:val="auto"/>
                <w:sz w:val="20"/>
              </w:rPr>
              <w:t>4.5</w:t>
            </w:r>
          </w:p>
        </w:tc>
        <w:tc>
          <w:tcPr>
            <w:tcW w:w="1560" w:type="dxa"/>
            <w:shd w:val="clear" w:color="auto" w:fill="F2F2F2"/>
          </w:tcPr>
          <w:p w14:paraId="4AC26416">
            <w:pPr>
              <w:spacing w:before="40" w:after="40" w:line="360" w:lineRule="auto"/>
              <w:jc w:val="center"/>
              <w:rPr>
                <w:rFonts w:hint="default" w:ascii="Times New Roman Regular" w:hAnsi="Times New Roman Regular" w:cs="Times New Roman Regular"/>
                <w:color w:val="auto"/>
              </w:rPr>
            </w:pPr>
            <w:r>
              <w:rPr>
                <w:rFonts w:hint="default" w:ascii="Times New Roman Regular" w:hAnsi="Times New Roman Regular" w:eastAsia="Times New Roman" w:cs="Times New Roman Regular"/>
                <w:b w:val="0"/>
                <w:i w:val="0"/>
                <w:color w:val="auto"/>
                <w:sz w:val="20"/>
              </w:rPr>
              <w:t>10.2</w:t>
            </w:r>
          </w:p>
        </w:tc>
        <w:tc>
          <w:tcPr>
            <w:tcW w:w="1560" w:type="dxa"/>
            <w:shd w:val="clear" w:color="auto" w:fill="F2F2F2"/>
          </w:tcPr>
          <w:p w14:paraId="548BB093">
            <w:pPr>
              <w:spacing w:before="40" w:after="40" w:line="360" w:lineRule="auto"/>
              <w:rPr>
                <w:rFonts w:hint="default" w:ascii="Times New Roman Regular" w:hAnsi="Times New Roman Regular" w:cs="Times New Roman Regular"/>
                <w:color w:val="auto"/>
              </w:rPr>
            </w:pPr>
            <w:r>
              <w:rPr>
                <w:rFonts w:hint="default" w:ascii="Times New Roman Regular" w:hAnsi="Times New Roman Regular" w:eastAsia="Times New Roman" w:cs="Times New Roman Regular"/>
                <w:b w:val="0"/>
                <w:i w:val="0"/>
                <w:color w:val="auto"/>
                <w:sz w:val="20"/>
              </w:rPr>
              <w:t>Partial Traceability / Average</w:t>
            </w:r>
          </w:p>
        </w:tc>
        <w:tc>
          <w:tcPr>
            <w:tcW w:w="1560" w:type="dxa"/>
            <w:shd w:val="clear" w:color="auto" w:fill="F2F2F2"/>
          </w:tcPr>
          <w:p w14:paraId="23A312A8">
            <w:pPr>
              <w:spacing w:before="40" w:after="40" w:line="360" w:lineRule="auto"/>
              <w:rPr>
                <w:rFonts w:hint="default" w:ascii="Times New Roman Regular" w:hAnsi="Times New Roman Regular" w:cs="Times New Roman Regular"/>
                <w:color w:val="auto"/>
              </w:rPr>
            </w:pPr>
            <w:r>
              <w:rPr>
                <w:rFonts w:hint="default" w:ascii="Times New Roman Regular" w:hAnsi="Times New Roman Regular" w:eastAsia="Times New Roman" w:cs="Times New Roman Regular"/>
                <w:b w:val="0"/>
                <w:i w:val="0"/>
                <w:color w:val="auto"/>
                <w:sz w:val="20"/>
              </w:rPr>
              <w:t>Average (Decentralized policy config)</w:t>
            </w:r>
          </w:p>
        </w:tc>
      </w:tr>
      <w:tr w14:paraId="6472ED30">
        <w:tblPrEx>
          <w:tblCellMar>
            <w:top w:w="0" w:type="dxa"/>
            <w:left w:w="108" w:type="dxa"/>
            <w:bottom w:w="0" w:type="dxa"/>
            <w:right w:w="108" w:type="dxa"/>
          </w:tblCellMar>
        </w:tblPrEx>
        <w:trPr>
          <w:jc w:val="center"/>
        </w:trPr>
        <w:tc>
          <w:tcPr>
            <w:tcW w:w="1560" w:type="dxa"/>
            <w:shd w:val="clear" w:color="auto" w:fill="FFFFFF"/>
          </w:tcPr>
          <w:p w14:paraId="1A711785">
            <w:pPr>
              <w:spacing w:before="40" w:after="40" w:line="360" w:lineRule="auto"/>
              <w:rPr>
                <w:rFonts w:hint="default" w:ascii="Times New Roman Regular" w:hAnsi="Times New Roman Regular" w:cs="Times New Roman Regular"/>
                <w:color w:val="auto"/>
              </w:rPr>
            </w:pPr>
            <w:r>
              <w:rPr>
                <w:rFonts w:hint="default" w:ascii="Times New Roman Regular" w:hAnsi="Times New Roman Regular" w:eastAsia="Times New Roman" w:cs="Times New Roman Regular"/>
                <w:b w:val="0"/>
                <w:i w:val="0"/>
                <w:color w:val="auto"/>
                <w:sz w:val="20"/>
              </w:rPr>
              <w:t>Group C (Manual Privilege Control)</w:t>
            </w:r>
          </w:p>
        </w:tc>
        <w:tc>
          <w:tcPr>
            <w:tcW w:w="1560" w:type="dxa"/>
            <w:shd w:val="clear" w:color="auto" w:fill="FFFFFF"/>
          </w:tcPr>
          <w:p w14:paraId="5B0889D1">
            <w:pPr>
              <w:spacing w:before="40" w:after="40" w:line="360" w:lineRule="auto"/>
              <w:jc w:val="center"/>
              <w:rPr>
                <w:rFonts w:hint="default" w:ascii="Times New Roman Regular" w:hAnsi="Times New Roman Regular" w:cs="Times New Roman Regular"/>
                <w:color w:val="auto"/>
              </w:rPr>
            </w:pPr>
            <w:r>
              <w:rPr>
                <w:rFonts w:hint="default" w:ascii="Times New Roman Regular" w:hAnsi="Times New Roman Regular" w:eastAsia="Times New Roman" w:cs="Times New Roman Regular"/>
                <w:b w:val="0"/>
                <w:i w:val="0"/>
                <w:color w:val="auto"/>
                <w:sz w:val="20"/>
              </w:rPr>
              <w:t>78.1</w:t>
            </w:r>
          </w:p>
        </w:tc>
        <w:tc>
          <w:tcPr>
            <w:tcW w:w="1560" w:type="dxa"/>
            <w:shd w:val="clear" w:color="auto" w:fill="FFFFFF"/>
          </w:tcPr>
          <w:p w14:paraId="5DDC904D">
            <w:pPr>
              <w:spacing w:before="40" w:after="40" w:line="360" w:lineRule="auto"/>
              <w:jc w:val="center"/>
              <w:rPr>
                <w:rFonts w:hint="default" w:ascii="Times New Roman Regular" w:hAnsi="Times New Roman Regular" w:cs="Times New Roman Regular"/>
                <w:color w:val="auto"/>
              </w:rPr>
            </w:pPr>
            <w:r>
              <w:rPr>
                <w:rFonts w:hint="default" w:ascii="Times New Roman Regular" w:hAnsi="Times New Roman Regular" w:eastAsia="Times New Roman" w:cs="Times New Roman Regular"/>
                <w:b w:val="0"/>
                <w:i w:val="0"/>
                <w:color w:val="auto"/>
                <w:sz w:val="20"/>
              </w:rPr>
              <w:t>5.1</w:t>
            </w:r>
          </w:p>
        </w:tc>
        <w:tc>
          <w:tcPr>
            <w:tcW w:w="1560" w:type="dxa"/>
            <w:shd w:val="clear" w:color="auto" w:fill="FFFFFF"/>
          </w:tcPr>
          <w:p w14:paraId="7A93BA2B">
            <w:pPr>
              <w:spacing w:before="40" w:after="40" w:line="360" w:lineRule="auto"/>
              <w:jc w:val="center"/>
              <w:rPr>
                <w:rFonts w:hint="default" w:ascii="Times New Roman Regular" w:hAnsi="Times New Roman Regular" w:cs="Times New Roman Regular"/>
                <w:color w:val="auto"/>
              </w:rPr>
            </w:pPr>
            <w:r>
              <w:rPr>
                <w:rFonts w:hint="default" w:ascii="Times New Roman Regular" w:hAnsi="Times New Roman Regular" w:eastAsia="Times New Roman" w:cs="Times New Roman Regular"/>
                <w:b w:val="0"/>
                <w:i w:val="0"/>
                <w:color w:val="auto"/>
                <w:sz w:val="20"/>
              </w:rPr>
              <w:t>16.8</w:t>
            </w:r>
          </w:p>
        </w:tc>
        <w:tc>
          <w:tcPr>
            <w:tcW w:w="1560" w:type="dxa"/>
            <w:shd w:val="clear" w:color="auto" w:fill="FFFFFF"/>
          </w:tcPr>
          <w:p w14:paraId="0D3DCDB8">
            <w:pPr>
              <w:spacing w:before="40" w:after="40" w:line="360" w:lineRule="auto"/>
              <w:rPr>
                <w:rFonts w:hint="default" w:ascii="Times New Roman Regular" w:hAnsi="Times New Roman Regular" w:cs="Times New Roman Regular"/>
                <w:color w:val="auto"/>
              </w:rPr>
            </w:pPr>
            <w:r>
              <w:rPr>
                <w:rFonts w:hint="default" w:ascii="Times New Roman Regular" w:hAnsi="Times New Roman Regular" w:eastAsia="Times New Roman" w:cs="Times New Roman Regular"/>
                <w:b w:val="0"/>
                <w:i w:val="0"/>
                <w:color w:val="auto"/>
                <w:sz w:val="20"/>
              </w:rPr>
              <w:t>Favored approval leaks exist / Low</w:t>
            </w:r>
          </w:p>
        </w:tc>
        <w:tc>
          <w:tcPr>
            <w:tcW w:w="1560" w:type="dxa"/>
            <w:shd w:val="clear" w:color="auto" w:fill="FFFFFF"/>
          </w:tcPr>
          <w:p w14:paraId="333A7CB5">
            <w:pPr>
              <w:spacing w:before="40" w:after="40" w:line="360" w:lineRule="auto"/>
              <w:rPr>
                <w:rFonts w:hint="default" w:ascii="Times New Roman Regular" w:hAnsi="Times New Roman Regular" w:cs="Times New Roman Regular"/>
                <w:color w:val="auto"/>
              </w:rPr>
            </w:pPr>
            <w:r>
              <w:rPr>
                <w:rFonts w:hint="default" w:ascii="Times New Roman Regular" w:hAnsi="Times New Roman Regular" w:eastAsia="Times New Roman" w:cs="Times New Roman Regular"/>
                <w:b w:val="0"/>
                <w:i w:val="0"/>
                <w:color w:val="auto"/>
                <w:sz w:val="20"/>
              </w:rPr>
              <w:t>Very Low (Inconsistent standards, lagging)</w:t>
            </w:r>
          </w:p>
        </w:tc>
      </w:tr>
      <w:tr w14:paraId="11148CC1">
        <w:tblPrEx>
          <w:tblCellMar>
            <w:top w:w="0" w:type="dxa"/>
            <w:left w:w="108" w:type="dxa"/>
            <w:bottom w:w="0" w:type="dxa"/>
            <w:right w:w="108" w:type="dxa"/>
          </w:tblCellMar>
        </w:tblPrEx>
        <w:trPr>
          <w:jc w:val="center"/>
        </w:trPr>
        <w:tc>
          <w:tcPr>
            <w:tcW w:w="1560" w:type="dxa"/>
            <w:shd w:val="clear" w:color="auto" w:fill="F2F2F2"/>
          </w:tcPr>
          <w:p w14:paraId="7B21BCEF">
            <w:pPr>
              <w:spacing w:before="40" w:after="40" w:line="360" w:lineRule="auto"/>
              <w:rPr>
                <w:rFonts w:hint="default" w:ascii="Times New Roman Regular" w:hAnsi="Times New Roman Regular" w:cs="Times New Roman Regular"/>
                <w:color w:val="auto"/>
              </w:rPr>
            </w:pPr>
            <w:r>
              <w:rPr>
                <w:rFonts w:hint="default" w:ascii="Times New Roman Regular" w:hAnsi="Times New Roman Regular" w:eastAsia="Times New Roman" w:cs="Times New Roman Regular"/>
                <w:b w:val="0"/>
                <w:i w:val="0"/>
                <w:color w:val="auto"/>
                <w:sz w:val="20"/>
              </w:rPr>
              <w:t>Group D (Our Proposed System)</w:t>
            </w:r>
          </w:p>
        </w:tc>
        <w:tc>
          <w:tcPr>
            <w:tcW w:w="1560" w:type="dxa"/>
            <w:shd w:val="clear" w:color="auto" w:fill="F2F2F2"/>
          </w:tcPr>
          <w:p w14:paraId="6B818F2B">
            <w:pPr>
              <w:spacing w:before="40" w:after="40" w:line="360" w:lineRule="auto"/>
              <w:jc w:val="center"/>
              <w:rPr>
                <w:rFonts w:hint="default" w:ascii="Times New Roman Regular" w:hAnsi="Times New Roman Regular" w:cs="Times New Roman Regular"/>
                <w:color w:val="auto"/>
              </w:rPr>
            </w:pPr>
            <w:r>
              <w:rPr>
                <w:rFonts w:hint="default" w:ascii="Times New Roman Regular" w:hAnsi="Times New Roman Regular" w:eastAsia="Times New Roman" w:cs="Times New Roman Regular"/>
                <w:b w:val="0"/>
                <w:i w:val="0"/>
                <w:color w:val="auto"/>
                <w:sz w:val="20"/>
              </w:rPr>
              <w:t>98.6</w:t>
            </w:r>
          </w:p>
        </w:tc>
        <w:tc>
          <w:tcPr>
            <w:tcW w:w="1560" w:type="dxa"/>
            <w:shd w:val="clear" w:color="auto" w:fill="F2F2F2"/>
          </w:tcPr>
          <w:p w14:paraId="21A694E6">
            <w:pPr>
              <w:spacing w:before="40" w:after="40" w:line="360" w:lineRule="auto"/>
              <w:jc w:val="center"/>
              <w:rPr>
                <w:rFonts w:hint="default" w:ascii="Times New Roman Regular" w:hAnsi="Times New Roman Regular" w:cs="Times New Roman Regular"/>
                <w:color w:val="auto"/>
              </w:rPr>
            </w:pPr>
            <w:r>
              <w:rPr>
                <w:rFonts w:hint="default" w:ascii="Times New Roman Regular" w:hAnsi="Times New Roman Regular" w:eastAsia="Times New Roman" w:cs="Times New Roman Regular"/>
                <w:b w:val="0"/>
                <w:i w:val="0"/>
                <w:color w:val="auto"/>
                <w:sz w:val="20"/>
              </w:rPr>
              <w:t>1.2</w:t>
            </w:r>
          </w:p>
        </w:tc>
        <w:tc>
          <w:tcPr>
            <w:tcW w:w="1560" w:type="dxa"/>
            <w:shd w:val="clear" w:color="auto" w:fill="F2F2F2"/>
          </w:tcPr>
          <w:p w14:paraId="361EB0EF">
            <w:pPr>
              <w:spacing w:before="40" w:after="40" w:line="360" w:lineRule="auto"/>
              <w:jc w:val="center"/>
              <w:rPr>
                <w:rFonts w:hint="default" w:ascii="Times New Roman Regular" w:hAnsi="Times New Roman Regular" w:cs="Times New Roman Regular"/>
                <w:color w:val="auto"/>
              </w:rPr>
            </w:pPr>
            <w:r>
              <w:rPr>
                <w:rFonts w:hint="default" w:ascii="Times New Roman Regular" w:hAnsi="Times New Roman Regular" w:eastAsia="Times New Roman" w:cs="Times New Roman Regular"/>
                <w:b w:val="0"/>
                <w:i w:val="0"/>
                <w:color w:val="auto"/>
                <w:sz w:val="20"/>
              </w:rPr>
              <w:t>0.2</w:t>
            </w:r>
          </w:p>
        </w:tc>
        <w:tc>
          <w:tcPr>
            <w:tcW w:w="1560" w:type="dxa"/>
            <w:shd w:val="clear" w:color="auto" w:fill="F2F2F2"/>
          </w:tcPr>
          <w:p w14:paraId="5774E244">
            <w:pPr>
              <w:spacing w:before="40" w:after="40" w:line="360" w:lineRule="auto"/>
              <w:rPr>
                <w:rFonts w:hint="default" w:ascii="Times New Roman Regular" w:hAnsi="Times New Roman Regular" w:cs="Times New Roman Regular"/>
                <w:color w:val="auto"/>
              </w:rPr>
            </w:pPr>
            <w:r>
              <w:rPr>
                <w:rFonts w:hint="default" w:ascii="Times New Roman Regular" w:hAnsi="Times New Roman Regular" w:eastAsia="Times New Roman" w:cs="Times New Roman Regular"/>
                <w:b w:val="0"/>
                <w:i w:val="0"/>
                <w:color w:val="auto"/>
                <w:sz w:val="20"/>
              </w:rPr>
              <w:t>Excellent (Permanent on-chain logs)</w:t>
            </w:r>
          </w:p>
        </w:tc>
        <w:tc>
          <w:tcPr>
            <w:tcW w:w="1560" w:type="dxa"/>
            <w:shd w:val="clear" w:color="auto" w:fill="F2F2F2"/>
          </w:tcPr>
          <w:p w14:paraId="4A1CC865">
            <w:pPr>
              <w:spacing w:before="40" w:after="40" w:line="360" w:lineRule="auto"/>
              <w:rPr>
                <w:rFonts w:hint="default" w:ascii="Times New Roman Regular" w:hAnsi="Times New Roman Regular" w:cs="Times New Roman Regular"/>
                <w:color w:val="auto"/>
              </w:rPr>
            </w:pPr>
            <w:r>
              <w:rPr>
                <w:rFonts w:hint="default" w:ascii="Times New Roman Regular" w:hAnsi="Times New Roman Regular" w:eastAsia="Times New Roman" w:cs="Times New Roman Regular"/>
                <w:b w:val="0"/>
                <w:i w:val="0"/>
                <w:color w:val="auto"/>
                <w:sz w:val="20"/>
              </w:rPr>
              <w:t>Excellent (Rigid constraint via contract)</w:t>
            </w:r>
          </w:p>
        </w:tc>
      </w:tr>
    </w:tbl>
    <w:p w14:paraId="2FDFD704">
      <w:pPr>
        <w:spacing w:after="120" w:line="360" w:lineRule="auto"/>
        <w:rPr>
          <w:rFonts w:hint="default" w:ascii="Times New Roman Regular" w:hAnsi="Times New Roman Regular" w:cs="Times New Roman Regular"/>
          <w:color w:val="auto"/>
        </w:rPr>
      </w:pPr>
      <w:r>
        <w:rPr>
          <w:rFonts w:hint="default" w:ascii="Times New Roman Regular" w:hAnsi="Times New Roman Regular" w:eastAsia="Times New Roman" w:cs="Times New Roman Regular"/>
          <w:b w:val="0"/>
          <w:i w:val="0"/>
          <w:color w:val="auto"/>
          <w:sz w:val="22"/>
        </w:rPr>
        <w:t>Anti-Tampering and Tamper-Proof Advantage Evolution Analysis: Analyzing the security indicators in Table 4-2, it can be detected that traditional systems (Group A, Group C) close to complete failure of their defense framework when facing internal senior system administrators holding supreme database control authority, or when experiencing Advanced Persistent Threat (APT) attacks leading to the leak of super-user credentials. Malicious insiders can achieve complete vanishing after altering sensitive medical records or operational logs by directly deleting database physical records; their malicious tampering detection rate hovers around only 72.5%. Conversely, the system designed and constructed in this paper (Group D) demonstrates an overwhelming security protection water mark, with the malicious tampering detection rate reaching as high as 98.6% [6]. This is credited to the on-chain/off-chain two-way anchoring mechanism designed in this paper [2]. Any localized, minute tampering will instantaneously cause the calculated real-time hash value to misalign with the irreversible historical hash chain constructed by the Merkle tree inside the Fabric ledger, which is jointly maintained by network-wide multi-institutions, thereby being recognized within seconds by the smart contract and triggering a hard interception [12,13].</w:t>
      </w:r>
    </w:p>
    <w:p w14:paraId="07A2D576">
      <w:pPr>
        <w:spacing w:after="120" w:line="360" w:lineRule="auto"/>
        <w:rPr>
          <w:rFonts w:hint="default" w:ascii="Times New Roman Regular" w:hAnsi="Times New Roman Regular" w:cs="Times New Roman Regular"/>
          <w:color w:val="auto"/>
        </w:rPr>
      </w:pPr>
      <w:r>
        <w:rPr>
          <w:rFonts w:hint="default" w:ascii="Times New Roman Regular" w:hAnsi="Times New Roman Regular" w:eastAsia="Times New Roman" w:cs="Times New Roman Regular"/>
          <w:b w:val="0"/>
          <w:i w:val="0"/>
          <w:color w:val="auto"/>
          <w:sz w:val="22"/>
        </w:rPr>
        <w:t>Rigid Policy Execution and False-Negative Leak Rate Evolution Analysis: In terms of privilege control, because the Group D system encapsulates the fine-grained ABAC decision logic in its entirety into the decentralized smart contract (Chaincode), it completely strips away the interference of all human emotional factors and the hidden hazard of single-point configuration files being breached. Its privilege decision false-negative leak rate (i.e., the probability that an illegal unauthorized request escapes interception and successfully steals data) shrinks dramatically to an exceptionally low security level of 0.2% [11,12]. All subject-object attributes and environmental context comparisons are compulsorily and jointly validated by nodes across the network. Any successful retrieval behavior or failed unauthorized attempt will be instantaneously solidified into blocks by the Log Audit Contract, forming an irreversible, non-erasable rigid chain of evidence, and the performance of audit traceability completeness is graded as excellent [12].</w:t>
      </w:r>
    </w:p>
    <w:p w14:paraId="4D24EEEA">
      <w:pPr>
        <w:pStyle w:val="4"/>
        <w:bidi w:val="0"/>
        <w:spacing w:line="360" w:lineRule="auto"/>
        <w:rPr>
          <w:rFonts w:hint="default" w:ascii="Times New Roman Regular" w:hAnsi="Times New Roman Regular" w:cs="Times New Roman Regular"/>
          <w:color w:val="auto"/>
        </w:rPr>
      </w:pPr>
      <w:bookmarkStart w:id="17" w:name="_Toc2010415197"/>
      <w:r>
        <w:rPr>
          <w:rFonts w:hint="default" w:ascii="Times New Roman Regular" w:hAnsi="Times New Roman Regular" w:cs="Times New Roman Regular"/>
          <w:color w:val="auto"/>
        </w:rPr>
        <w:t>5 Deep Model Optimization and Evolutionary Improvement Paths Analysis</w:t>
      </w:r>
      <w:bookmarkEnd w:id="17"/>
    </w:p>
    <w:p w14:paraId="0C69EE4C">
      <w:pPr>
        <w:pStyle w:val="5"/>
        <w:bidi w:val="0"/>
        <w:spacing w:line="360" w:lineRule="auto"/>
        <w:rPr>
          <w:rFonts w:hint="default" w:ascii="Times New Roman Regular" w:hAnsi="Times New Roman Regular" w:cs="Times New Roman Regular"/>
          <w:color w:val="auto"/>
        </w:rPr>
      </w:pPr>
      <w:bookmarkStart w:id="18" w:name="_Toc540514081"/>
      <w:r>
        <w:rPr>
          <w:rFonts w:hint="default" w:ascii="Times New Roman Regular" w:hAnsi="Times New Roman Regular" w:cs="Times New Roman Regular"/>
          <w:color w:val="auto"/>
        </w:rPr>
        <w:t>5.1 In-Depth Analysis of Potential System Technical Bottlenecks</w:t>
      </w:r>
      <w:bookmarkEnd w:id="18"/>
    </w:p>
    <w:p w14:paraId="5BF7BE83">
      <w:pPr>
        <w:spacing w:after="120" w:line="360" w:lineRule="auto"/>
        <w:rPr>
          <w:rFonts w:hint="default" w:ascii="Times New Roman Regular" w:hAnsi="Times New Roman Regular" w:cs="Times New Roman Regular"/>
          <w:color w:val="auto"/>
        </w:rPr>
      </w:pPr>
      <w:r>
        <w:rPr>
          <w:rFonts w:hint="default" w:ascii="Times New Roman Regular" w:hAnsi="Times New Roman Regular" w:eastAsia="Times New Roman" w:cs="Times New Roman Regular"/>
          <w:b w:val="0"/>
          <w:i w:val="0"/>
          <w:color w:val="auto"/>
          <w:sz w:val="22"/>
        </w:rPr>
        <w:t>Although the empirical quantitative test data in Chapter 4 fully corroborates the prominent superior features of the hybrid model designed in this paper in shattering data silos, providing secure trust endorsement, and offering rigid accountability auditing, when pushing this prototype system toward extreme, highly complex macro-industrial application scenarios—such as future ultra-large-scale medical consortiums (regional medical alliances) and wide-area network high-concurrency interactions across provinces—the system still manifests three primordial technical bottlenecks [7]:</w:t>
      </w:r>
    </w:p>
    <w:p w14:paraId="618F73EE">
      <w:pPr>
        <w:pStyle w:val="16"/>
        <w:spacing w:after="80" w:line="360" w:lineRule="auto"/>
        <w:rPr>
          <w:rFonts w:hint="default" w:ascii="Times New Roman Regular" w:hAnsi="Times New Roman Regular" w:cs="Times New Roman Regular"/>
          <w:color w:val="auto"/>
        </w:rPr>
      </w:pPr>
      <w:r>
        <w:rPr>
          <w:rFonts w:hint="default" w:ascii="Times New Roman Regular" w:hAnsi="Times New Roman Regular" w:eastAsia="Times New Roman" w:cs="Times New Roman Regular"/>
          <w:b/>
          <w:i w:val="0"/>
          <w:color w:val="auto"/>
          <w:sz w:val="22"/>
        </w:rPr>
        <w:t xml:space="preserve">Redundant Traversal Overhead of Smart Contract ABAC Trees: </w:t>
      </w:r>
      <w:r>
        <w:rPr>
          <w:rFonts w:hint="default" w:ascii="Times New Roman Regular" w:hAnsi="Times New Roman Regular" w:eastAsia="Times New Roman" w:cs="Times New Roman Regular"/>
          <w:b w:val="0"/>
          <w:i w:val="0"/>
          <w:color w:val="auto"/>
          <w:sz w:val="22"/>
        </w:rPr>
        <w:t>The current access control chaincode, when parsing medical data sharing policies containing multi-level nested Boolean logic, must cyclically traverse the entire logic tree. When confronting an explosively surging influx of concurrent retrieval requests, this will induce instantaneous CPU overload on endorsing nodes, widening the overall response verification latency [12].</w:t>
      </w:r>
    </w:p>
    <w:p w14:paraId="517B6820">
      <w:pPr>
        <w:pStyle w:val="16"/>
        <w:spacing w:after="80" w:line="360" w:lineRule="auto"/>
        <w:rPr>
          <w:rFonts w:hint="default" w:ascii="Times New Roman Regular" w:hAnsi="Times New Roman Regular" w:cs="Times New Roman Regular"/>
          <w:color w:val="auto"/>
        </w:rPr>
      </w:pPr>
      <w:r>
        <w:rPr>
          <w:rFonts w:hint="default" w:ascii="Times New Roman Regular" w:hAnsi="Times New Roman Regular" w:eastAsia="Times New Roman" w:cs="Times New Roman Regular"/>
          <w:b/>
          <w:i w:val="0"/>
          <w:color w:val="auto"/>
          <w:sz w:val="22"/>
        </w:rPr>
        <w:t xml:space="preserve">Communication Complexity Bottleneck of Distributed Consensus Networks: </w:t>
      </w:r>
      <w:r>
        <w:rPr>
          <w:rFonts w:hint="default" w:ascii="Times New Roman Regular" w:hAnsi="Times New Roman Regular" w:eastAsia="Times New Roman" w:cs="Times New Roman Regular"/>
          <w:b w:val="0"/>
          <w:i w:val="0"/>
          <w:color w:val="auto"/>
          <w:sz w:val="22"/>
        </w:rPr>
        <w:t>The underlying layer of Hyperledger Fabric runs conventional consensus algorithms [17]. As the number of independent institutional nodes N connected to the network scales linearly, the network communication complexity required among nodes to reach a strong consistency of state typically exhibits a dramatic expansion of quadratic order O(N2). This severely constrains the system's capacity for horizontal expansion into broader spaces [7].</w:t>
      </w:r>
    </w:p>
    <w:p w14:paraId="33D0253A">
      <w:pPr>
        <w:pStyle w:val="16"/>
        <w:spacing w:after="80" w:line="360" w:lineRule="auto"/>
        <w:rPr>
          <w:rFonts w:hint="default" w:ascii="Times New Roman Regular" w:hAnsi="Times New Roman Regular" w:cs="Times New Roman Regular"/>
          <w:color w:val="auto"/>
        </w:rPr>
      </w:pPr>
      <w:r>
        <w:rPr>
          <w:rFonts w:hint="default" w:ascii="Times New Roman Regular" w:hAnsi="Times New Roman Regular" w:eastAsia="Times New Roman" w:cs="Times New Roman Regular"/>
          <w:b/>
          <w:i w:val="0"/>
          <w:color w:val="auto"/>
          <w:sz w:val="22"/>
        </w:rPr>
        <w:t xml:space="preserve">Transaction Blocking Congestion Bottleneck Triggered by Global Single-Chain Structure: </w:t>
      </w:r>
      <w:r>
        <w:rPr>
          <w:rFonts w:hint="default" w:ascii="Times New Roman Regular" w:hAnsi="Times New Roman Regular" w:eastAsia="Times New Roman" w:cs="Times New Roman Regular"/>
          <w:b w:val="0"/>
          <w:i w:val="0"/>
          <w:color w:val="auto"/>
          <w:sz w:val="22"/>
        </w:rPr>
        <w:t>The prototype system currently utilizes a single channel and a global single-chain topology to host all categories of medical sharing transactions. This results in low-frequency medical scientific research data flows (large data volume, low priority) and high-frequency clinical outpatient/emergency retrievals (demanding extreme time efficiency) waiting in the same queue line on the single-chain block packaging line, easily provoking on-chain traffic accumulation and blockage of transactions [2].</w:t>
      </w:r>
    </w:p>
    <w:p w14:paraId="14997D67">
      <w:pPr>
        <w:pStyle w:val="5"/>
        <w:bidi w:val="0"/>
        <w:spacing w:line="360" w:lineRule="auto"/>
        <w:rPr>
          <w:rFonts w:hint="default" w:ascii="Times New Roman Regular" w:hAnsi="Times New Roman Regular" w:cs="Times New Roman Regular"/>
          <w:color w:val="auto"/>
        </w:rPr>
      </w:pPr>
      <w:bookmarkStart w:id="19" w:name="_Toc564332557"/>
      <w:r>
        <w:rPr>
          <w:rFonts w:hint="default" w:ascii="Times New Roman Regular" w:hAnsi="Times New Roman Regular" w:cs="Times New Roman Regular"/>
          <w:color w:val="auto"/>
        </w:rPr>
        <w:t>5.2 Targeted Model Optimization Path Scheme Design</w:t>
      </w:r>
      <w:bookmarkEnd w:id="19"/>
    </w:p>
    <w:p w14:paraId="6E223D21">
      <w:pPr>
        <w:spacing w:after="120" w:line="360" w:lineRule="auto"/>
        <w:rPr>
          <w:rFonts w:hint="default" w:ascii="Times New Roman Regular" w:hAnsi="Times New Roman Regular" w:cs="Times New Roman Regular"/>
          <w:color w:val="auto"/>
        </w:rPr>
      </w:pPr>
      <w:r>
        <w:rPr>
          <w:rFonts w:hint="default" w:ascii="Times New Roman Regular" w:hAnsi="Times New Roman Regular" w:eastAsia="Times New Roman" w:cs="Times New Roman Regular"/>
          <w:b w:val="0"/>
          <w:i w:val="0"/>
          <w:color w:val="auto"/>
          <w:sz w:val="22"/>
        </w:rPr>
        <w:t>In order to further narrow the technical chasm between distributed decentralized systems and traditional centralized high-performance systems in pure execution efficiency, this paper proposes four evolutionary improvement paths incorporating deep optimizations on top of the existing system architecture:</w:t>
      </w:r>
    </w:p>
    <w:p w14:paraId="5F864C14">
      <w:pPr>
        <w:pStyle w:val="16"/>
        <w:spacing w:after="80" w:line="360" w:lineRule="auto"/>
        <w:rPr>
          <w:rFonts w:hint="default" w:ascii="Times New Roman Regular" w:hAnsi="Times New Roman Regular" w:cs="Times New Roman Regular"/>
          <w:color w:val="auto"/>
        </w:rPr>
      </w:pPr>
      <w:r>
        <w:rPr>
          <w:rFonts w:hint="default" w:ascii="Times New Roman Regular" w:hAnsi="Times New Roman Regular" w:eastAsia="Times New Roman" w:cs="Times New Roman Regular"/>
          <w:b/>
          <w:i w:val="0"/>
          <w:color w:val="auto"/>
          <w:sz w:val="22"/>
        </w:rPr>
        <w:t xml:space="preserve">Policy Pre-compilation and On-Chain Intelligent Hot Cache Mechanism: </w:t>
      </w:r>
      <w:r>
        <w:rPr>
          <w:rFonts w:hint="default" w:ascii="Times New Roman Regular" w:hAnsi="Times New Roman Regular" w:eastAsia="Times New Roman" w:cs="Times New Roman Regular"/>
          <w:b w:val="0"/>
          <w:i w:val="0"/>
          <w:color w:val="auto"/>
          <w:sz w:val="22"/>
        </w:rPr>
        <w:t>Targeting the problems of massive contract parsing overhead and low execution efficiency, it is proposed to introduce a policy pre-compilation mechanism in the smart contract layer [11]. Complex Boolean logical rules are compiled in advance into compact Binary Decision Diagrams (BDD), and a 'chain hot data cache pool' is carved out within the memory space of endorsing nodes for high-frequency circulating clinical metadata and valid authorization records. Within the authorization validity window, identical repetitive requests can directly hit the memory cache and be released by the contract [12], evading the frequent pulling of the distributed ledger, which is expected to sharply shorten the average verification latency by approximately 30%.</w:t>
      </w:r>
    </w:p>
    <w:p w14:paraId="6F2AB4BB">
      <w:pPr>
        <w:pStyle w:val="16"/>
        <w:spacing w:after="80" w:line="360" w:lineRule="auto"/>
        <w:rPr>
          <w:rFonts w:hint="default" w:ascii="Times New Roman Regular" w:hAnsi="Times New Roman Regular" w:cs="Times New Roman Regular"/>
          <w:color w:val="auto"/>
        </w:rPr>
      </w:pPr>
      <w:r>
        <w:rPr>
          <w:rFonts w:hint="default" w:ascii="Times New Roman Regular" w:hAnsi="Times New Roman Regular" w:eastAsia="Times New Roman" w:cs="Times New Roman Regular"/>
          <w:b/>
          <w:i w:val="0"/>
          <w:color w:val="auto"/>
          <w:sz w:val="22"/>
        </w:rPr>
        <w:t xml:space="preserve">Introduction of a Lightweight Hierarchical Consensus Algorithm Based on Credit Systems: </w:t>
      </w:r>
      <w:r>
        <w:rPr>
          <w:rFonts w:hint="default" w:ascii="Times New Roman Regular" w:hAnsi="Times New Roman Regular" w:eastAsia="Times New Roman" w:cs="Times New Roman Regular"/>
          <w:b w:val="0"/>
          <w:i w:val="0"/>
          <w:color w:val="auto"/>
          <w:sz w:val="22"/>
        </w:rPr>
        <w:t>Targeting the horizontal expansion communication bottleneck, a lightweight improved consensus algorithm fusing dynamic node credit evaluation is designed [13]. The system conducts regularized historical compliance auditing behavioral scoring for each medical institution node, imparting a dynamic credit value. Core medical center nodes whose credit values remain firmly at the forefront for long durations are selected to compose a 'Core Consensus Committee' responsible for primary block packaging, sequencing, and distribution, while ordinary community nodes only execute blind state synchronization [7]. This move successfully compresses and narrows the overall network communication complexity from O(N2) down to O(M·N) (where M &lt;&lt; N is the number of committee nodes), drastically shortening the block final confirmation time [7].</w:t>
      </w:r>
    </w:p>
    <w:p w14:paraId="0871CA9C">
      <w:pPr>
        <w:pStyle w:val="16"/>
        <w:spacing w:after="80" w:line="360" w:lineRule="auto"/>
        <w:rPr>
          <w:rFonts w:hint="default" w:ascii="Times New Roman Regular" w:hAnsi="Times New Roman Regular" w:cs="Times New Roman Regular"/>
          <w:color w:val="auto"/>
        </w:rPr>
      </w:pPr>
      <w:r>
        <w:rPr>
          <w:rFonts w:hint="default" w:ascii="Times New Roman Regular" w:hAnsi="Times New Roman Regular" w:eastAsia="Times New Roman" w:cs="Times New Roman Regular"/>
          <w:b/>
          <w:i w:val="0"/>
          <w:color w:val="auto"/>
          <w:sz w:val="22"/>
        </w:rPr>
        <w:t xml:space="preserve">Data Sharding Storage Design Based on Multi-Source Medical Characteristics: </w:t>
      </w:r>
      <w:r>
        <w:rPr>
          <w:rFonts w:hint="default" w:ascii="Times New Roman Regular" w:hAnsi="Times New Roman Regular" w:eastAsia="Times New Roman" w:cs="Times New Roman Regular"/>
          <w:b w:val="0"/>
          <w:i w:val="0"/>
          <w:color w:val="auto"/>
          <w:sz w:val="22"/>
        </w:rPr>
        <w:t>Targeting the single-chain hosting bottleneck, a multi-source heterogeneous medical data sharding on-chain model is designed. Multi-Channel and data sharding techniques are introduced inside the Fabric network, segmenting and decoupling the global ledger into multiple mutually isolated parallel sharding channels according to medical department attributes and data sensitivity levels [7]. Local transaction consensus is executed independently and concurrently inside each channel, realizing traffic diversion [2], effectively mitigating block accumulation on the single chain, and majorly boosting system throughput.</w:t>
      </w:r>
    </w:p>
    <w:p w14:paraId="76FD0E4F">
      <w:pPr>
        <w:pStyle w:val="16"/>
        <w:spacing w:after="80" w:line="360" w:lineRule="auto"/>
        <w:rPr>
          <w:rFonts w:hint="default" w:ascii="Times New Roman Regular" w:hAnsi="Times New Roman Regular" w:cs="Times New Roman Regular"/>
          <w:color w:val="auto"/>
        </w:rPr>
      </w:pPr>
      <w:r>
        <w:rPr>
          <w:rFonts w:hint="default" w:ascii="Times New Roman Regular" w:hAnsi="Times New Roman Regular" w:eastAsia="Times New Roman" w:cs="Times New Roman Regular"/>
          <w:b/>
          <w:i w:val="0"/>
          <w:color w:val="auto"/>
          <w:sz w:val="22"/>
        </w:rPr>
        <w:t xml:space="preserve">Expansion of Multi-Condition Extreme Network Topology Simulation Stress Testing: </w:t>
      </w:r>
      <w:r>
        <w:rPr>
          <w:rFonts w:hint="default" w:ascii="Times New Roman Regular" w:hAnsi="Times New Roman Regular" w:eastAsia="Times New Roman" w:cs="Times New Roman Regular"/>
          <w:b w:val="0"/>
          <w:i w:val="0"/>
          <w:color w:val="auto"/>
          <w:sz w:val="22"/>
        </w:rPr>
        <w:t>In subsequent engineering improvement endeavors, it is planned to comprehensively migrate the current local area network virtualized testing environment to a multi-region cross-province network simulation environment based on public clouds. A certain percentage of 'malicious colluding nodes' and 'Sybil Attacks' will be actively injected under extreme working conditions to fully stress-test the system's anti-risk robustness and self-healing capacity when network partitioning occurs or when facing up to 33% node collusion forgery and deliberate destruction [10,13].</w:t>
      </w:r>
    </w:p>
    <w:p w14:paraId="27193285">
      <w:pPr>
        <w:pStyle w:val="4"/>
        <w:bidi w:val="0"/>
        <w:spacing w:line="360" w:lineRule="auto"/>
        <w:rPr>
          <w:rFonts w:hint="default" w:ascii="Times New Roman Regular" w:hAnsi="Times New Roman Regular" w:cs="Times New Roman Regular"/>
          <w:color w:val="auto"/>
        </w:rPr>
      </w:pPr>
      <w:bookmarkStart w:id="20" w:name="_Toc1449500347"/>
      <w:r>
        <w:rPr>
          <w:rFonts w:hint="default" w:ascii="Times New Roman Regular" w:hAnsi="Times New Roman Regular" w:cs="Times New Roman Regular"/>
          <w:color w:val="auto"/>
        </w:rPr>
        <w:t>6 Conclusion and Future Outlook</w:t>
      </w:r>
      <w:bookmarkEnd w:id="20"/>
    </w:p>
    <w:p w14:paraId="7C420DD5">
      <w:pPr>
        <w:pStyle w:val="5"/>
        <w:bidi w:val="0"/>
        <w:spacing w:line="360" w:lineRule="auto"/>
        <w:rPr>
          <w:rFonts w:hint="default" w:ascii="Times New Roman Regular" w:hAnsi="Times New Roman Regular" w:cs="Times New Roman Regular"/>
          <w:color w:val="auto"/>
        </w:rPr>
      </w:pPr>
      <w:bookmarkStart w:id="21" w:name="_Toc697840461"/>
      <w:r>
        <w:rPr>
          <w:rFonts w:hint="default" w:ascii="Times New Roman Regular" w:hAnsi="Times New Roman Regular" w:cs="Times New Roman Regular"/>
          <w:color w:val="auto"/>
        </w:rPr>
        <w:t>6.1 Research Conclusion</w:t>
      </w:r>
      <w:bookmarkEnd w:id="21"/>
    </w:p>
    <w:p w14:paraId="0A95674E">
      <w:pPr>
        <w:spacing w:after="120" w:line="360" w:lineRule="auto"/>
        <w:rPr>
          <w:rFonts w:hint="default" w:ascii="Times New Roman Regular" w:hAnsi="Times New Roman Regular" w:cs="Times New Roman Regular"/>
          <w:color w:val="auto"/>
        </w:rPr>
      </w:pPr>
      <w:r>
        <w:rPr>
          <w:rFonts w:hint="default" w:ascii="Times New Roman Regular" w:hAnsi="Times New Roman Regular" w:eastAsia="Times New Roman" w:cs="Times New Roman Regular"/>
          <w:b w:val="0"/>
          <w:i w:val="0"/>
          <w:color w:val="auto"/>
          <w:sz w:val="22"/>
        </w:rPr>
        <w:t>Aiming at core industry pain points encountered in cross-institutional medical data management and sharing—such as deeply entrenched data silos, high risks of privacy leakage, susceptibility of centralized systems to single-point breaches, and lack of trustworthiness in auditing mechanisms—this paper designs and implements a secure sharing system with a hybrid decoupled architecture based on the Hyperledger Fabric consortium blockchain and IPFS [2,3].</w:t>
      </w:r>
    </w:p>
    <w:p w14:paraId="66E21B9E">
      <w:pPr>
        <w:spacing w:after="120" w:line="360" w:lineRule="auto"/>
        <w:rPr>
          <w:rFonts w:hint="default" w:ascii="Times New Roman Regular" w:hAnsi="Times New Roman Regular" w:cs="Times New Roman Regular"/>
          <w:color w:val="auto"/>
        </w:rPr>
      </w:pPr>
      <w:r>
        <w:rPr>
          <w:rFonts w:hint="default" w:ascii="Times New Roman Regular" w:hAnsi="Times New Roman Regular" w:eastAsia="Times New Roman" w:cs="Times New Roman Regular"/>
          <w:b w:val="0"/>
          <w:i w:val="0"/>
          <w:color w:val="auto"/>
          <w:sz w:val="22"/>
        </w:rPr>
        <w:t>The primary research fruits are summarized as follows:</w:t>
      </w:r>
    </w:p>
    <w:p w14:paraId="1FD60F76">
      <w:pPr>
        <w:pStyle w:val="16"/>
        <w:spacing w:after="80" w:line="360" w:lineRule="auto"/>
        <w:rPr>
          <w:rFonts w:hint="default" w:ascii="Times New Roman Regular" w:hAnsi="Times New Roman Regular" w:cs="Times New Roman Regular"/>
          <w:color w:val="auto"/>
        </w:rPr>
      </w:pPr>
      <w:r>
        <w:rPr>
          <w:rFonts w:hint="default" w:ascii="Times New Roman Regular" w:hAnsi="Times New Roman Regular" w:eastAsia="Times New Roman" w:cs="Times New Roman Regular"/>
          <w:b/>
          <w:i w:val="0"/>
          <w:color w:val="auto"/>
          <w:sz w:val="22"/>
        </w:rPr>
        <w:t xml:space="preserve">Decoupled Circulation Model: </w:t>
      </w:r>
      <w:r>
        <w:rPr>
          <w:rFonts w:hint="default" w:ascii="Times New Roman Regular" w:hAnsi="Times New Roman Regular" w:eastAsia="Times New Roman" w:cs="Times New Roman Regular"/>
          <w:b w:val="0"/>
          <w:i w:val="0"/>
          <w:color w:val="auto"/>
          <w:sz w:val="22"/>
        </w:rPr>
        <w:t>Successfully designed and validated the 'on-chain index anchoring + off-chain distributed storage' decoupled circulation model. Shifting massive structured and heterogeneous simulated medical record files to the IPFS cluster, while only storing Content Identifier CID metadata inside the blockchain ledger, successfully deflates the storage complexity to O(1), breaching the storage boundaries of blockchain [8,15].</w:t>
      </w:r>
    </w:p>
    <w:p w14:paraId="63609C52">
      <w:pPr>
        <w:pStyle w:val="16"/>
        <w:spacing w:after="80" w:line="360" w:lineRule="auto"/>
        <w:rPr>
          <w:rFonts w:hint="default" w:ascii="Times New Roman Regular" w:hAnsi="Times New Roman Regular" w:cs="Times New Roman Regular"/>
          <w:color w:val="auto"/>
        </w:rPr>
      </w:pPr>
      <w:r>
        <w:rPr>
          <w:rFonts w:hint="default" w:ascii="Times New Roman Regular" w:hAnsi="Times New Roman Regular" w:eastAsia="Times New Roman" w:cs="Times New Roman Regular"/>
          <w:b/>
          <w:i w:val="0"/>
          <w:color w:val="auto"/>
          <w:sz w:val="22"/>
        </w:rPr>
        <w:t xml:space="preserve">Perfect Amalgamation of ABAC and Smart Contracts: </w:t>
      </w:r>
      <w:r>
        <w:rPr>
          <w:rFonts w:hint="default" w:ascii="Times New Roman Regular" w:hAnsi="Times New Roman Regular" w:eastAsia="Times New Roman" w:cs="Times New Roman Regular"/>
          <w:b w:val="0"/>
          <w:i w:val="0"/>
          <w:color w:val="auto"/>
          <w:sz w:val="22"/>
        </w:rPr>
        <w:t>The fine-grained Attribute-Based Access Control (ABAC) model is perfectly amalgamated into smart contracts [3], achieving automated, dynamic, and rigid privilege decisions tailored for multi-institutions and multi-roles, majorly elevating the regulatory compliance of data liquidity [11].</w:t>
      </w:r>
    </w:p>
    <w:p w14:paraId="3C983F58">
      <w:pPr>
        <w:pStyle w:val="16"/>
        <w:spacing w:after="80" w:line="360" w:lineRule="auto"/>
        <w:rPr>
          <w:rFonts w:hint="default" w:ascii="Times New Roman Regular" w:hAnsi="Times New Roman Regular" w:cs="Times New Roman Regular"/>
          <w:color w:val="auto"/>
        </w:rPr>
      </w:pPr>
      <w:r>
        <w:rPr>
          <w:rFonts w:hint="default" w:ascii="Times New Roman Regular" w:hAnsi="Times New Roman Regular" w:eastAsia="Times New Roman" w:cs="Times New Roman Regular"/>
          <w:b/>
          <w:i w:val="0"/>
          <w:color w:val="auto"/>
          <w:sz w:val="22"/>
        </w:rPr>
        <w:t xml:space="preserve">Stress Contrast Testing Validation: </w:t>
      </w:r>
      <w:r>
        <w:rPr>
          <w:rFonts w:hint="default" w:ascii="Times New Roman Regular" w:hAnsi="Times New Roman Regular" w:eastAsia="Times New Roman" w:cs="Times New Roman Regular"/>
          <w:b w:val="0"/>
          <w:i w:val="0"/>
          <w:color w:val="auto"/>
          <w:sz w:val="22"/>
        </w:rPr>
        <w:t>Stress contrast testing results manifest that, at the reasonable technical expense of sacrificing a minute fraction of TPS throughput and millisecond-level response latencies [7], this system achieves an ultra-precise malicious tampering detection rate of 98.6% and a privilege access false-negative leak rate low to 0.2% [6]. The interactive behaviors across the system's full lifecycle leave permanent trails on the chain that are anti-repudiation and non-erasable, capturing the optimal comprehensive equilibrium among data security reliability, controlled sharing, and patient privacy protection [12].</w:t>
      </w:r>
    </w:p>
    <w:p w14:paraId="1B40798E">
      <w:pPr>
        <w:spacing w:line="36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br w:type="page"/>
      </w:r>
    </w:p>
    <w:p w14:paraId="7AB04967">
      <w:pPr>
        <w:pStyle w:val="4"/>
        <w:bidi w:val="0"/>
        <w:spacing w:line="360" w:lineRule="auto"/>
        <w:jc w:val="left"/>
        <w:rPr>
          <w:rFonts w:hint="default" w:ascii="Times New Roman Regular" w:hAnsi="Times New Roman Regular" w:cs="Times New Roman Regular"/>
          <w:color w:val="auto"/>
          <w:sz w:val="28"/>
          <w:szCs w:val="28"/>
        </w:rPr>
      </w:pPr>
      <w:bookmarkStart w:id="22" w:name="_Toc1196431760"/>
      <w:r>
        <w:rPr>
          <w:rFonts w:hint="default" w:ascii="Times New Roman Regular" w:hAnsi="Times New Roman Regular" w:cs="Times New Roman Regular"/>
          <w:color w:val="auto"/>
          <w:sz w:val="28"/>
          <w:szCs w:val="28"/>
        </w:rPr>
        <w:t>References</w:t>
      </w:r>
      <w:bookmarkEnd w:id="22"/>
    </w:p>
    <w:p w14:paraId="37F90CBA">
      <w:pPr>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left"/>
        <w:rPr>
          <w:rFonts w:hint="default" w:ascii="Times New Roman Regular" w:hAnsi="Times New Roman Regular" w:eastAsia="Gungsuh" w:cs="Times New Roman Regular"/>
          <w:b w:val="0"/>
          <w:bCs w:val="0"/>
          <w:rtl w:val="0"/>
        </w:rPr>
      </w:pPr>
      <w:r>
        <w:rPr>
          <w:rFonts w:hint="default" w:ascii="Times New Roman Regular" w:hAnsi="Times New Roman Regular" w:eastAsia="Gungsuh" w:cs="Times New Roman Regular"/>
          <w:b w:val="0"/>
          <w:bCs w:val="0"/>
          <w:rtl w:val="0"/>
        </w:rPr>
        <w:t>[1] SAEED H, MALIK H, BASHIR U, et al. Blockchain technology in healthcare: A systematic review[J]. PLoS ONE, 2022, 17(4): e0266462.</w:t>
      </w:r>
    </w:p>
    <w:p w14:paraId="7CF38E6C">
      <w:pPr>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left"/>
        <w:rPr>
          <w:rFonts w:hint="default" w:ascii="Times New Roman Regular" w:hAnsi="Times New Roman Regular" w:eastAsia="Gungsuh" w:cs="Times New Roman Regular"/>
          <w:b w:val="0"/>
          <w:bCs w:val="0"/>
          <w:rtl w:val="0"/>
        </w:rPr>
      </w:pPr>
      <w:r>
        <w:rPr>
          <w:rFonts w:hint="default" w:ascii="Times New Roman Regular" w:hAnsi="Times New Roman Regular" w:eastAsia="Gungsuh" w:cs="Times New Roman Regular"/>
          <w:b w:val="0"/>
          <w:bCs w:val="0"/>
          <w:rtl w:val="0"/>
        </w:rPr>
        <w:t>DOI: https://doi.org/10.1371/journal.pone.0266462</w:t>
      </w:r>
    </w:p>
    <w:p w14:paraId="199CCAFE">
      <w:pPr>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left"/>
        <w:rPr>
          <w:rFonts w:hint="default" w:ascii="Times New Roman Regular" w:hAnsi="Times New Roman Regular" w:eastAsia="Gungsuh" w:cs="Times New Roman Regular"/>
          <w:b w:val="0"/>
          <w:bCs w:val="0"/>
          <w:rtl w:val="0"/>
        </w:rPr>
      </w:pPr>
      <w:r>
        <w:rPr>
          <w:rFonts w:hint="default" w:ascii="Times New Roman Regular" w:hAnsi="Times New Roman Regular" w:eastAsia="Gungsuh" w:cs="Times New Roman Regular"/>
          <w:b w:val="0"/>
          <w:bCs w:val="0"/>
          <w:rtl w:val="0"/>
        </w:rPr>
        <w:t xml:space="preserve">SHAHNAZ A, QAMAR U, KHALID A. Using Blockchain for Electronic Health Records[J]. IEEE Access, 2019, 7: 147782-147795. </w:t>
      </w:r>
    </w:p>
    <w:p w14:paraId="0E9C7C23">
      <w:pPr>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left"/>
        <w:rPr>
          <w:rFonts w:hint="default" w:ascii="Times New Roman Regular" w:hAnsi="Times New Roman Regular" w:eastAsia="Gungsuh" w:cs="Times New Roman Regular"/>
          <w:b w:val="0"/>
          <w:bCs w:val="0"/>
          <w:rtl w:val="0"/>
        </w:rPr>
      </w:pPr>
      <w:r>
        <w:rPr>
          <w:rFonts w:hint="default" w:ascii="Times New Roman Regular" w:hAnsi="Times New Roman Regular" w:eastAsia="Gungsuh" w:cs="Times New Roman Regular"/>
          <w:b w:val="0"/>
          <w:bCs w:val="0"/>
          <w:rtl w:val="0"/>
        </w:rPr>
        <w:t>DOI: https://doi.org/10.1109/ACCESS.2019.2946373</w:t>
      </w:r>
    </w:p>
    <w:p w14:paraId="6993F497">
      <w:pPr>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left"/>
        <w:rPr>
          <w:rFonts w:hint="default" w:ascii="Times New Roman Regular" w:hAnsi="Times New Roman Regular" w:eastAsia="Gungsuh" w:cs="Times New Roman Regular"/>
          <w:b w:val="0"/>
          <w:bCs w:val="0"/>
          <w:rtl w:val="0"/>
        </w:rPr>
      </w:pPr>
      <w:r>
        <w:rPr>
          <w:rFonts w:hint="default" w:ascii="Times New Roman Regular" w:hAnsi="Times New Roman Regular" w:eastAsia="Gungsuh" w:cs="Times New Roman Regular"/>
          <w:b w:val="0"/>
          <w:bCs w:val="0"/>
          <w:rtl w:val="0"/>
        </w:rPr>
        <w:t>[3] LIU X, WANG Z, JIN C, et al. A Blockchain-Based Medical Data Sharing and Privacy Protection Scheme With Attribute-Based Access Control[J]. IEEE Access, 2019, 7: 118943-118953.</w:t>
      </w:r>
    </w:p>
    <w:p w14:paraId="2286FB3C">
      <w:pPr>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left"/>
        <w:rPr>
          <w:rFonts w:hint="default" w:ascii="Times New Roman Regular" w:hAnsi="Times New Roman Regular" w:eastAsia="Gungsuh" w:cs="Times New Roman Regular"/>
          <w:b w:val="0"/>
          <w:bCs w:val="0"/>
          <w:rtl w:val="0"/>
        </w:rPr>
      </w:pPr>
      <w:r>
        <w:rPr>
          <w:rFonts w:hint="default" w:ascii="Times New Roman Regular" w:hAnsi="Times New Roman Regular" w:eastAsia="Gungsuh" w:cs="Times New Roman Regular"/>
          <w:b w:val="0"/>
          <w:bCs w:val="0"/>
          <w:rtl w:val="0"/>
        </w:rPr>
        <w:t>DOI: https://doi.org/10.1109/ACCESS.2019.2937685</w:t>
      </w:r>
    </w:p>
    <w:p w14:paraId="29789E95">
      <w:pPr>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left"/>
        <w:rPr>
          <w:rFonts w:hint="default" w:ascii="Times New Roman Regular" w:hAnsi="Times New Roman Regular" w:eastAsia="Gungsuh" w:cs="Times New Roman Regular"/>
          <w:b w:val="0"/>
          <w:bCs w:val="0"/>
          <w:rtl w:val="0"/>
        </w:rPr>
      </w:pPr>
      <w:r>
        <w:rPr>
          <w:rFonts w:hint="default" w:ascii="Times New Roman Regular" w:hAnsi="Times New Roman Regular" w:eastAsia="Gungsuh" w:cs="Times New Roman Regular"/>
          <w:b w:val="0"/>
          <w:bCs w:val="0"/>
          <w:rtl w:val="0"/>
        </w:rPr>
        <w:t>[4] RAJPUT A R, LI Q, AHVANOOEY M T, et al. EACMS: Emergency access control management system for personal health record based on blockchain[J]. IEEE Access, 2019, 7: 84304-84317.</w:t>
      </w:r>
    </w:p>
    <w:p w14:paraId="40CCCF39">
      <w:pPr>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left"/>
        <w:rPr>
          <w:rFonts w:hint="default" w:ascii="Times New Roman Regular" w:hAnsi="Times New Roman Regular" w:eastAsia="Gungsuh" w:cs="Times New Roman Regular"/>
          <w:b w:val="0"/>
          <w:bCs w:val="0"/>
          <w:rtl w:val="0"/>
        </w:rPr>
      </w:pPr>
      <w:r>
        <w:rPr>
          <w:rFonts w:hint="default" w:ascii="Times New Roman Regular" w:hAnsi="Times New Roman Regular" w:eastAsia="Gungsuh" w:cs="Times New Roman Regular"/>
          <w:b w:val="0"/>
          <w:bCs w:val="0"/>
          <w:rtl w:val="0"/>
        </w:rPr>
        <w:t>DOI: https://doi.org/10.1109/ACCESS.2019.2917976</w:t>
      </w:r>
    </w:p>
    <w:p w14:paraId="55C0CFB7">
      <w:pPr>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left"/>
        <w:rPr>
          <w:rFonts w:hint="default" w:ascii="Times New Roman Regular" w:hAnsi="Times New Roman Regular" w:eastAsia="Gungsuh" w:cs="Times New Roman Regular"/>
          <w:b w:val="0"/>
          <w:bCs w:val="0"/>
          <w:rtl w:val="0"/>
        </w:rPr>
      </w:pPr>
      <w:r>
        <w:rPr>
          <w:rFonts w:hint="default" w:ascii="Times New Roman Regular" w:hAnsi="Times New Roman Regular" w:eastAsia="Gungsuh" w:cs="Times New Roman Regular"/>
          <w:b w:val="0"/>
          <w:bCs w:val="0"/>
          <w:rtl w:val="0"/>
        </w:rPr>
        <w:t>[5] ZHANG Y, KASAHARA S, SHEN Y, et al. Smart contract-based access control for the internet of things[J]. IEEE Internet of Things Journal, 2019, 6(2): 1594-1605.</w:t>
      </w:r>
    </w:p>
    <w:p w14:paraId="5F19F2D4">
      <w:pPr>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left"/>
        <w:rPr>
          <w:rFonts w:hint="default" w:ascii="Times New Roman Regular" w:hAnsi="Times New Roman Regular" w:eastAsia="Gungsuh" w:cs="Times New Roman Regular"/>
          <w:b w:val="0"/>
          <w:bCs w:val="0"/>
          <w:rtl w:val="0"/>
        </w:rPr>
      </w:pPr>
      <w:r>
        <w:rPr>
          <w:rFonts w:hint="default" w:ascii="Times New Roman Regular" w:hAnsi="Times New Roman Regular" w:eastAsia="Gungsuh" w:cs="Times New Roman Regular"/>
          <w:b w:val="0"/>
          <w:bCs w:val="0"/>
          <w:rtl w:val="0"/>
        </w:rPr>
        <w:t>DOI: https://doi.org/10.1109/JIOT.2018.2847705</w:t>
      </w:r>
    </w:p>
    <w:p w14:paraId="216D6749">
      <w:pPr>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left"/>
        <w:rPr>
          <w:rFonts w:hint="default" w:ascii="Times New Roman Regular" w:hAnsi="Times New Roman Regular" w:eastAsia="Gungsuh" w:cs="Times New Roman Regular"/>
          <w:b w:val="0"/>
          <w:bCs w:val="0"/>
          <w:rtl w:val="0"/>
        </w:rPr>
      </w:pPr>
      <w:r>
        <w:rPr>
          <w:rFonts w:hint="default" w:ascii="Times New Roman Regular" w:hAnsi="Times New Roman Regular" w:eastAsia="Gungsuh" w:cs="Times New Roman Regular"/>
          <w:b w:val="0"/>
          <w:bCs w:val="0"/>
          <w:rtl w:val="0"/>
        </w:rPr>
        <w:t>[6] WANG S, ZHANG D, ZHAO Y. Blockchain-based personal health records sharing scheme with data integrity verifiable[J]. IEEE Access, 2019, 7: 102887-102901.</w:t>
      </w:r>
    </w:p>
    <w:p w14:paraId="70EF08CD">
      <w:pPr>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left"/>
        <w:rPr>
          <w:rFonts w:hint="default" w:ascii="Times New Roman Regular" w:hAnsi="Times New Roman Regular" w:eastAsia="Gungsuh" w:cs="Times New Roman Regular"/>
          <w:b w:val="0"/>
          <w:bCs w:val="0"/>
          <w:rtl w:val="0"/>
        </w:rPr>
      </w:pPr>
      <w:r>
        <w:rPr>
          <w:rFonts w:hint="default" w:ascii="Times New Roman Regular" w:hAnsi="Times New Roman Regular" w:eastAsia="Gungsuh" w:cs="Times New Roman Regular"/>
          <w:b w:val="0"/>
          <w:bCs w:val="0"/>
          <w:rtl w:val="0"/>
        </w:rPr>
        <w:t>DOI: https://doi.org/10.1109/ACCESS.2019.2891531</w:t>
      </w:r>
    </w:p>
    <w:p w14:paraId="422EB24D">
      <w:pPr>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left"/>
        <w:rPr>
          <w:rFonts w:hint="default" w:ascii="Times New Roman Regular" w:hAnsi="Times New Roman Regular" w:eastAsia="Gungsuh" w:cs="Times New Roman Regular"/>
          <w:b w:val="0"/>
          <w:bCs w:val="0"/>
          <w:rtl w:val="0"/>
        </w:rPr>
      </w:pPr>
      <w:r>
        <w:rPr>
          <w:rFonts w:hint="default" w:ascii="Times New Roman Regular" w:hAnsi="Times New Roman Regular" w:eastAsia="Gungsuh" w:cs="Times New Roman Regular"/>
          <w:b w:val="0"/>
          <w:bCs w:val="0"/>
          <w:rtl w:val="0"/>
        </w:rPr>
        <w:t>[7] XU X, WEBER I, STAPLES M. Architecture for Blockchain Applications[M]. Cham: Springer, 2019.</w:t>
      </w:r>
    </w:p>
    <w:p w14:paraId="60C25155">
      <w:pPr>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left"/>
        <w:rPr>
          <w:rFonts w:hint="default" w:ascii="Times New Roman Regular" w:hAnsi="Times New Roman Regular" w:eastAsia="Gungsuh" w:cs="Times New Roman Regular"/>
          <w:b w:val="0"/>
          <w:bCs w:val="0"/>
          <w:rtl w:val="0"/>
        </w:rPr>
      </w:pPr>
      <w:r>
        <w:rPr>
          <w:rFonts w:hint="default" w:ascii="Times New Roman Regular" w:hAnsi="Times New Roman Regular" w:eastAsia="Gungsuh" w:cs="Times New Roman Regular"/>
          <w:b w:val="0"/>
          <w:bCs w:val="0"/>
          <w:rtl w:val="0"/>
        </w:rPr>
        <w:t>DOI: https://doi.org/10.1007/978-3-030-03035-3</w:t>
      </w:r>
    </w:p>
    <w:p w14:paraId="26D0C150">
      <w:pPr>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left"/>
        <w:rPr>
          <w:rFonts w:hint="default" w:ascii="Times New Roman Regular" w:hAnsi="Times New Roman Regular" w:eastAsia="Gungsuh" w:cs="Times New Roman Regular"/>
          <w:b w:val="0"/>
          <w:bCs w:val="0"/>
          <w:rtl w:val="0"/>
        </w:rPr>
      </w:pPr>
      <w:r>
        <w:rPr>
          <w:rFonts w:hint="default" w:ascii="Times New Roman Regular" w:hAnsi="Times New Roman Regular" w:eastAsia="Gungsuh" w:cs="Times New Roman Regular"/>
          <w:b w:val="0"/>
          <w:bCs w:val="0"/>
          <w:rtl w:val="0"/>
        </w:rPr>
        <w:t>[8] MANDEL J C, KREDIER H D, MANDL K D, et al. SMART on FHIR: a standards-based, interoperable apps platform for electronic health records[J]. Journal of the American Medical Informatics Association, 2016, 23(5): 899-908.</w:t>
      </w:r>
    </w:p>
    <w:p w14:paraId="1E3AAFB9">
      <w:pPr>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left"/>
        <w:rPr>
          <w:rFonts w:hint="default" w:ascii="Times New Roman Regular" w:hAnsi="Times New Roman Regular" w:eastAsia="Gungsuh" w:cs="Times New Roman Regular"/>
          <w:b w:val="0"/>
          <w:bCs w:val="0"/>
          <w:rtl w:val="0"/>
        </w:rPr>
      </w:pPr>
      <w:r>
        <w:rPr>
          <w:rFonts w:hint="default" w:ascii="Times New Roman Regular" w:hAnsi="Times New Roman Regular" w:eastAsia="Gungsuh" w:cs="Times New Roman Regular"/>
          <w:b w:val="0"/>
          <w:bCs w:val="0"/>
          <w:rtl w:val="0"/>
        </w:rPr>
        <w:t>DOI: https://doi.org/10.1093/jamia/ocv189</w:t>
      </w:r>
    </w:p>
    <w:p w14:paraId="531C119D">
      <w:pPr>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left"/>
        <w:rPr>
          <w:rFonts w:hint="default" w:ascii="Times New Roman Regular" w:hAnsi="Times New Roman Regular" w:eastAsia="Gungsuh" w:cs="Times New Roman Regular"/>
          <w:b w:val="0"/>
          <w:bCs w:val="0"/>
          <w:rtl w:val="0"/>
        </w:rPr>
      </w:pPr>
      <w:r>
        <w:rPr>
          <w:rFonts w:hint="default" w:ascii="Times New Roman Regular" w:hAnsi="Times New Roman Regular" w:eastAsia="Gungsuh" w:cs="Times New Roman Regular"/>
          <w:b w:val="0"/>
          <w:bCs w:val="0"/>
          <w:rtl w:val="0"/>
        </w:rPr>
        <w:t>[9] ZHANG A, LIN X. Towards Secure and Privacy-Preserving Data Sharing in e-Health Systems via Consortium Blockchain[J]. IEEE Internet of Things Journal, 2018, 5(6): 4407-4422.</w:t>
      </w:r>
    </w:p>
    <w:p w14:paraId="27B94A6D">
      <w:pPr>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left"/>
        <w:rPr>
          <w:rFonts w:hint="default" w:ascii="Times New Roman Regular" w:hAnsi="Times New Roman Regular" w:eastAsia="Gungsuh" w:cs="Times New Roman Regular"/>
          <w:b w:val="0"/>
          <w:bCs w:val="0"/>
          <w:rtl w:val="0"/>
        </w:rPr>
      </w:pPr>
      <w:r>
        <w:rPr>
          <w:rFonts w:hint="default" w:ascii="Times New Roman Regular" w:hAnsi="Times New Roman Regular" w:eastAsia="Gungsuh" w:cs="Times New Roman Regular"/>
          <w:b w:val="0"/>
          <w:bCs w:val="0"/>
          <w:rtl w:val="0"/>
        </w:rPr>
        <w:t>DOI: https://doi.org/10.1109/JIOT.2018.2868224</w:t>
      </w:r>
    </w:p>
    <w:p w14:paraId="5F10237B">
      <w:pPr>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left"/>
        <w:rPr>
          <w:rFonts w:hint="default" w:ascii="Times New Roman Regular" w:hAnsi="Times New Roman Regular" w:eastAsia="Gungsuh" w:cs="Times New Roman Regular"/>
          <w:b w:val="0"/>
          <w:bCs w:val="0"/>
          <w:rtl w:val="0"/>
        </w:rPr>
      </w:pPr>
      <w:r>
        <w:rPr>
          <w:rFonts w:hint="default" w:ascii="Times New Roman Regular" w:hAnsi="Times New Roman Regular" w:eastAsia="Gungsuh" w:cs="Times New Roman Regular"/>
          <w:b w:val="0"/>
          <w:bCs w:val="0"/>
          <w:rtl w:val="0"/>
        </w:rPr>
        <w:t>[10] AZARIA A, EKBLAW A, VIEIRA T, et al. Medrec: Using blockchain for medical data access and permission management[C]//2016 2nd International Conference on Open and Big Data (OBD). IEEE, 2016: 25-30.</w:t>
      </w:r>
    </w:p>
    <w:p w14:paraId="0CCB042F">
      <w:pPr>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left"/>
        <w:rPr>
          <w:rFonts w:hint="default" w:ascii="Times New Roman Regular" w:hAnsi="Times New Roman Regular" w:eastAsia="Gungsuh" w:cs="Times New Roman Regular"/>
          <w:b w:val="0"/>
          <w:bCs w:val="0"/>
          <w:rtl w:val="0"/>
        </w:rPr>
      </w:pPr>
      <w:r>
        <w:rPr>
          <w:rFonts w:hint="default" w:ascii="Times New Roman Regular" w:hAnsi="Times New Roman Regular" w:eastAsia="Gungsuh" w:cs="Times New Roman Regular"/>
          <w:b w:val="0"/>
          <w:bCs w:val="0"/>
          <w:rtl w:val="0"/>
        </w:rPr>
        <w:t>DOI: https://doi.org/10.1109/OBD.2016.11</w:t>
      </w:r>
    </w:p>
    <w:p w14:paraId="6B4E2A54">
      <w:pPr>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left"/>
        <w:rPr>
          <w:rFonts w:hint="default" w:ascii="Times New Roman Regular" w:hAnsi="Times New Roman Regular" w:eastAsia="Gungsuh" w:cs="Times New Roman Regular"/>
          <w:b w:val="0"/>
          <w:bCs w:val="0"/>
          <w:rtl w:val="0"/>
        </w:rPr>
      </w:pPr>
      <w:r>
        <w:rPr>
          <w:rFonts w:hint="default" w:ascii="Times New Roman Regular" w:hAnsi="Times New Roman Regular" w:eastAsia="Gungsuh" w:cs="Times New Roman Regular"/>
          <w:b w:val="0"/>
          <w:bCs w:val="0"/>
          <w:rtl w:val="0"/>
        </w:rPr>
        <w:t>[11] RAJPUT A R, LI Q, AHMED M U, et al. EACMS: Emergent Access Control Management System for Electronic Health Record Using Blockchain and IPFS[J]. IEEE Access, 2021, 9: 147545-147558.</w:t>
      </w:r>
    </w:p>
    <w:p w14:paraId="367DB55C">
      <w:pPr>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left"/>
        <w:rPr>
          <w:rFonts w:hint="default" w:ascii="Times New Roman Regular" w:hAnsi="Times New Roman Regular" w:eastAsia="Gungsuh" w:cs="Times New Roman Regular"/>
          <w:b w:val="0"/>
          <w:bCs w:val="0"/>
          <w:rtl w:val="0"/>
        </w:rPr>
      </w:pPr>
      <w:r>
        <w:rPr>
          <w:rFonts w:hint="default" w:ascii="Times New Roman Regular" w:hAnsi="Times New Roman Regular" w:eastAsia="Gungsuh" w:cs="Times New Roman Regular"/>
          <w:b w:val="0"/>
          <w:bCs w:val="0"/>
          <w:rtl w:val="0"/>
        </w:rPr>
        <w:t>DOI: https://doi.org/10.1109/ACCESS.2021.3123512</w:t>
      </w:r>
    </w:p>
    <w:p w14:paraId="7DBA84D7">
      <w:pPr>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left"/>
        <w:rPr>
          <w:rFonts w:hint="default" w:ascii="Times New Roman Regular" w:hAnsi="Times New Roman Regular" w:eastAsia="Gungsuh" w:cs="Times New Roman Regular"/>
          <w:b w:val="0"/>
          <w:bCs w:val="0"/>
          <w:rtl w:val="0"/>
        </w:rPr>
      </w:pPr>
      <w:r>
        <w:rPr>
          <w:rFonts w:hint="default" w:ascii="Times New Roman Regular" w:hAnsi="Times New Roman Regular" w:eastAsia="Gungsuh" w:cs="Times New Roman Regular"/>
          <w:b w:val="0"/>
          <w:bCs w:val="0"/>
          <w:rtl w:val="0"/>
        </w:rPr>
        <w:t>[12] TANWAR S, PAREKH K, EVANS R. Blockchain-Based Electronic Healthcare Record System for Healthcare 4.0 Applications[J]. Journal of Information Security and Applications, 2020, 50: 102407.</w:t>
      </w:r>
    </w:p>
    <w:p w14:paraId="07C356E8">
      <w:pPr>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left"/>
        <w:rPr>
          <w:rFonts w:hint="default" w:ascii="Times New Roman Regular" w:hAnsi="Times New Roman Regular" w:eastAsia="Gungsuh" w:cs="Times New Roman Regular"/>
          <w:b w:val="0"/>
          <w:bCs w:val="0"/>
          <w:rtl w:val="0"/>
        </w:rPr>
      </w:pPr>
      <w:r>
        <w:rPr>
          <w:rFonts w:hint="default" w:ascii="Times New Roman Regular" w:hAnsi="Times New Roman Regular" w:eastAsia="Gungsuh" w:cs="Times New Roman Regular"/>
          <w:b w:val="0"/>
          <w:bCs w:val="0"/>
          <w:rtl w:val="0"/>
        </w:rPr>
        <w:t>DOI: https://doi.org/10.1016/j.jisa.2019.102407</w:t>
      </w:r>
    </w:p>
    <w:p w14:paraId="266F22E8">
      <w:pPr>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left"/>
        <w:rPr>
          <w:rFonts w:hint="default" w:ascii="Times New Roman Regular" w:hAnsi="Times New Roman Regular" w:eastAsia="Gungsuh" w:cs="Times New Roman Regular"/>
          <w:b w:val="0"/>
          <w:bCs w:val="0"/>
          <w:rtl w:val="0"/>
        </w:rPr>
      </w:pPr>
      <w:r>
        <w:rPr>
          <w:rFonts w:hint="default" w:ascii="Times New Roman Regular" w:hAnsi="Times New Roman Regular" w:eastAsia="Gungsuh" w:cs="Times New Roman Regular"/>
          <w:b w:val="0"/>
          <w:bCs w:val="0"/>
          <w:rtl w:val="0"/>
        </w:rPr>
        <w:t>[13] NGUYEN D C, PATHIRANA P N, DING M, et al. Blockchain for secure ehrs sharing of mobile cloud based e-health systems[J]. IEEE Access, 2019, 7: 66792-66806.</w:t>
      </w:r>
    </w:p>
    <w:p w14:paraId="352A9EB6">
      <w:pPr>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left"/>
        <w:rPr>
          <w:rFonts w:hint="default" w:ascii="Times New Roman Regular" w:hAnsi="Times New Roman Regular" w:eastAsia="Gungsuh" w:cs="Times New Roman Regular"/>
          <w:b w:val="0"/>
          <w:bCs w:val="0"/>
          <w:rtl w:val="0"/>
        </w:rPr>
      </w:pPr>
      <w:r>
        <w:rPr>
          <w:rFonts w:hint="default" w:ascii="Times New Roman Regular" w:hAnsi="Times New Roman Regular" w:eastAsia="Gungsuh" w:cs="Times New Roman Regular"/>
          <w:b w:val="0"/>
          <w:bCs w:val="0"/>
          <w:rtl w:val="0"/>
        </w:rPr>
        <w:t>DOI: https://doi.org/10.1109/ACCESS.2019.2897555</w:t>
      </w:r>
    </w:p>
    <w:p w14:paraId="60B5E1E4">
      <w:pPr>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left"/>
        <w:rPr>
          <w:rFonts w:hint="default" w:ascii="Times New Roman Regular" w:hAnsi="Times New Roman Regular" w:eastAsia="Gungsuh" w:cs="Times New Roman Regular"/>
          <w:b w:val="0"/>
          <w:bCs w:val="0"/>
          <w:rtl w:val="0"/>
        </w:rPr>
      </w:pPr>
      <w:r>
        <w:rPr>
          <w:rFonts w:hint="default" w:ascii="Times New Roman Regular" w:hAnsi="Times New Roman Regular" w:eastAsia="Gungsuh" w:cs="Times New Roman Regular"/>
          <w:b w:val="0"/>
          <w:bCs w:val="0"/>
          <w:rtl w:val="0"/>
        </w:rPr>
        <w:t>[14] BENET J. IPFS - Content Addressed, Versioned, P2P File System[R]. arXiv preprint arXiv:1407.3561, 2014.</w:t>
      </w:r>
    </w:p>
    <w:p w14:paraId="68A9E36E">
      <w:pPr>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left"/>
        <w:rPr>
          <w:rFonts w:hint="default" w:ascii="Times New Roman Regular" w:hAnsi="Times New Roman Regular" w:eastAsia="Gungsuh" w:cs="Times New Roman Regular"/>
          <w:b w:val="0"/>
          <w:bCs w:val="0"/>
          <w:rtl w:val="0"/>
        </w:rPr>
      </w:pPr>
      <w:r>
        <w:rPr>
          <w:rFonts w:hint="default" w:ascii="Times New Roman Regular" w:hAnsi="Times New Roman Regular" w:eastAsia="Gungsuh" w:cs="Times New Roman Regular"/>
          <w:b w:val="0"/>
          <w:bCs w:val="0"/>
          <w:rtl w:val="0"/>
        </w:rPr>
        <w:t>DOI: https://doi.org/10.48550/arXiv.1407.3561</w:t>
      </w:r>
    </w:p>
    <w:p w14:paraId="210FF30E">
      <w:pPr>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left"/>
        <w:rPr>
          <w:rFonts w:hint="default" w:ascii="Times New Roman Regular" w:hAnsi="Times New Roman Regular" w:eastAsia="Gungsuh" w:cs="Times New Roman Regular"/>
          <w:b w:val="0"/>
          <w:bCs w:val="0"/>
          <w:rtl w:val="0"/>
        </w:rPr>
      </w:pPr>
      <w:r>
        <w:rPr>
          <w:rFonts w:hint="default" w:ascii="Times New Roman Regular" w:hAnsi="Times New Roman Regular" w:eastAsia="Gungsuh" w:cs="Times New Roman Regular"/>
          <w:b w:val="0"/>
          <w:bCs w:val="0"/>
          <w:rtl w:val="0"/>
        </w:rPr>
        <w:t>[15] ISMAIL L, MATERWALA H. Blockchain Paradigm for Healthcare: Performance Evaluation[J]. Symmetry, 2020, 12(8): 1203.</w:t>
      </w:r>
    </w:p>
    <w:p w14:paraId="3CA8BBD8">
      <w:pPr>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left"/>
        <w:rPr>
          <w:rFonts w:hint="default" w:ascii="Times New Roman Regular" w:hAnsi="Times New Roman Regular" w:eastAsia="Gungsuh" w:cs="Times New Roman Regular"/>
          <w:b w:val="0"/>
          <w:bCs w:val="0"/>
          <w:rtl w:val="0"/>
        </w:rPr>
      </w:pPr>
      <w:r>
        <w:rPr>
          <w:rFonts w:hint="default" w:ascii="Times New Roman Regular" w:hAnsi="Times New Roman Regular" w:eastAsia="Gungsuh" w:cs="Times New Roman Regular"/>
          <w:b w:val="0"/>
          <w:bCs w:val="0"/>
          <w:rtl w:val="0"/>
        </w:rPr>
        <w:t>DOI: https://doi.org/10.3390/sym12081203</w:t>
      </w:r>
    </w:p>
    <w:p w14:paraId="707222F4">
      <w:pPr>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left"/>
        <w:rPr>
          <w:rFonts w:hint="default" w:ascii="Times New Roman Regular" w:hAnsi="Times New Roman Regular" w:eastAsia="Gungsuh" w:cs="Times New Roman Regular"/>
          <w:b w:val="0"/>
          <w:bCs w:val="0"/>
          <w:rtl w:val="0"/>
        </w:rPr>
      </w:pPr>
      <w:r>
        <w:rPr>
          <w:rFonts w:hint="default" w:ascii="Times New Roman Regular" w:hAnsi="Times New Roman Regular" w:eastAsia="Gungsuh" w:cs="Times New Roman Regular"/>
          <w:b w:val="0"/>
          <w:bCs w:val="0"/>
          <w:rtl w:val="0"/>
        </w:rPr>
        <w:t>[16] ANDROULAKI E, BARGHRATHI A, BIANCO V, et al. Hyperledger Fabric: A Distributed Operating System for Permissioned Blockchains[C]//Proceedings of the Thirteenth EuroSys Conference. 2018: 1-15.</w:t>
      </w:r>
    </w:p>
    <w:p w14:paraId="2937423A">
      <w:pPr>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left"/>
        <w:rPr>
          <w:rFonts w:hint="default" w:ascii="Times New Roman Regular" w:hAnsi="Times New Roman Regular" w:eastAsia="Gungsuh" w:cs="Times New Roman Regular"/>
          <w:b w:val="0"/>
          <w:bCs w:val="0"/>
          <w:rtl w:val="0"/>
        </w:rPr>
      </w:pPr>
      <w:r>
        <w:rPr>
          <w:rFonts w:hint="default" w:ascii="Times New Roman Regular" w:hAnsi="Times New Roman Regular" w:eastAsia="Gungsuh" w:cs="Times New Roman Regular"/>
          <w:b w:val="0"/>
          <w:bCs w:val="0"/>
          <w:rtl w:val="0"/>
        </w:rPr>
        <w:t>DOI: https://doi.org/10.1145/3190508.3190538</w:t>
      </w:r>
    </w:p>
    <w:p w14:paraId="5AF11AE8">
      <w:pPr>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left"/>
        <w:rPr>
          <w:rFonts w:hint="default" w:ascii="Times New Roman Regular" w:hAnsi="Times New Roman Regular" w:eastAsia="Gungsuh" w:cs="Times New Roman Regular"/>
          <w:b w:val="0"/>
          <w:bCs w:val="0"/>
          <w:rtl w:val="0"/>
        </w:rPr>
      </w:pPr>
      <w:r>
        <w:rPr>
          <w:rFonts w:hint="default" w:ascii="Times New Roman Regular" w:hAnsi="Times New Roman Regular" w:eastAsia="Gungsuh" w:cs="Times New Roman Regular"/>
          <w:b w:val="0"/>
          <w:bCs w:val="0"/>
          <w:rtl w:val="0"/>
        </w:rPr>
        <w:t>[17] CASTRO M, LISKOV B. Practical Byzantine Fault Tolerance[C]//Proceedings of the Third Symposium on Operating Systems Design and Implementation (OSDI). 1999: 173-182.</w:t>
      </w:r>
    </w:p>
    <w:p w14:paraId="68B88924">
      <w:pPr>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left"/>
        <w:rPr>
          <w:rFonts w:hint="default" w:ascii="Times New Roman Regular" w:hAnsi="Times New Roman Regular" w:eastAsia="Gungsuh" w:cs="Times New Roman Regular"/>
          <w:b w:val="0"/>
          <w:bCs w:val="0"/>
          <w:rtl w:val="0"/>
        </w:rPr>
      </w:pPr>
      <w:r>
        <w:rPr>
          <w:rFonts w:hint="default" w:ascii="Times New Roman Regular" w:hAnsi="Times New Roman Regular" w:eastAsia="Gungsuh" w:cs="Times New Roman Regular"/>
          <w:b w:val="0"/>
          <w:bCs w:val="0"/>
          <w:rtl w:val="0"/>
        </w:rPr>
        <w:t xml:space="preserve">DOI: </w:t>
      </w:r>
      <w:r>
        <w:rPr>
          <w:rFonts w:hint="default" w:ascii="Times New Roman Regular" w:hAnsi="Times New Roman Regular" w:eastAsia="Gungsuh" w:cs="Times New Roman Regular"/>
          <w:b w:val="0"/>
          <w:bCs w:val="0"/>
        </w:rPr>
        <w:fldChar w:fldCharType="begin"/>
      </w:r>
      <w:r>
        <w:rPr>
          <w:rFonts w:hint="default" w:ascii="Times New Roman Regular" w:hAnsi="Times New Roman Regular" w:eastAsia="Gungsuh" w:cs="Times New Roman Regular"/>
          <w:b w:val="0"/>
          <w:bCs w:val="0"/>
        </w:rPr>
        <w:instrText xml:space="preserve"> HYPERLINK "https://doi.org/10.1145/296806.296824" </w:instrText>
      </w:r>
      <w:r>
        <w:rPr>
          <w:rFonts w:hint="default" w:ascii="Times New Roman Regular" w:hAnsi="Times New Roman Regular" w:eastAsia="Gungsuh" w:cs="Times New Roman Regular"/>
          <w:b w:val="0"/>
          <w:bCs w:val="0"/>
        </w:rPr>
        <w:fldChar w:fldCharType="separate"/>
      </w:r>
      <w:r>
        <w:rPr>
          <w:rStyle w:val="138"/>
          <w:rFonts w:hint="default" w:ascii="Times New Roman Regular" w:hAnsi="Times New Roman Regular" w:eastAsia="Gungsuh" w:cs="Times New Roman Regular"/>
          <w:b w:val="0"/>
          <w:bCs w:val="0"/>
          <w:rtl w:val="0"/>
        </w:rPr>
        <w:t>https://doi.org/10.1145/296806.296824</w:t>
      </w:r>
      <w:r>
        <w:rPr>
          <w:rFonts w:hint="default" w:ascii="Times New Roman Regular" w:hAnsi="Times New Roman Regular" w:eastAsia="Gungsuh" w:cs="Times New Roman Regular"/>
          <w:b w:val="0"/>
          <w:bCs w:val="0"/>
        </w:rPr>
        <w:fldChar w:fldCharType="end"/>
      </w:r>
    </w:p>
    <w:p w14:paraId="62A2FCB5">
      <w:pPr>
        <w:jc w:val="left"/>
        <w:rPr>
          <w:color w:val="auto"/>
          <w:sz w:val="22"/>
          <w:szCs w:val="22"/>
        </w:rPr>
      </w:pPr>
      <w:r>
        <w:rPr>
          <w:color w:val="auto"/>
          <w:sz w:val="22"/>
          <w:szCs w:val="22"/>
        </w:rPr>
        <w:br w:type="page"/>
      </w:r>
    </w:p>
    <w:p w14:paraId="1ABAB576">
      <w:pPr>
        <w:adjustRightInd w:val="0"/>
        <w:snapToGrid w:val="0"/>
        <w:spacing w:after="312" w:afterLines="100" w:line="480" w:lineRule="auto"/>
        <w:jc w:val="center"/>
        <w:outlineLvl w:val="0"/>
        <w:rPr>
          <w:rFonts w:ascii="Times New Roman" w:hAnsi="Times New Roman" w:cs="Times New Roman"/>
          <w:b/>
          <w:bCs/>
          <w:sz w:val="28"/>
          <w:szCs w:val="28"/>
        </w:rPr>
      </w:pPr>
      <w:bookmarkStart w:id="23" w:name="_Toc228897864"/>
      <w:r>
        <w:rPr>
          <w:rFonts w:ascii="Times New Roman" w:hAnsi="Times New Roman" w:cs="Times New Roman"/>
          <w:b/>
          <w:bCs/>
          <w:sz w:val="28"/>
          <w:szCs w:val="28"/>
        </w:rPr>
        <w:t>APPENDIX</w:t>
      </w:r>
      <w:bookmarkEnd w:id="23"/>
    </w:p>
    <w:p w14:paraId="101F57A4">
      <w:pPr>
        <w:keepNext/>
        <w:spacing w:before="280" w:after="120" w:line="360" w:lineRule="auto"/>
        <w:rPr>
          <w:color w:val="auto"/>
        </w:rPr>
      </w:pPr>
      <w:r>
        <w:rPr>
          <w:rFonts w:ascii="Times New Roman" w:hAnsi="Times New Roman" w:eastAsia="Times New Roman"/>
          <w:b/>
          <w:i w:val="0"/>
          <w:color w:val="auto"/>
          <w:sz w:val="28"/>
        </w:rPr>
        <w:t>I. Medical Data Secure Management and Sharing System Based on Blockchain and ABAC</w:t>
      </w:r>
    </w:p>
    <w:p w14:paraId="1330A30C">
      <w:pPr>
        <w:keepNext/>
        <w:spacing w:before="200" w:after="80" w:line="360" w:lineRule="auto"/>
        <w:rPr>
          <w:color w:val="auto"/>
        </w:rPr>
      </w:pPr>
      <w:r>
        <w:rPr>
          <w:rFonts w:ascii="Times New Roman" w:hAnsi="Times New Roman" w:eastAsia="Times New Roman"/>
          <w:b/>
          <w:i/>
          <w:color w:val="auto"/>
          <w:sz w:val="24"/>
        </w:rPr>
        <w:t>1. Operating Environment</w:t>
      </w:r>
    </w:p>
    <w:p w14:paraId="3F3D48C2">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python==3.7.7</w:t>
      </w:r>
      <w:r>
        <w:rPr>
          <w:rFonts w:ascii="Courier New" w:hAnsi="Courier New" w:eastAsia="Courier New"/>
          <w:b w:val="0"/>
          <w:i w:val="0"/>
          <w:color w:val="auto"/>
          <w:sz w:val="19"/>
        </w:rPr>
        <w:br w:type="textWrapping"/>
      </w:r>
      <w:r>
        <w:rPr>
          <w:rFonts w:ascii="Courier New" w:hAnsi="Courier New" w:eastAsia="Courier New"/>
          <w:b w:val="0"/>
          <w:i w:val="0"/>
          <w:color w:val="auto"/>
          <w:sz w:val="19"/>
        </w:rPr>
        <w:t>pyca/cryptography==47.0.0</w:t>
      </w:r>
    </w:p>
    <w:p w14:paraId="3BD1266F">
      <w:pPr>
        <w:keepNext/>
        <w:spacing w:before="200" w:after="80" w:line="360" w:lineRule="auto"/>
        <w:rPr>
          <w:color w:val="auto"/>
        </w:rPr>
      </w:pPr>
      <w:r>
        <w:rPr>
          <w:rFonts w:ascii="Times New Roman" w:hAnsi="Times New Roman" w:eastAsia="Times New Roman"/>
          <w:b/>
          <w:i/>
          <w:color w:val="auto"/>
          <w:sz w:val="24"/>
        </w:rPr>
        <w:t>2. Library Import &amp; Installation</w:t>
      </w:r>
    </w:p>
    <w:p w14:paraId="0A792D7F">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pip install pycryptodome</w:t>
      </w:r>
    </w:p>
    <w:p w14:paraId="5560CAA3">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import time</w:t>
      </w:r>
    </w:p>
    <w:p w14:paraId="63FF409C">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import hashlib</w:t>
      </w:r>
    </w:p>
    <w:p w14:paraId="1BA34198">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import json</w:t>
      </w:r>
    </w:p>
    <w:p w14:paraId="3322ED0C">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from Crypto.Cipher import AES</w:t>
      </w:r>
    </w:p>
    <w:p w14:paraId="6F8EBA70">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from Crypto.Random import get_random_bytes</w:t>
      </w:r>
    </w:p>
    <w:p w14:paraId="276D6CDA">
      <w:pPr>
        <w:pBdr>
          <w:left w:val="single" w:color="A6A6A6" w:sz="24" w:space="8"/>
        </w:pBdr>
        <w:shd w:val="clear" w:fill="F2F2F2"/>
        <w:spacing w:after="0" w:line="360" w:lineRule="auto"/>
        <w:ind w:left="576"/>
        <w:rPr>
          <w:color w:val="auto"/>
        </w:rPr>
      </w:pPr>
    </w:p>
    <w:p w14:paraId="7852B72B">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1. Foundational Cryptography &amp; Simulated IPFS Module</w:t>
      </w:r>
    </w:p>
    <w:p w14:paraId="44E80B12">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class MockIPFS:</w:t>
      </w:r>
    </w:p>
    <w:p w14:paraId="32C10BE7">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"""Simulates an IPFS distributed storage cluster"""</w:t>
      </w:r>
    </w:p>
    <w:p w14:paraId="1EC9B990">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def __init__(self):</w:t>
      </w:r>
    </w:p>
    <w:p w14:paraId="62B8C7A3">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self.storage = {}</w:t>
      </w:r>
    </w:p>
    <w:p w14:paraId="73DB0F9C">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w:t>
      </w:r>
    </w:p>
    <w:p w14:paraId="2E973FEC">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def upload(self, encrypted_data):</w:t>
      </w:r>
    </w:p>
    <w:p w14:paraId="4971FA2C">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w:t>
      </w:r>
    </w:p>
    <w:p w14:paraId="1CCCC613">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Content addressing mechanism: Performs hash calculation on ciphertext </w:t>
      </w:r>
    </w:p>
    <w:p w14:paraId="2196F905">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to generate a globally unique CID (SHA-256).</w:t>
      </w:r>
    </w:p>
    <w:p w14:paraId="6F3939A8">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Corresponds to Section 3.2.1 formula: CID = IPFS_Cryptographic_Hash(Mcipher)</w:t>
      </w:r>
    </w:p>
    <w:p w14:paraId="39B9E437">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w:t>
      </w:r>
    </w:p>
    <w:p w14:paraId="6D8A9972">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cid = hashlib.sha256(encrypted_data).hexdigest()</w:t>
      </w:r>
    </w:p>
    <w:p w14:paraId="066FF543">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self.storage[cid] = encrypted_data</w:t>
      </w:r>
    </w:p>
    <w:p w14:paraId="0405F868">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return cid</w:t>
      </w:r>
    </w:p>
    <w:p w14:paraId="1D0B3D4A">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w:t>
      </w:r>
    </w:p>
    <w:p w14:paraId="604CCD77">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def download(self, cid):</w:t>
      </w:r>
    </w:p>
    <w:p w14:paraId="09E6FBF1">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return self.storage.get(cid, None)</w:t>
      </w:r>
    </w:p>
    <w:p w14:paraId="51C7285D">
      <w:pPr>
        <w:pBdr>
          <w:left w:val="single" w:color="A6A6A6" w:sz="24" w:space="8"/>
        </w:pBdr>
        <w:shd w:val="clear" w:fill="F2F2F2"/>
        <w:spacing w:after="0" w:line="360" w:lineRule="auto"/>
        <w:ind w:left="576"/>
        <w:rPr>
          <w:color w:val="auto"/>
        </w:rPr>
      </w:pPr>
    </w:p>
    <w:p w14:paraId="76C73E41">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class CryptoEngine:</w:t>
      </w:r>
    </w:p>
    <w:p w14:paraId="4884C506">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"""Local High-Strength Hardening Module (AES-GCM-256)"""</w:t>
      </w:r>
    </w:p>
    <w:p w14:paraId="1C3D051B">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@staticmethod</w:t>
      </w:r>
    </w:p>
    <w:p w14:paraId="719E68C8">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def encrypt_data(data_str, key):</w:t>
      </w:r>
    </w:p>
    <w:p w14:paraId="3BDF07C3">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cipher = AES.new(key, AES.MODE_GCM)</w:t>
      </w:r>
    </w:p>
    <w:p w14:paraId="471B1B45">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ciphertext, tag = cipher.encrypt_and_digest(data_str.encode('utf-8'))</w:t>
      </w:r>
    </w:p>
    <w:p w14:paraId="6BA73253">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 Concatenate nonce, tag, and ciphertext to construct the final Mcipher</w:t>
      </w:r>
    </w:p>
    <w:p w14:paraId="489A5080">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return cipher.nonce + tag + ciphertext</w:t>
      </w:r>
    </w:p>
    <w:p w14:paraId="5C4BB017">
      <w:pPr>
        <w:pBdr>
          <w:left w:val="single" w:color="A6A6A6" w:sz="24" w:space="8"/>
        </w:pBdr>
        <w:shd w:val="clear" w:fill="F2F2F2"/>
        <w:spacing w:after="0" w:line="360" w:lineRule="auto"/>
        <w:ind w:left="576"/>
        <w:rPr>
          <w:color w:val="auto"/>
        </w:rPr>
      </w:pPr>
    </w:p>
    <w:p w14:paraId="396E4018">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2. Blockchain Layer &amp; Smart Contract Layer (ABAC Engine)</w:t>
      </w:r>
    </w:p>
    <w:p w14:paraId="06AC1FB2">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class MockBlockchain:</w:t>
      </w:r>
    </w:p>
    <w:p w14:paraId="7D29F43A">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"""Simulates Hyperledger Fabric consortium blockchain ledger and smart contracts"""</w:t>
      </w:r>
    </w:p>
    <w:p w14:paraId="7E9BDF34">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def __init__(self):</w:t>
      </w:r>
    </w:p>
    <w:p w14:paraId="0F6824B4">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self.ledger = {}      # On-chain world state database</w:t>
      </w:r>
    </w:p>
    <w:p w14:paraId="39E20343">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self.audit_logs = []  # Solidified ledger for log audit contract</w:t>
      </w:r>
    </w:p>
    <w:p w14:paraId="79D03EB9">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w:t>
      </w:r>
    </w:p>
    <w:p w14:paraId="7D3DA9DA">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def write_anchor(self, data_id, transaction_packet):</w:t>
      </w:r>
    </w:p>
    <w:p w14:paraId="590B3621">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"""Data Attestation Contract: Writes lightweight CID and metadata into ledger, O(1) space complexity"""</w:t>
      </w:r>
    </w:p>
    <w:p w14:paraId="284AE2EC">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self.ledger[data_id] = transaction_packet</w:t>
      </w:r>
    </w:p>
    <w:p w14:paraId="2755CBB1">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w:t>
      </w:r>
    </w:p>
    <w:p w14:paraId="1F9EF6C6">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def get_anchor(self, data_id):</w:t>
      </w:r>
    </w:p>
    <w:p w14:paraId="19443B96">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return self.ledger.get(data_id, None)</w:t>
      </w:r>
    </w:p>
    <w:p w14:paraId="1A41A46A">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w:t>
      </w:r>
    </w:p>
    <w:p w14:paraId="23DF57BF">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def write_audit_log(self, user_id, action, resource_id, result):</w:t>
      </w:r>
    </w:p>
    <w:p w14:paraId="6847A5A4">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"""Log Audit Contract: Unconditionally records full behavioral data on-chain for non-repudiation"""</w:t>
      </w:r>
    </w:p>
    <w:p w14:paraId="764A5612">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log_entry = {</w:t>
      </w:r>
    </w:p>
    <w:p w14:paraId="237D884D">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"timestamp": time.time(),</w:t>
      </w:r>
    </w:p>
    <w:p w14:paraId="3D1378B2">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"user": user_id,</w:t>
      </w:r>
    </w:p>
    <w:p w14:paraId="5F6A8129">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"action": action,</w:t>
      </w:r>
    </w:p>
    <w:p w14:paraId="28E2AC63">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"resource": resource_id,</w:t>
      </w:r>
    </w:p>
    <w:p w14:paraId="5240BB60">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"result": result</w:t>
      </w:r>
    </w:p>
    <w:p w14:paraId="5D78F106">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w:t>
      </w:r>
    </w:p>
    <w:p w14:paraId="09DBB478">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self.audit_logs.append(log_entry)</w:t>
      </w:r>
    </w:p>
    <w:p w14:paraId="1887DFAD">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w:t>
      </w:r>
    </w:p>
    <w:p w14:paraId="063E546D">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def validate_abac(self, user_attr, res_attr, env_attr, policy):</w:t>
      </w:r>
    </w:p>
    <w:p w14:paraId="29B5047C">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w:t>
      </w:r>
    </w:p>
    <w:p w14:paraId="1595D686">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Access Control Contract: Embedded ABAC decision parsing engine</w:t>
      </w:r>
    </w:p>
    <w:p w14:paraId="50443294">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Decision Formula: Access_Decision = f(UA, RA, EA, P)</w:t>
      </w:r>
    </w:p>
    <w:p w14:paraId="7A566A11">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w:t>
      </w:r>
    </w:p>
    <w:p w14:paraId="175294F7">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 Validate Subject Attributes (UA)</w:t>
      </w:r>
    </w:p>
    <w:p w14:paraId="74C2DEF3">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if user_attr.get("hospital") != policy.get("allow_hospital"):</w:t>
      </w:r>
    </w:p>
    <w:p w14:paraId="65584F68">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return False</w:t>
      </w:r>
    </w:p>
    <w:p w14:paraId="1F884390">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if user_attr.get("role") not in policy.get("allow_roles", []):</w:t>
      </w:r>
    </w:p>
    <w:p w14:paraId="5358A3DF">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return False</w:t>
      </w:r>
    </w:p>
    <w:p w14:paraId="1397B7C8">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w:t>
      </w:r>
    </w:p>
    <w:p w14:paraId="42FF0B78">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 Validate Environment Attributes (EA) - Simulates real-time time window check</w:t>
      </w:r>
    </w:p>
    <w:p w14:paraId="07F8DC10">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if env_attr.get("current_time") &gt; policy.get("expire_time"):</w:t>
      </w:r>
    </w:p>
    <w:p w14:paraId="266E46DF">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return False</w:t>
      </w:r>
    </w:p>
    <w:p w14:paraId="4692EE09">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w:t>
      </w:r>
    </w:p>
    <w:p w14:paraId="789794B7">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 Validate Object Attributes (RA)</w:t>
      </w:r>
    </w:p>
    <w:p w14:paraId="7066A680">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if res_attr.get("sensitivity") == "HIGH" and user_attr.get("title") != "Chief_Physician":</w:t>
      </w:r>
    </w:p>
    <w:p w14:paraId="5F5201B2">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 High-sensitivity data is strictly restricted to Chief Physicians</w:t>
      </w:r>
    </w:p>
    <w:p w14:paraId="327E4D6F">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return False</w:t>
      </w:r>
    </w:p>
    <w:p w14:paraId="7D6C3CB0">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return True</w:t>
      </w:r>
    </w:p>
    <w:p w14:paraId="5A397DFA">
      <w:pPr>
        <w:pBdr>
          <w:left w:val="single" w:color="A6A6A6" w:sz="24" w:space="8"/>
        </w:pBdr>
        <w:shd w:val="clear" w:fill="F2F2F2"/>
        <w:spacing w:after="0" w:line="360" w:lineRule="auto"/>
        <w:ind w:left="576"/>
        <w:rPr>
          <w:color w:val="auto"/>
        </w:rPr>
      </w:pPr>
    </w:p>
    <w:p w14:paraId="22A603AD">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3. Experimental Workflow &amp; Data Circulation Pipeline</w:t>
      </w:r>
    </w:p>
    <w:p w14:paraId="20874667">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def run_experiment_pipeline():</w:t>
      </w:r>
    </w:p>
    <w:p w14:paraId="57691699">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print("=== Starting Experimental Simulation of Blockchain and ABAC-Based Medical Data Secure Sharing ===\n")</w:t>
      </w:r>
    </w:p>
    <w:p w14:paraId="22ABE00B">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w:t>
      </w:r>
    </w:p>
    <w:p w14:paraId="47AF58AC">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 Initialize components</w:t>
      </w:r>
    </w:p>
    <w:p w14:paraId="4320D9EB">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ipfs_cluster = MockIPFS()</w:t>
      </w:r>
    </w:p>
    <w:p w14:paraId="35A3A5BF">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fabric_blockchain = MockBlockchain()</w:t>
      </w:r>
    </w:p>
    <w:p w14:paraId="072FFC43">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w:t>
      </w:r>
    </w:p>
    <w:p w14:paraId="6E0E2546">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 Simulate the generation of a structured Electronic Health Record (EHR) compliant with FHIR standards</w:t>
      </w:r>
    </w:p>
    <w:p w14:paraId="45542D2C">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mock_ehr = {</w:t>
      </w:r>
    </w:p>
    <w:p w14:paraId="6EF59BA5">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"patient_id": "patient_9527",</w:t>
      </w:r>
    </w:p>
    <w:p w14:paraId="4862AC80">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"diagnosis": "Type 2 Diabetes Mellitus",</w:t>
      </w:r>
    </w:p>
    <w:p w14:paraId="297A1A3A">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"medication": "Metformin 500mg qd",</w:t>
      </w:r>
    </w:p>
    <w:p w14:paraId="4EA0AFD9">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"timestamp": "2026-05-29"</w:t>
      </w:r>
    </w:p>
    <w:p w14:paraId="050235FB">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w:t>
      </w:r>
    </w:p>
    <w:p w14:paraId="5B2901EE">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data_id = "EHR_RECORD_001"</w:t>
      </w:r>
    </w:p>
    <w:p w14:paraId="4FDA8EB3">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aes_key = get_random_bytes(32) # AES-256 key</w:t>
      </w:r>
    </w:p>
    <w:p w14:paraId="3C6FF60E">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w:t>
      </w:r>
    </w:p>
    <w:p w14:paraId="3E1B7ACC">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 Step 1: Data Layer Encryption &amp; Off-Chain Storage Decoupling (O(1) Compression)</w:t>
      </w:r>
    </w:p>
    <w:p w14:paraId="5530C1B3">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start_time = time.time()</w:t>
      </w:r>
    </w:p>
    <w:p w14:paraId="74C7A61D">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w:t>
      </w:r>
    </w:p>
    <w:p w14:paraId="67E43DFC">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 1. Local client encrypts data to generate Mcipher</w:t>
      </w:r>
    </w:p>
    <w:p w14:paraId="488EC3AE">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raw_data_str = json.dumps(mock_ehr)</w:t>
      </w:r>
    </w:p>
    <w:p w14:paraId="545391DC">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mcipher = CryptoEngine.encrypt_data(raw_data_str, aes_key)</w:t>
      </w:r>
    </w:p>
    <w:p w14:paraId="62BB0E06">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w:t>
      </w:r>
    </w:p>
    <w:p w14:paraId="258DEBF2">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 2. Upload to off-chain IPFS and obtain CID</w:t>
      </w:r>
    </w:p>
    <w:p w14:paraId="50A074F7">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cid = ipfs_cluster.upload(mcipher)</w:t>
      </w:r>
    </w:p>
    <w:p w14:paraId="3B1347B6">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w:t>
      </w:r>
    </w:p>
    <w:p w14:paraId="043B233F">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 3. Construct lightweight transaction packet and invoke smart contract for attestation (hash anchoring)</w:t>
      </w:r>
    </w:p>
    <w:p w14:paraId="6F1C1AB0">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tx_packet = {</w:t>
      </w:r>
    </w:p>
    <w:p w14:paraId="212CB50F">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"cid_anchor": cid,</w:t>
      </w:r>
    </w:p>
    <w:p w14:paraId="6878D0F6">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"data_type": "EHR",</w:t>
      </w:r>
    </w:p>
    <w:p w14:paraId="46C2E367">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"res_attributes": {"owner_id": "patient_9527", "sensitivity": "NORMAL"},</w:t>
      </w:r>
    </w:p>
    <w:p w14:paraId="09BD9491">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"policy": {</w:t>
      </w:r>
    </w:p>
    <w:p w14:paraId="1CA1B0AB">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"allow_hospital": "Hospital_A",</w:t>
      </w:r>
    </w:p>
    <w:p w14:paraId="07963D59">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"allow_roles": ["Doctor", "Researcher"],</w:t>
      </w:r>
    </w:p>
    <w:p w14:paraId="098AB7D7">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"expire_time": time.time() + 3600 # Valid for 1 hour</w:t>
      </w:r>
    </w:p>
    <w:p w14:paraId="6B5AA685">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w:t>
      </w:r>
    </w:p>
    <w:p w14:paraId="6F37A00A">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w:t>
      </w:r>
    </w:p>
    <w:p w14:paraId="37231F96">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fabric_blockchain.write_anchor(data_id, tx_packet)</w:t>
      </w:r>
    </w:p>
    <w:p w14:paraId="18AC9A66">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w:t>
      </w:r>
    </w:p>
    <w:p w14:paraId="527E6D8D">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upload_latency = (time.time() - start_time) * 1000</w:t>
      </w:r>
    </w:p>
    <w:p w14:paraId="0F29720B">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print(f"[Data Registration Successful] Latency: {upload_latency:.2f} ms")</w:t>
      </w:r>
    </w:p>
    <w:p w14:paraId="22FB3351">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print(f"-&gt; Unique Content Identifier (CID) returned by off-chain IPFS: {cid}")</w:t>
      </w:r>
    </w:p>
    <w:p w14:paraId="71EAAA57">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print(f"-&gt; On-chain storage space complexity successfully reduced from original data size to constant O(1)\n")</w:t>
      </w:r>
    </w:p>
    <w:p w14:paraId="113AF6EB">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w:t>
      </w:r>
    </w:p>
    <w:p w14:paraId="5232F080">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 Step 2: Simulating Multi-Scenario Access Control &amp; Security Protection Stress Testing</w:t>
      </w:r>
    </w:p>
    <w:p w14:paraId="4DCA0205">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w:t>
      </w:r>
    </w:p>
    <w:p w14:paraId="150AE59A">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 Scenario 1: Legitimate Cross-Hospital Retrieval Request (Simulating normal Group D operational latency)</w:t>
      </w:r>
    </w:p>
    <w:p w14:paraId="48B016F7">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print("--- [Scenario 1] Legitimate Cross-Hospital Retrieval Verification ---")</w:t>
      </w:r>
    </w:p>
    <w:p w14:paraId="7666A5A2">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user_doctor = {"hospital": "Hospital_A", "role": "Doctor", "title": "Attending_Physician"}</w:t>
      </w:r>
    </w:p>
    <w:p w14:paraId="63A6B073">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env_context = {"current_time": time.time()}</w:t>
      </w:r>
    </w:p>
    <w:p w14:paraId="579053E4">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w:t>
      </w:r>
    </w:p>
    <w:p w14:paraId="7CBD44F9">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verify_start = time.time()</w:t>
      </w:r>
    </w:p>
    <w:p w14:paraId="7B598C32">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w:t>
      </w:r>
    </w:p>
    <w:p w14:paraId="3FE1D286">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 Extract on-chain anchored asset metadata</w:t>
      </w:r>
    </w:p>
    <w:p w14:paraId="2DB48111">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anchor_tx = fabric_blockchain.get_anchor(data_id)</w:t>
      </w:r>
    </w:p>
    <w:p w14:paraId="1A2C9282">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w:t>
      </w:r>
    </w:p>
    <w:p w14:paraId="761BACCB">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 ABAC dynamic privilege decision</w:t>
      </w:r>
    </w:p>
    <w:p w14:paraId="599C397A">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is_authorized = fabric_blockchain.validate_abac(</w:t>
      </w:r>
    </w:p>
    <w:p w14:paraId="0724026D">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user_attr=user_doctor,</w:t>
      </w:r>
    </w:p>
    <w:p w14:paraId="60EA5453">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res_attr=anchor_tx["res_attributes"],</w:t>
      </w:r>
    </w:p>
    <w:p w14:paraId="4347AD46">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env_attr=env_context,</w:t>
      </w:r>
    </w:p>
    <w:p w14:paraId="000F63F7">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policy=anchor_tx["policy"]</w:t>
      </w:r>
    </w:p>
    <w:p w14:paraId="7E1D40EE">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w:t>
      </w:r>
    </w:p>
    <w:p w14:paraId="440B80AF">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w:t>
      </w:r>
    </w:p>
    <w:p w14:paraId="2E06E45F">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if is_authorized:</w:t>
      </w:r>
    </w:p>
    <w:p w14:paraId="4C790778">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 Fetch ciphertext from IPFS</w:t>
      </w:r>
    </w:p>
    <w:p w14:paraId="37096A10">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fetched_mcipher = ipfs_cluster.download(anchor_tx["cid_anchor"])</w:t>
      </w:r>
    </w:p>
    <w:p w14:paraId="55C7D7D4">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 On-chain/off-chain two-way hash anchoring verification: Verification_Result = (Hreal ≡ Hanchor)</w:t>
      </w:r>
    </w:p>
    <w:p w14:paraId="00BF05E6">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h_real = hashlib.sha256(fetched_mcipher).hexdigest()</w:t>
      </w:r>
    </w:p>
    <w:p w14:paraId="1DCE4BB4">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h_anchor = anchor_tx["cid_anchor"]</w:t>
      </w:r>
    </w:p>
    <w:p w14:paraId="2343B8D2">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w:t>
      </w:r>
    </w:p>
    <w:p w14:paraId="05D49979">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if h_real == h_anchor:</w:t>
      </w:r>
    </w:p>
    <w:p w14:paraId="01C840AA">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fabric_blockchain.write_audit_log("doc_01", "ACCESS", data_id, "SUCCESS")</w:t>
      </w:r>
    </w:p>
    <w:p w14:paraId="384432BF">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print("&gt;&gt; [Access Released] Privilege matching succeeded, and two-way hash is consistent. No tampering detected.")</w:t>
      </w:r>
    </w:p>
    <w:p w14:paraId="1ED1402C">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else:</w:t>
      </w:r>
    </w:p>
    <w:p w14:paraId="5C573BE2">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fabric_blockchain.write_audit_log("doc_01", "ACCESS", data_id, "TAMPER_DETECTED")</w:t>
      </w:r>
    </w:p>
    <w:p w14:paraId="0C741286">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else:</w:t>
      </w:r>
    </w:p>
    <w:p w14:paraId="04EC85A8">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fabric_blockchain.write_audit_log("doc_01", "ACCESS", data_id, "DENIED")</w:t>
      </w:r>
    </w:p>
    <w:p w14:paraId="1E6E84EF">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w:t>
      </w:r>
    </w:p>
    <w:p w14:paraId="156D5403">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verify_latency = (time.time() - verify_start) * 1000</w:t>
      </w:r>
    </w:p>
    <w:p w14:paraId="4465D9D6">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print(f"&gt;&gt; Average Verification Response Latency (includes ABAC &amp; hash comparison): {verify_latency:.2f} ms\n")</w:t>
      </w:r>
    </w:p>
    <w:p w14:paraId="09368B99">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w:t>
      </w:r>
    </w:p>
    <w:p w14:paraId="0BD2BC34">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 Scenario 2: Malicious Unauthorized Access Interception Attack (Corresponds to Table 4-2 leak rate metric)</w:t>
      </w:r>
    </w:p>
    <w:p w14:paraId="075B4BC2">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print("--- [Scenario 2] Illegal Unauthorized Access Interception Testing (Cross-Institution/Disallowed Role) ---")</w:t>
      </w:r>
    </w:p>
    <w:p w14:paraId="58E96439">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attacker_user = {"hospital": "Hospital_B", "role": "Researcher", "title": "Assistant"} # Belongs to Hospital_B, unauthorized for Hospital_A policy data</w:t>
      </w:r>
    </w:p>
    <w:p w14:paraId="100CB8A6">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w:t>
      </w:r>
    </w:p>
    <w:p w14:paraId="603A752E">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is_authorized_attack = fabric_blockchain.validate_abac(</w:t>
      </w:r>
    </w:p>
    <w:p w14:paraId="03B0446E">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user_attr=attacker_user,</w:t>
      </w:r>
    </w:p>
    <w:p w14:paraId="69DA2F5D">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res_attr=anchor_tx["res_attributes"],</w:t>
      </w:r>
    </w:p>
    <w:p w14:paraId="3FA40AF1">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env_attr=env_context,</w:t>
      </w:r>
    </w:p>
    <w:p w14:paraId="31669E44">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policy=anchor_tx["policy"]</w:t>
      </w:r>
    </w:p>
    <w:p w14:paraId="02933C40">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w:t>
      </w:r>
    </w:p>
    <w:p w14:paraId="16BA3936">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w:t>
      </w:r>
    </w:p>
    <w:p w14:paraId="4DF33361">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if not is_authorized_attack:</w:t>
      </w:r>
    </w:p>
    <w:p w14:paraId="2E895ADA">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fabric_blockchain.write_audit_log("attacker_01", "ACCESS", data_id, "ILLEGAL_OVER_AUTHORIZATION")</w:t>
      </w:r>
    </w:p>
    <w:p w14:paraId="1C72E8C6">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print("&gt;&gt; [Security Hard Interception] Smart contract identified within seconds: Unauthorized request! Action unconditionally blocked.")</w:t>
      </w:r>
    </w:p>
    <w:p w14:paraId="6C093780">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print("&gt;&gt; [Irreversible Auditing] The unauthorized attempt has been automatically written to the log audit contract, leaving permanent trails on-chain.")</w:t>
      </w:r>
    </w:p>
    <w:p w14:paraId="6CA3E10F">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print("\n")</w:t>
      </w:r>
    </w:p>
    <w:p w14:paraId="0E991ADB">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w:t>
      </w:r>
    </w:p>
    <w:p w14:paraId="6FD72748">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 Scenario 3: Off-Chain Physical Medium Malicious Tampering Detection (Corresponds to Table 4-2 detection rate 98.6%)</w:t>
      </w:r>
    </w:p>
    <w:p w14:paraId="3C444E18">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print("--- [Scenario 3] Off-Chain Distributed Storage Physical Tampering Detection &amp; Self-Healing Protection ---")</w:t>
      </w:r>
    </w:p>
    <w:p w14:paraId="23F712CC">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 Simulates a senior operations engineer or hacker directly accessing underlying physical storage and altering ciphertext data blocks</w:t>
      </w:r>
    </w:p>
    <w:p w14:paraId="0EBA0234">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tampered_mcipher = b"tampered_data_content_here_xyz_123456"</w:t>
      </w:r>
    </w:p>
    <w:p w14:paraId="2C36821C">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w:t>
      </w:r>
    </w:p>
    <w:p w14:paraId="652F0FD6">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print("&gt;&gt; External attack / malicious insider implemented localized erasing and tampering on underlying storage files...")</w:t>
      </w:r>
    </w:p>
    <w:p w14:paraId="22A5EC5C">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w:t>
      </w:r>
    </w:p>
    <w:p w14:paraId="50D0B48A">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 Doctor initiates legitimate retrieval again</w:t>
      </w:r>
    </w:p>
    <w:p w14:paraId="03A89F7D">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anchor_tx = fabric_blockchain.get_anchor(data_id)</w:t>
      </w:r>
    </w:p>
    <w:p w14:paraId="4EED7221">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w:t>
      </w:r>
    </w:p>
    <w:p w14:paraId="40B1896A">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 Calculate real-time hash Hreal after tampering</w:t>
      </w:r>
    </w:p>
    <w:p w14:paraId="72578132">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h_real_tampered = hashlib.sha256(tampered_mcipher).hexdigest()</w:t>
      </w:r>
    </w:p>
    <w:p w14:paraId="26BD2C56">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h_anchor_frozen = anchor_tx["cid_anchor"]</w:t>
      </w:r>
    </w:p>
    <w:p w14:paraId="5298C00C">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w:t>
      </w:r>
    </w:p>
    <w:p w14:paraId="1502A7E5">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print(f"-&gt; Real-time hash value after off-chain tampering (Hreal): {h_real_tampered}")</w:t>
      </w:r>
    </w:p>
    <w:p w14:paraId="212F40CE">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print(f"-&gt; Anchor hash value frozen via on-chain consensus (Hanchor): {h_anchor_frozen}")</w:t>
      </w:r>
    </w:p>
    <w:p w14:paraId="23333970">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w:t>
      </w:r>
    </w:p>
    <w:p w14:paraId="01407341">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 Two-way hash comparison: Verification_Result</w:t>
      </w:r>
    </w:p>
    <w:p w14:paraId="540E2BE9">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if h_real_tampered != h_anchor_frozen:</w:t>
      </w:r>
    </w:p>
    <w:p w14:paraId="68BB375E">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fabric_blockchain.write_audit_log("doc_01", "ACCESS", data_id, "CRITICAL_TAMPER_BLOCKED")</w:t>
      </w:r>
    </w:p>
    <w:p w14:paraId="1451BFFF">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print("&gt;&gt; [Core Interception Red-Line Alarm] Verification_Result returned a false value (0)!")</w:t>
      </w:r>
    </w:p>
    <w:p w14:paraId="594F9D72">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print("&gt;&gt; Outcome: System successfully detected and unconditionally blocked contaminated data from entering clinical decisions, successfully defending against insider attacks.")</w:t>
      </w:r>
    </w:p>
    <w:p w14:paraId="4830E02F">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print("\n")</w:t>
      </w:r>
    </w:p>
    <w:p w14:paraId="58ED15F2">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w:t>
      </w:r>
    </w:p>
    <w:p w14:paraId="6DD40CE0">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 Step 3: Audit Traceability Completeness Display</w:t>
      </w:r>
    </w:p>
    <w:p w14:paraId="0E915EAD">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print("--- [Audit Layer] Extracting Permanent Rigid Evidence Chain Solidified on Fabric Chain ---")</w:t>
      </w:r>
    </w:p>
    <w:p w14:paraId="0160CF22">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print(json.dumps(fabric_blockchain.audit_logs, indent=2))</w:t>
      </w:r>
    </w:p>
    <w:p w14:paraId="14E72F1A">
      <w:pPr>
        <w:pBdr>
          <w:left w:val="single" w:color="A6A6A6" w:sz="24" w:space="8"/>
        </w:pBdr>
        <w:shd w:val="clear" w:fill="F2F2F2"/>
        <w:spacing w:after="0" w:line="360" w:lineRule="auto"/>
        <w:ind w:left="576"/>
        <w:rPr>
          <w:color w:val="auto"/>
        </w:rPr>
      </w:pPr>
    </w:p>
    <w:p w14:paraId="0A26EA97">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if __name__ == "__main__":</w:t>
      </w:r>
    </w:p>
    <w:p w14:paraId="674D1947">
      <w:pPr>
        <w:pBdr>
          <w:left w:val="single" w:color="A6A6A6" w:sz="24" w:space="8"/>
        </w:pBdr>
        <w:shd w:val="clear" w:fill="F2F2F2"/>
        <w:spacing w:after="0" w:line="360" w:lineRule="auto"/>
        <w:ind w:left="576"/>
        <w:rPr>
          <w:color w:val="auto"/>
        </w:rPr>
      </w:pPr>
      <w:r>
        <w:rPr>
          <w:rFonts w:ascii="Courier New" w:hAnsi="Courier New" w:eastAsia="Courier New"/>
          <w:b w:val="0"/>
          <w:i w:val="0"/>
          <w:color w:val="auto"/>
          <w:sz w:val="19"/>
        </w:rPr>
        <w:t xml:space="preserve">    run_experiment_pipeline()</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auto"/>
    <w:pitch w:val="default"/>
    <w:sig w:usb0="A00002BF" w:usb1="68C7FCFB" w:usb2="00000010" w:usb3="00000000" w:csb0="4002009F" w:csb1="DFD7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Times New Roman Regular">
    <w:altName w:val="Times New Roman"/>
    <w:panose1 w:val="02020503050405090304"/>
    <w:charset w:val="00"/>
    <w:family w:val="auto"/>
    <w:pitch w:val="default"/>
    <w:sig w:usb0="00000000" w:usb1="00000000" w:usb2="00000001" w:usb3="00000000" w:csb0="400001BF" w:csb1="DFF70000"/>
  </w:font>
  <w:font w:name="DejaVu Math TeX Gyre">
    <w:panose1 w:val="02000503000000000000"/>
    <w:charset w:val="00"/>
    <w:family w:val="auto"/>
    <w:pitch w:val="default"/>
    <w:sig w:usb0="A10000EF" w:usb1="4201F9EE" w:usb2="02000000" w:usb3="00000000" w:csb0="60000193" w:csb1="0DD40000"/>
  </w:font>
  <w:font w:name="Gungsuh">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476E5E7"/>
    <w:multiLevelType w:val="singleLevel"/>
    <w:tmpl w:val="E476E5E7"/>
    <w:lvl w:ilvl="0" w:tentative="0">
      <w:start w:val="2"/>
      <w:numFmt w:val="decimal"/>
      <w:suff w:val="space"/>
      <w:lvlText w:val="[%1]"/>
      <w:lvlJc w:val="left"/>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C3B6C08"/>
    <w:rsid w:val="23BBEFEE"/>
    <w:rsid w:val="375FF7AB"/>
    <w:rsid w:val="54DB925A"/>
    <w:rsid w:val="59751DC7"/>
    <w:rsid w:val="5F6B6D53"/>
    <w:rsid w:val="6B7F6697"/>
    <w:rsid w:val="6FDE2D35"/>
    <w:rsid w:val="7BEF23C5"/>
    <w:rsid w:val="7EEB2F7B"/>
    <w:rsid w:val="7F73CDFF"/>
    <w:rsid w:val="9FCF312D"/>
    <w:rsid w:val="AE72A310"/>
    <w:rsid w:val="D73FD345"/>
    <w:rsid w:val="DBD795E4"/>
    <w:rsid w:val="E76EB670"/>
    <w:rsid w:val="E7DD0BBA"/>
    <w:rsid w:val="F9B5BDF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qFormat="1"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360" w:lineRule="auto"/>
    </w:pPr>
    <w:rPr>
      <w:rFonts w:ascii="Times New Roman" w:hAnsi="Times New Roman" w:eastAsiaTheme="minorEastAsia" w:cstheme="minorBidi"/>
      <w:sz w:val="22"/>
      <w:szCs w:val="22"/>
      <w:lang w:val="en-US" w:eastAsia="en-US" w:bidi="ar-SA"/>
    </w:rPr>
  </w:style>
  <w:style w:type="paragraph" w:styleId="3">
    <w:name w:val="heading 1"/>
    <w:basedOn w:val="1"/>
    <w:next w:val="1"/>
    <w:link w:val="142"/>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3"/>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4"/>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4"/>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qFormat/>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paragraph" w:styleId="2">
    <w:name w:val="macro"/>
    <w:link w:val="151"/>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50"/>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8"/>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toc 3"/>
    <w:basedOn w:val="1"/>
    <w:next w:val="1"/>
    <w:semiHidden/>
    <w:unhideWhenUsed/>
    <w:uiPriority w:val="39"/>
    <w:pPr>
      <w:ind w:left="840" w:leftChars="400"/>
    </w:pPr>
  </w:style>
  <w:style w:type="paragraph" w:styleId="25">
    <w:name w:val="footer"/>
    <w:basedOn w:val="1"/>
    <w:link w:val="140"/>
    <w:unhideWhenUsed/>
    <w:uiPriority w:val="99"/>
    <w:pPr>
      <w:tabs>
        <w:tab w:val="center" w:pos="4680"/>
        <w:tab w:val="right" w:pos="9360"/>
      </w:tabs>
      <w:spacing w:after="0" w:line="240" w:lineRule="auto"/>
    </w:pPr>
  </w:style>
  <w:style w:type="paragraph" w:styleId="26">
    <w:name w:val="header"/>
    <w:basedOn w:val="1"/>
    <w:link w:val="139"/>
    <w:unhideWhenUsed/>
    <w:uiPriority w:val="99"/>
    <w:pPr>
      <w:tabs>
        <w:tab w:val="center" w:pos="4680"/>
        <w:tab w:val="right" w:pos="9360"/>
      </w:tabs>
      <w:spacing w:after="0" w:line="240" w:lineRule="auto"/>
    </w:pPr>
  </w:style>
  <w:style w:type="paragraph" w:styleId="27">
    <w:name w:val="toc 1"/>
    <w:basedOn w:val="1"/>
    <w:next w:val="1"/>
    <w:semiHidden/>
    <w:unhideWhenUsed/>
    <w:uiPriority w:val="39"/>
  </w:style>
  <w:style w:type="paragraph" w:styleId="28">
    <w:name w:val="Subtitle"/>
    <w:basedOn w:val="1"/>
    <w:next w:val="1"/>
    <w:link w:val="1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uiPriority w:val="99"/>
    <w:pPr>
      <w:ind w:left="360" w:hanging="360"/>
      <w:contextualSpacing/>
    </w:pPr>
  </w:style>
  <w:style w:type="paragraph" w:styleId="30">
    <w:name w:val="toc 2"/>
    <w:basedOn w:val="1"/>
    <w:next w:val="1"/>
    <w:semiHidden/>
    <w:unhideWhenUsed/>
    <w:qFormat/>
    <w:uiPriority w:val="39"/>
    <w:pPr>
      <w:ind w:left="420" w:leftChars="200"/>
    </w:pPr>
  </w:style>
  <w:style w:type="paragraph" w:styleId="31">
    <w:name w:val="Body Text 2"/>
    <w:basedOn w:val="1"/>
    <w:link w:val="149"/>
    <w:unhideWhenUsed/>
    <w:qFormat/>
    <w:uiPriority w:val="99"/>
    <w:pPr>
      <w:spacing w:after="120" w:line="480" w:lineRule="auto"/>
    </w:pPr>
  </w:style>
  <w:style w:type="paragraph" w:styleId="32">
    <w:name w:val="List Continue 2"/>
    <w:basedOn w:val="1"/>
    <w:unhideWhenUsed/>
    <w:qFormat/>
    <w:uiPriority w:val="99"/>
    <w:pPr>
      <w:spacing w:after="120"/>
      <w:ind w:left="720"/>
      <w:contextualSpacing/>
    </w:pPr>
  </w:style>
  <w:style w:type="paragraph" w:styleId="33">
    <w:name w:val="List Continue 3"/>
    <w:basedOn w:val="1"/>
    <w:unhideWhenUsed/>
    <w:qFormat/>
    <w:uiPriority w:val="99"/>
    <w:pPr>
      <w:spacing w:after="120"/>
      <w:ind w:left="1080"/>
      <w:contextualSpacing/>
    </w:pPr>
  </w:style>
  <w:style w:type="paragraph" w:styleId="34">
    <w:name w:val="Title"/>
    <w:basedOn w:val="1"/>
    <w:next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styleId="138">
    <w:name w:val="Hyperlink"/>
    <w:basedOn w:val="135"/>
    <w:qFormat/>
    <w:uiPriority w:val="0"/>
    <w:rPr>
      <w:color w:val="0000FF"/>
      <w:u w:val="single"/>
    </w:rPr>
  </w:style>
  <w:style w:type="character" w:customStyle="1" w:styleId="139">
    <w:name w:val="Header Char"/>
    <w:basedOn w:val="135"/>
    <w:link w:val="26"/>
    <w:qFormat/>
    <w:uiPriority w:val="99"/>
  </w:style>
  <w:style w:type="character" w:customStyle="1" w:styleId="140">
    <w:name w:val="Footer Char"/>
    <w:basedOn w:val="135"/>
    <w:link w:val="25"/>
    <w:qFormat/>
    <w:uiPriority w:val="99"/>
  </w:style>
  <w:style w:type="paragraph" w:styleId="1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2">
    <w:name w:val="Heading 1 Char"/>
    <w:basedOn w:val="135"/>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3">
    <w:name w:val="Heading 2 Char"/>
    <w:basedOn w:val="135"/>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4">
    <w:name w:val="Heading 3 Char"/>
    <w:basedOn w:val="135"/>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5">
    <w:name w:val="Title Char"/>
    <w:basedOn w:val="135"/>
    <w:link w:val="34"/>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Subtitle Char"/>
    <w:basedOn w:val="135"/>
    <w:link w:val="2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Body Text Char"/>
    <w:basedOn w:val="135"/>
    <w:link w:val="19"/>
    <w:qFormat/>
    <w:uiPriority w:val="99"/>
  </w:style>
  <w:style w:type="character" w:customStyle="1" w:styleId="149">
    <w:name w:val="Body Text 2 Char"/>
    <w:basedOn w:val="135"/>
    <w:link w:val="31"/>
    <w:qFormat/>
    <w:uiPriority w:val="99"/>
  </w:style>
  <w:style w:type="character" w:customStyle="1" w:styleId="150">
    <w:name w:val="Body Text 3 Char"/>
    <w:basedOn w:val="135"/>
    <w:link w:val="17"/>
    <w:qFormat/>
    <w:uiPriority w:val="99"/>
    <w:rPr>
      <w:sz w:val="16"/>
      <w:szCs w:val="16"/>
    </w:rPr>
  </w:style>
  <w:style w:type="character" w:customStyle="1" w:styleId="151">
    <w:name w:val="Macro Text Char"/>
    <w:basedOn w:val="135"/>
    <w:link w:val="2"/>
    <w:qFormat/>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Quote Char"/>
    <w:basedOn w:val="135"/>
    <w:link w:val="152"/>
    <w:qFormat/>
    <w:uiPriority w:val="29"/>
    <w:rPr>
      <w:i/>
      <w:iCs/>
      <w:color w:val="000000" w:themeColor="text1"/>
      <w14:textFill>
        <w14:solidFill>
          <w14:schemeClr w14:val="tx1"/>
        </w14:solidFill>
      </w14:textFill>
    </w:rPr>
  </w:style>
  <w:style w:type="character" w:customStyle="1" w:styleId="154">
    <w:name w:val="Heading 4 Char"/>
    <w:basedOn w:val="135"/>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Heading 5 Char"/>
    <w:basedOn w:val="135"/>
    <w:link w:val="7"/>
    <w:semiHidden/>
    <w:qFormat/>
    <w:uiPriority w:val="9"/>
    <w:rPr>
      <w:rFonts w:asciiTheme="majorHAnsi" w:hAnsiTheme="majorHAnsi" w:eastAsiaTheme="majorEastAsia" w:cstheme="majorBidi"/>
      <w:color w:val="254061" w:themeColor="accent1" w:themeShade="80"/>
    </w:rPr>
  </w:style>
  <w:style w:type="character" w:customStyle="1" w:styleId="156">
    <w:name w:val="Heading 6 Char"/>
    <w:basedOn w:val="135"/>
    <w:link w:val="8"/>
    <w:semiHidden/>
    <w:qFormat/>
    <w:uiPriority w:val="9"/>
    <w:rPr>
      <w:rFonts w:asciiTheme="majorHAnsi" w:hAnsiTheme="majorHAnsi" w:eastAsiaTheme="majorEastAsia" w:cstheme="majorBidi"/>
      <w:i/>
      <w:iCs/>
      <w:color w:val="254061" w:themeColor="accent1" w:themeShade="80"/>
    </w:rPr>
  </w:style>
  <w:style w:type="character" w:customStyle="1" w:styleId="157">
    <w:name w:val="Heading 7 Char"/>
    <w:basedOn w:val="135"/>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Heading 8 Char"/>
    <w:basedOn w:val="135"/>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Heading 9 Char"/>
    <w:basedOn w:val="135"/>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Intense Quote Char"/>
    <w:basedOn w:val="135"/>
    <w:link w:val="160"/>
    <w:uiPriority w:val="30"/>
    <w:rPr>
      <w:b/>
      <w:bCs/>
      <w:i/>
      <w:iCs/>
      <w:color w:val="4F81BD" w:themeColor="accent1"/>
      <w14:textFill>
        <w14:solidFill>
          <w14:schemeClr w14:val="accent1"/>
        </w14:solidFill>
      </w14:textFill>
    </w:rPr>
  </w:style>
  <w:style w:type="character" w:customStyle="1" w:styleId="162">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Intense Emphasis"/>
    <w:basedOn w:val="135"/>
    <w:qFormat/>
    <w:uiPriority w:val="21"/>
    <w:rPr>
      <w:b/>
      <w:bCs/>
      <w:i/>
      <w:iCs/>
      <w:color w:val="4F81BD" w:themeColor="accent1"/>
      <w14:textFill>
        <w14:solidFill>
          <w14:schemeClr w14:val="accent1"/>
        </w14:solidFill>
      </w14:textFill>
    </w:rPr>
  </w:style>
  <w:style w:type="character" w:customStyle="1" w:styleId="164">
    <w:name w:val="Subtle Reference"/>
    <w:basedOn w:val="135"/>
    <w:qFormat/>
    <w:uiPriority w:val="31"/>
    <w:rPr>
      <w:smallCaps/>
      <w:color w:val="C0504D" w:themeColor="accent2"/>
      <w:u w:val="single"/>
      <w14:textFill>
        <w14:solidFill>
          <w14:schemeClr w14:val="accent2"/>
        </w14:solidFill>
      </w14:textFill>
    </w:rPr>
  </w:style>
  <w:style w:type="character" w:customStyle="1" w:styleId="165">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6">
    <w:name w:val="Book Title"/>
    <w:basedOn w:val="135"/>
    <w:qFormat/>
    <w:uiPriority w:val="33"/>
    <w:rPr>
      <w:b/>
      <w:bCs/>
      <w:smallCaps/>
      <w:spacing w:val="5"/>
    </w:rPr>
  </w:style>
  <w:style w:type="paragraph" w:customStyle="1" w:styleId="167">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27</Pages>
  <Words>2116</Words>
  <Characters>13732</Characters>
  <Lines>0</Lines>
  <Paragraphs>0</Paragraphs>
  <TotalTime>1</TotalTime>
  <ScaleCrop>false</ScaleCrop>
  <LinksUpToDate>false</LinksUpToDate>
  <CharactersWithSpaces>15871</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2013-12-24T17:15:00Z</dcterms:created>
  <dc:creator>python-docx</dc:creator>
  <dc:description>generated by python-docx</dc:description>
  <cp:lastModifiedBy>lazy</cp:lastModifiedBy>
  <dcterms:modified xsi:type="dcterms:W3CDTF">2026-06-05T04:59:24Z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997FDDBF3965CDFA57031D6ABCBAD1CD_42</vt:lpwstr>
  </property>
  <property fmtid="{D5CDD505-2E9C-101B-9397-08002B2CF9AE}" pid="4" name="KSOTemplateDocerSaveRecord">
    <vt:lpwstr>eyJoZGlkIjoiMzNiNDM1NjNlYTljNDQ3YjU1OTg2OWQwZTIwODdkMGEiLCJ1c2VySWQiOiIxMjExMjM3ODI0In0=</vt:lpwstr>
  </property>
</Properties>
</file>