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1.2</w:t>
      </w:r>
      <w:r>
        <w:t xml:space="preserve"> </w:t>
      </w:r>
      <w:r>
        <w:t xml:space="preserve">Financial</w:t>
      </w:r>
      <w:r>
        <w:t xml:space="preserve"> </w:t>
      </w:r>
      <w:r>
        <w:t xml:space="preserve">Engineering</w:t>
      </w:r>
    </w:p>
    <w:p>
      <w:pPr>
        <w:pStyle w:val="Author"/>
      </w:pPr>
      <w:r>
        <w:t xml:space="preserve">minglu</w:t>
      </w:r>
    </w:p>
    <w:p>
      <w:pPr>
        <w:pStyle w:val="Date"/>
      </w:pPr>
      <w:r>
        <w:t xml:space="preserve">2022-04-02</w:t>
      </w:r>
    </w:p>
    <w:bookmarkStart w:id="20" w:name="trading-positions-and-attitudes"/>
    <w:p>
      <w:pPr>
        <w:pStyle w:val="Heading1"/>
      </w:pPr>
      <w:r>
        <w:t xml:space="preserve">1.2.1 Trading Positions and Attitudes</w:t>
      </w:r>
    </w:p>
    <w:p>
      <w:pPr>
        <w:numPr>
          <w:ilvl w:val="0"/>
          <w:numId w:val="1001"/>
        </w:numPr>
        <w:pStyle w:val="Compact"/>
      </w:pPr>
      <w:r>
        <w:t xml:space="preserve">Long and short positions:. In the financial parlance, when an investor owns a security</w:t>
      </w:r>
      <w:r>
        <w:t xml:space="preserve"> </w:t>
      </w:r>
      <w:r>
        <w:t xml:space="preserve">it is said that she is long in that security, and when she owes the value of a security</w:t>
      </w:r>
      <w:r>
        <w:t xml:space="preserve"> </w:t>
      </w:r>
      <w:r>
        <w:t xml:space="preserve">she is short in that security.</w:t>
      </w:r>
    </w:p>
    <w:p>
      <w:pPr>
        <w:pStyle w:val="FirstParagraph"/>
      </w:pPr>
      <w:r>
        <w:t xml:space="preserve">[Being long in any security implies to have a profit if the price increases, and</w:t>
      </w:r>
      <w:r>
        <w:t xml:space="preserve"> </w:t>
      </w:r>
      <w:r>
        <w:t xml:space="preserve">a lost if the price decreases; whereas being short carries a profit if the price of</w:t>
      </w:r>
      <w:r>
        <w:t xml:space="preserve"> </w:t>
      </w:r>
      <w:r>
        <w:t xml:space="preserve">the security decreases, and a lost if it increases.]</w:t>
      </w:r>
    </w:p>
    <w:p>
      <w:pPr>
        <w:numPr>
          <w:ilvl w:val="0"/>
          <w:numId w:val="1002"/>
        </w:numPr>
      </w:pPr>
      <w:r>
        <w:t xml:space="preserve">A portfolio insurance strategy: Suppose an investor is long on stocks</w:t>
      </w:r>
      <w:r>
        <w:t xml:space="preserve"> </w:t>
      </w:r>
      <w:r>
        <w:t xml:space="preserve">from XYZ. Then to cover himself from possible losses, in the event that the price of</w:t>
      </w:r>
      <w:r>
        <w:t xml:space="preserve"> </w:t>
      </w:r>
      <w:r>
        <w:t xml:space="preserve">the stock goes down, he can simultaneously enter into a long position on a put option</w:t>
      </w:r>
      <w:r>
        <w:t xml:space="preserve"> </w:t>
      </w:r>
      <w:r>
        <w:t xml:space="preserve">(i.e. a long put) for similar amount of XYZ shares.</w:t>
      </w:r>
    </w:p>
    <w:p>
      <w:pPr>
        <w:numPr>
          <w:ilvl w:val="0"/>
          <w:numId w:val="1002"/>
        </w:numPr>
      </w:pPr>
      <w:r>
        <w:t xml:space="preserve">Hedgers, speculators and arbitrageurs:Hull (2009, §1.5) identifies three types</w:t>
      </w:r>
      <w:r>
        <w:t xml:space="preserve"> </w:t>
      </w:r>
      <w:r>
        <w:t xml:space="preserve">of traders: hedgers, speculators and arbitrageurs. Hedgers trade so as to reduce or</w:t>
      </w:r>
      <w:r>
        <w:t xml:space="preserve"> </w:t>
      </w:r>
      <w:r>
        <w:t xml:space="preserve">eliminate the risk in taking a position on a security; their main goal is to protect</w:t>
      </w:r>
      <w:r>
        <w:t xml:space="preserve"> </w:t>
      </w:r>
      <w:r>
        <w:t xml:space="preserve">the portfolio from loosing value at the expense of lowering the possible benefits.</w:t>
      </w:r>
      <w:r>
        <w:t xml:space="preserve"> </w:t>
      </w:r>
      <w:r>
        <w:t xml:space="preserve">This attitude (or trading strategy) is called hedging.</w:t>
      </w:r>
    </w:p>
    <w:p>
      <w:pPr>
        <w:numPr>
          <w:ilvl w:val="0"/>
          <w:numId w:val="1002"/>
        </w:numPr>
      </w:pPr>
      <w:r>
        <w:t xml:space="preserve">Bulls and bears:When the market trend is upward, as reflected by the main index</w:t>
      </w:r>
      <w:r>
        <w:t xml:space="preserve"> </w:t>
      </w:r>
      <w:r>
        <w:t xml:space="preserve">or the majority of its composite stocks, it is said to be bullish, or that the bulls are</w:t>
      </w:r>
      <w:r>
        <w:t xml:space="preserve"> </w:t>
      </w:r>
      <w:r>
        <w:t xml:space="preserve">in charge</w:t>
      </w:r>
    </w:p>
    <w:p>
      <w:pPr>
        <w:numPr>
          <w:ilvl w:val="0"/>
          <w:numId w:val="1002"/>
        </w:numPr>
      </w:pPr>
      <w:r>
        <w:t xml:space="preserve">Market timing or buy-and-hold:As for possible trading strategies, at one end of</w:t>
      </w:r>
      <w:r>
        <w:t xml:space="preserve"> </w:t>
      </w:r>
      <w:r>
        <w:t xml:space="preserve">the wide range of possibilities is the passive attitude, followed by the majority of</w:t>
      </w:r>
      <w:r>
        <w:t xml:space="preserve"> </w:t>
      </w:r>
      <w:r>
        <w:t xml:space="preserve">investors, consisting on buying various securities and maintaining them in the portfolio for a long time. What sustains this static strategy is the observed tendency</w:t>
      </w:r>
      <w:r>
        <w:t xml:space="preserve"> </w:t>
      </w:r>
      <w:r>
        <w:t xml:space="preserve">of almost all securities to increase their value if sufficient time is given to them to</w:t>
      </w:r>
      <w:r>
        <w:t xml:space="preserve"> </w:t>
      </w:r>
      <w:r>
        <w:t xml:space="preserve">mature.</w:t>
      </w:r>
    </w:p>
    <w:bookmarkEnd w:id="20"/>
    <w:bookmarkStart w:id="21" w:name="X5df5a9e214416a8c66344b7bb36782bdae4f089"/>
    <w:p>
      <w:pPr>
        <w:pStyle w:val="Heading1"/>
      </w:pPr>
      <w:r>
        <w:t xml:space="preserve">1.2.2 On Price and Value of Stocks. The Discounted Cash Flow</w:t>
      </w:r>
    </w:p>
    <w:p>
      <w:pPr>
        <w:pStyle w:val="FirstParagraph"/>
      </w:pPr>
      <w:r>
        <w:t xml:space="preserve">[The price of a stock is determined by the forces of supply and demand from</w:t>
      </w:r>
      <w:r>
        <w:t xml:space="preserve"> </w:t>
      </w:r>
      <w:r>
        <w:t xml:space="preserve">investors]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r</m:t>
            </m:r>
          </m:den>
        </m:f>
      </m:oMath>
    </w:p>
    <w:p>
      <w:pPr>
        <w:pStyle w:val="BodyText"/>
      </w:pPr>
      <w:r>
        <w:t xml:space="preserve">==&gt;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r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r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r</m:t>
                    </m:r>
                  </m:e>
                </m:d>
              </m:e>
              <m:sup>
                <m:r>
                  <m:t>n</m:t>
                </m:r>
              </m:sup>
            </m:sSup>
          </m:den>
        </m:f>
      </m:oMath>
    </w:p>
    <w:p>
      <w:pPr>
        <w:pStyle w:val="BodyText"/>
      </w:pPr>
      <w:r>
        <w:t xml:space="preserve">for t to infinity:</w:t>
      </w:r>
    </w:p>
    <w:p>
      <w:pPr>
        <w:pStyle w:val="BodyText"/>
      </w:pPr>
      <w:r>
        <w:t xml:space="preserve">$s_0=\sum_{t=1}^\infity d_t/(1+r)^t$</w:t>
      </w:r>
    </w:p>
    <w:p>
      <w:pPr>
        <w:pStyle w:val="BodyText"/>
      </w:pPr>
      <w:r>
        <w:t xml:space="preserve">==&gt;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den>
        </m:f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for d has g growth ratio:</w:t>
      </w:r>
    </w:p>
    <w:p>
      <w:pPr>
        <w:pStyle w:val="BodyText"/>
      </w:pPr>
      <w:r>
        <w:t xml:space="preserve">$s_0=\sum_{t=1}^\infinity\frac{d_1(1+g)^{t-1}}{(1+r)^t}=\frac{d_1}{r-g},for r&gt;g$</w:t>
      </w:r>
    </w:p>
    <w:bookmarkEnd w:id="21"/>
    <w:bookmarkStart w:id="22" w:name="Xd90d115f952976ef069991ec7dabe304c11135b"/>
    <w:p>
      <w:pPr>
        <w:pStyle w:val="Heading1"/>
      </w:pPr>
      <w:r>
        <w:t xml:space="preserve">1.2.3 Arbitrage and Risk-Neutral Valuation Principle</w:t>
      </w:r>
    </w:p>
    <w:p>
      <w:pPr>
        <w:numPr>
          <w:ilvl w:val="0"/>
          <w:numId w:val="1003"/>
        </w:numPr>
        <w:pStyle w:val="Compact"/>
      </w:pPr>
      <w:r>
        <w:t xml:space="preserve">Principle of No Arbitrage: there are no arbitrage opportunities.</w:t>
      </w:r>
    </w:p>
    <w:p>
      <w:pPr>
        <w:pStyle w:val="FirstParagraph"/>
      </w:pPr>
      <w:r>
        <w:t xml:space="preserve">Definition 1.1 (Extended no arbitrage) The extended no arbitrage is the following</w:t>
      </w:r>
      <w:r>
        <w:t xml:space="preserve"> </w:t>
      </w:r>
      <w:r>
        <w:t xml:space="preserve">list of assumptions about the market of securities:</w:t>
      </w:r>
      <w:r>
        <w:t xml:space="preserve"> </w:t>
      </w:r>
      <w:r>
        <w:t xml:space="preserve">• Arbitrage is not possible.</w:t>
      </w:r>
      <w:r>
        <w:t xml:space="preserve"> </w:t>
      </w:r>
      <w:r>
        <w:t xml:space="preserve">• There are no transaction costs, no taxes, and no restrictions on short selling.</w:t>
      </w:r>
      <w:r>
        <w:t xml:space="preserve"> </w:t>
      </w:r>
      <w:r>
        <w:t xml:space="preserve">• It is possible to borrow and lend at equal risk-free interest rates.</w:t>
      </w:r>
      <w:r>
        <w:t xml:space="preserve"> </w:t>
      </w:r>
      <w:r>
        <w:t xml:space="preserve">• All securities are perfectly divisible</w:t>
      </w:r>
    </w:p>
    <w:p>
      <w:pPr>
        <w:pStyle w:val="BodyText"/>
      </w:pPr>
      <w:r>
        <w:t xml:space="preserve">Theorem 1.1 (Pricing a forward contract) At any time t the forward price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of a forward contract to buy an asset which has a price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at time</w:t>
      </w:r>
      <w:r>
        <w:t xml:space="preserve"> </w:t>
      </w:r>
      <m:oMath>
        <m:r>
          <m:t>t</m:t>
        </m:r>
      </m:oMath>
      <w:r>
        <w:t xml:space="preserve">, with delivery price</w:t>
      </w:r>
      <w:r>
        <w:t xml:space="preserve"> </w:t>
      </w:r>
      <m:oMath>
        <m:r>
          <m:t>K</m:t>
        </m:r>
      </m:oMath>
      <w:r>
        <w:t xml:space="preserve">, maturity date</w:t>
      </w:r>
      <w:r>
        <w:t xml:space="preserve"> </w:t>
      </w:r>
      <m:oMath>
        <m:r>
          <m:t>T</m:t>
        </m:r>
      </m:oMath>
      <w:r>
        <w:t xml:space="preserve">, and considering a constant interest rate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through the life of the contract is either:</w:t>
      </w:r>
      <w:r>
        <w:t xml:space="preserve"> </w:t>
      </w:r>
      <w:r>
        <w:t xml:space="preserve">(1)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t</m:t>
            </m:r>
          </m:sub>
        </m:sSub>
        <m:sSup>
          <m:e>
            <m:r>
              <m:t>e</m:t>
            </m:r>
          </m:e>
          <m:sup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t</m:t>
                </m:r>
              </m:e>
            </m:d>
          </m:sup>
        </m:sSup>
      </m:oMath>
      <w:r>
        <w:t xml:space="preserve">, if the asset pays no dividends and has no costs.</w:t>
      </w:r>
      <w:r>
        <w:t xml:space="preserve"> </w:t>
      </w:r>
      <w:r>
        <w:t xml:space="preserve">(2)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D</m:t>
                </m:r>
              </m:e>
              <m:sub>
                <m:r>
                  <m:t>t</m:t>
                </m:r>
              </m:sub>
            </m:sSub>
          </m:e>
        </m:d>
        <m:sSup>
          <m:e>
            <m:r>
              <m:t>e</m:t>
            </m:r>
          </m:e>
          <m:sup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t</m:t>
                </m:r>
              </m:e>
            </m:d>
          </m:sup>
        </m:sSup>
      </m:oMath>
      <w:r>
        <w:t xml:space="preserve">, if the asset pays dividends or has some costs whose discounted total value is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.</w:t>
      </w:r>
      <w:r>
        <w:t xml:space="preserve"> </w:t>
      </w:r>
      <w:r>
        <w:t xml:space="preserve">(3)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t</m:t>
            </m:r>
          </m:sub>
        </m:sSub>
        <m:sSup>
          <m:e>
            <m:r>
              <m:t>e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−</m:t>
                </m:r>
                <m:r>
                  <m:t>q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t</m:t>
                </m:r>
              </m:e>
            </m:d>
          </m:sup>
        </m:sSup>
      </m:oMath>
      <w:r>
        <w:t xml:space="preserve">, if the asset pays interests at a continuous rate of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Theorem 1.1 (Pricing a forward contract) At any time t the forward price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of a forward contract to buy an asset which has a price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at time</w:t>
      </w:r>
      <w:r>
        <w:t xml:space="preserve"> </w:t>
      </w:r>
      <m:oMath>
        <m:r>
          <m:t>t</m:t>
        </m:r>
      </m:oMath>
      <w:r>
        <w:t xml:space="preserve">, with delivery price</w:t>
      </w:r>
      <w:r>
        <w:t xml:space="preserve"> </w:t>
      </w:r>
      <m:oMath>
        <m:r>
          <m:t>K</m:t>
        </m:r>
      </m:oMath>
      <w:r>
        <w:t xml:space="preserve">, maturity date</w:t>
      </w:r>
      <w:r>
        <w:t xml:space="preserve"> </w:t>
      </w:r>
      <m:oMath>
        <m:r>
          <m:t>T</m:t>
        </m:r>
      </m:oMath>
      <w:r>
        <w:t xml:space="preserve">, and considering a constant interest rate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through the life of the contract is either:</w:t>
      </w:r>
      <w:r>
        <w:t xml:space="preserve"> </w:t>
      </w:r>
      <w:r>
        <w:t xml:space="preserve">(1)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t</m:t>
            </m:r>
          </m:sub>
        </m:sSub>
        <m:sSup>
          <m:e>
            <m:r>
              <m:t>e</m:t>
            </m:r>
          </m:e>
          <m:sup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t</m:t>
                </m:r>
              </m:e>
            </m:d>
          </m:sup>
        </m:sSup>
      </m:oMath>
      <w:r>
        <w:t xml:space="preserve">, if the asset pays no dividends and has no costs.</w:t>
      </w:r>
      <w:r>
        <w:t xml:space="preserve"> </w:t>
      </w:r>
      <w:r>
        <w:t xml:space="preserve">(2)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D</m:t>
                </m:r>
              </m:e>
              <m:sub>
                <m:r>
                  <m:t>t</m:t>
                </m:r>
              </m:sub>
            </m:sSub>
          </m:e>
        </m:d>
        <m:sSup>
          <m:e>
            <m:r>
              <m:t>e</m:t>
            </m:r>
          </m:e>
          <m:sup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t</m:t>
                </m:r>
              </m:e>
            </m:d>
          </m:sup>
        </m:sSup>
      </m:oMath>
      <w:r>
        <w:t xml:space="preserve">, if the asset pays dividends or has some costs whose discounted total value is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</m:oMath>
      <w:r>
        <w:t xml:space="preserve">.</w:t>
      </w:r>
      <w:r>
        <w:t xml:space="preserve"> </w:t>
      </w:r>
      <w:r>
        <w:t xml:space="preserve">(3)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t</m:t>
            </m:r>
          </m:sub>
        </m:sSub>
        <m:sSup>
          <m:e>
            <m:r>
              <m:t>e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−</m:t>
                </m:r>
                <m:r>
                  <m:t>q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t</m:t>
                </m:r>
              </m:e>
            </m:d>
          </m:sup>
        </m:sSup>
      </m:oMath>
      <w:r>
        <w:t xml:space="preserve">, if the asset pays interests at a continuous rate of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Risk-neutral valuation. Another way to value an option can be derived from the</w:t>
      </w:r>
      <w:r>
        <w:t xml:space="preserve"> </w:t>
      </w:r>
      <w:r>
        <w:t xml:space="preserve">assumption that investors are indifferent about risk. This is a strong hypothesis but</w:t>
      </w:r>
      <w:r>
        <w:t xml:space="preserve"> </w:t>
      </w:r>
      <w:r>
        <w:t xml:space="preserve">make for doing pretty valuation.</w:t>
      </w:r>
    </w:p>
    <w:bookmarkEnd w:id="22"/>
    <w:bookmarkStart w:id="23" w:name="X7f856cf464ed1000efaa377e9bd5a9faf10bd93"/>
    <w:p>
      <w:pPr>
        <w:pStyle w:val="Heading1"/>
      </w:pPr>
      <w:r>
        <w:t xml:space="preserve">1.2.4 The Efficient Market Hypothesis and Computational Complexity</w:t>
      </w:r>
    </w:p>
    <w:p>
      <w:pPr>
        <w:numPr>
          <w:ilvl w:val="0"/>
          <w:numId w:val="1005"/>
        </w:numPr>
      </w:pPr>
      <w:r>
        <w:t xml:space="preserve">Weak: only the price history of the securities constitutes the available information.</w:t>
      </w:r>
    </w:p>
    <w:p>
      <w:pPr>
        <w:numPr>
          <w:ilvl w:val="0"/>
          <w:numId w:val="1005"/>
        </w:numPr>
      </w:pPr>
      <w:r>
        <w:t xml:space="preserve">Semi–strong: all public information known up to the present time is available.</w:t>
      </w:r>
    </w:p>
    <w:p>
      <w:pPr>
        <w:numPr>
          <w:ilvl w:val="0"/>
          <w:numId w:val="1005"/>
        </w:numPr>
      </w:pPr>
      <w:r>
        <w:t xml:space="preserve">Strong: all public and private information (i.e., all possible information) known</w:t>
      </w:r>
      <w:r>
        <w:t xml:space="preserve"> </w:t>
      </w:r>
      <w:r>
        <w:t xml:space="preserve">up to the present time is available.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 Financial Engineering</dc:title>
  <dc:creator>minglu</dc:creator>
  <cp:keywords/>
  <dcterms:created xsi:type="dcterms:W3CDTF">2022-04-02T09:36:37Z</dcterms:created>
  <dcterms:modified xsi:type="dcterms:W3CDTF">2022-04-02T09:36:37Z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2022-04-02</vt:lpwstr>
  </property>
  <property fmtid="{D5CDD505-2E9C-101B-9397-08002B2CF9AE}" pid="3" name="output">
    <vt:lpwstr>word_document</vt:lpwstr>
  </property>
</Properties>
</file>