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6.2</w:t>
      </w:r>
      <w:r>
        <w:t xml:space="preserve"> </w:t>
      </w:r>
      <w:r>
        <w:t xml:space="preserve">Fundamental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Ming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2022-04-02</w:t>
      </w:r>
    </w:p>
    <w:p>
      <w:pPr>
        <w:pStyle w:val="FirstParagraph"/>
      </w:pPr>
      <w:r>
        <w:t xml:space="preserve">Consider the following raison d’être for the security analyst</w:t>
      </w:r>
      <w:r>
        <w:t xml:space="preserve"> </w:t>
      </w:r>
      <w:r>
        <w:t xml:space="preserve">The security analysts develops and applies standards of safety by which we can conclude</w:t>
      </w:r>
      <w:r>
        <w:t xml:space="preserve"> </w:t>
      </w:r>
      <w:r>
        <w:t xml:space="preserve">whether a given bond or preferred stock may be termed sound enough to justify purchase</w:t>
      </w:r>
      <w:r>
        <w:t xml:space="preserve"> </w:t>
      </w:r>
      <w:r>
        <w:t xml:space="preserve">for investment. These standards relate primarily to [the company’s] past average earnings,</w:t>
      </w:r>
      <w:r>
        <w:t xml:space="preserve"> </w:t>
      </w:r>
      <w:r>
        <w:t xml:space="preserve">but they are also concerned with capital structure, working capital, asset values, and other</w:t>
      </w:r>
      <w:r>
        <w:t xml:space="preserve"> </w:t>
      </w:r>
      <w:r>
        <w:t xml:space="preserve">matters (Graham 2003, p. 281)</w:t>
      </w:r>
      <w:r>
        <w:t xml:space="preserve"> </w:t>
      </w:r>
      <w:r>
        <w:t xml:space="preserve">Benjamin Graham can be rightly considered as a founding father of Fundamental</w:t>
      </w:r>
      <w:r>
        <w:t xml:space="preserve"> </w:t>
      </w:r>
      <w:r>
        <w:t xml:space="preserve">Analysis, and elaborating further from his investment policy, summarized in the</w:t>
      </w:r>
      <w:r>
        <w:t xml:space="preserve"> </w:t>
      </w:r>
      <w:r>
        <w:t xml:space="preserve">previous quotation, a fundamental analyst is someone who should strive to determine</w:t>
      </w:r>
      <w:r>
        <w:t xml:space="preserve"> </w:t>
      </w:r>
      <w:r>
        <w:t xml:space="preserve">a security’s value by focusing on the economic fundamentals that affect a company’s</w:t>
      </w:r>
      <w:r>
        <w:t xml:space="preserve"> </w:t>
      </w:r>
      <w:r>
        <w:t xml:space="preserve">actual business and its future prospects, such as its revenue growth, its profits and</w:t>
      </w:r>
      <w:r>
        <w:t xml:space="preserve"> </w:t>
      </w:r>
      <w:r>
        <w:t xml:space="preserve">debts, and other business indicators, as opposed to just analyzing its price movements</w:t>
      </w:r>
      <w:r>
        <w:t xml:space="preserve"> </w:t>
      </w:r>
      <w:r>
        <w:t xml:space="preserve">in the stock market. In the next sections we study the core elements and methods of</w:t>
      </w:r>
      <w:r>
        <w:t xml:space="preserve"> </w:t>
      </w:r>
      <w:r>
        <w:t xml:space="preserve">investment of Fundamental Analysis.</w:t>
      </w:r>
    </w:p>
    <w:bookmarkStart w:id="20" w:name="fundamental-analysis-basic-principles"/>
    <w:p>
      <w:pPr>
        <w:pStyle w:val="Heading1"/>
      </w:pPr>
      <w:r>
        <w:t xml:space="preserve">6.2.1 Fundamental Analysis Basic Principles</w:t>
      </w:r>
    </w:p>
    <w:p>
      <w:pPr>
        <w:pStyle w:val="FirstParagraph"/>
      </w:pPr>
      <w:r>
        <w:t xml:space="preserve">Those applying Fundamental Analysis in their investments (aka fundamental</w:t>
      </w:r>
      <w:r>
        <w:t xml:space="preserve"> </w:t>
      </w:r>
      <w:r>
        <w:t xml:space="preserve">investors), act according to three basic principles inherited from Benjamin Graham</w:t>
      </w:r>
      <w:r>
        <w:t xml:space="preserve"> </w:t>
      </w:r>
      <w:r>
        <w:t xml:space="preserve">and David Dodd’s approach to investment (Graham and Dodd 1934; Graham 2003):</w:t>
      </w:r>
    </w:p>
    <w:p>
      <w:pPr>
        <w:numPr>
          <w:ilvl w:val="0"/>
          <w:numId w:val="1001"/>
        </w:numPr>
        <w:pStyle w:val="Compact"/>
      </w:pPr>
      <w:r>
        <w:t xml:space="preserve">The market price of a stock does not fully reflect its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value. The real value</w:t>
      </w:r>
      <w:r>
        <w:t xml:space="preserve"> </w:t>
      </w:r>
      <w:r>
        <w:t xml:space="preserve">of a stock is intrinsic to the value of the issuing company, termed the intrinsic</w:t>
      </w:r>
      <w:r>
        <w:t xml:space="preserve"> </w:t>
      </w:r>
      <w:r>
        <w:t xml:space="preserve">value.</w:t>
      </w:r>
    </w:p>
    <w:p>
      <w:pPr>
        <w:numPr>
          <w:ilvl w:val="0"/>
          <w:numId w:val="1001"/>
        </w:numPr>
        <w:pStyle w:val="Compact"/>
      </w:pPr>
      <w:r>
        <w:t xml:space="preserve">The market price and the intrinsic value of a stock often diverge, but in the long</w:t>
      </w:r>
      <w:r>
        <w:t xml:space="preserve"> </w:t>
      </w:r>
      <w:r>
        <w:t xml:space="preserve">run will align to each other.</w:t>
      </w:r>
    </w:p>
    <w:p>
      <w:pPr>
        <w:numPr>
          <w:ilvl w:val="0"/>
          <w:numId w:val="1001"/>
        </w:numPr>
        <w:pStyle w:val="Compact"/>
      </w:pPr>
      <w:r>
        <w:t xml:space="preserve">Shares of a stock should be bought with a</w:t>
      </w:r>
      <w:r>
        <w:t xml:space="preserve"> </w:t>
      </w:r>
      <w:r>
        <w:t xml:space="preserve">“</w:t>
      </w:r>
      <w:r>
        <w:t xml:space="preserve">margin of safety</w:t>
      </w:r>
      <w:r>
        <w:t xml:space="preserve">”</w:t>
      </w:r>
      <w:r>
        <w:t xml:space="preserve">. This means to buy</w:t>
      </w:r>
      <w:r>
        <w:t xml:space="preserve"> </w:t>
      </w:r>
      <w:r>
        <w:t xml:space="preserve">a stock when its market price is significantly below its intrinsic value (ideally,</w:t>
      </w:r>
      <w:r>
        <w:t xml:space="preserve"> </w:t>
      </w:r>
      <w:r>
        <w:t xml:space="preserve">about a factor of one-half).</w:t>
      </w:r>
    </w:p>
    <w:bookmarkEnd w:id="20"/>
    <w:bookmarkStart w:id="21" w:name="business-indicators"/>
    <w:p>
      <w:pPr>
        <w:pStyle w:val="Heading1"/>
      </w:pPr>
      <w:r>
        <w:t xml:space="preserve">6.2.2 Business Indicators</w:t>
      </w:r>
    </w:p>
    <w:p>
      <w:pPr>
        <w:pStyle w:val="FirstParagraph"/>
      </w:pPr>
      <w:r>
        <w:t xml:space="preserve">There are three basic financial statements that a company publishes on a quarterly</w:t>
      </w:r>
      <w:r>
        <w:t xml:space="preserve"> </w:t>
      </w:r>
      <w:r>
        <w:t xml:space="preserve">or annual basis, that serve as different sources for estimating the intrinsic value of</w:t>
      </w:r>
      <w:r>
        <w:t xml:space="preserve"> </w:t>
      </w:r>
      <w:r>
        <w:t xml:space="preserve">its stock. These are:</w:t>
      </w:r>
    </w:p>
    <w:p>
      <w:pPr>
        <w:pStyle w:val="BodyText"/>
      </w:pPr>
      <w:r>
        <w:t xml:space="preserve">The balance sheet.</w:t>
      </w:r>
      <w:r>
        <w:t xml:space="preserve"> </w:t>
      </w:r>
      <w:r>
        <w:t xml:space="preserve">• The income statement.</w:t>
      </w:r>
      <w:r>
        <w:t xml:space="preserve"> </w:t>
      </w:r>
      <w:r>
        <w:t xml:space="preserve">• The cash flow statement.</w:t>
      </w:r>
      <w:r>
        <w:t xml:space="preserve"> </w:t>
      </w:r>
      <w:r>
        <w:t xml:space="preserve">The balance sheet gives a snapshot of a company’s assets, liabilities and shareholders’ equity at a particular point in time. The assets refer to resources own by</w:t>
      </w:r>
      <w:r>
        <w:t xml:space="preserve"> </w:t>
      </w:r>
      <w:r>
        <w:t xml:space="preserve">the company, and are grouped into current assets (cash, marketable securities and</w:t>
      </w:r>
      <w:r>
        <w:t xml:space="preserve"> </w:t>
      </w:r>
      <w:r>
        <w:t xml:space="preserve">inventories, and in general anything that can be quickly converted to cash), and fixed</w:t>
      </w:r>
      <w:r>
        <w:t xml:space="preserve"> </w:t>
      </w:r>
      <w:r>
        <w:t xml:space="preserve">assets(properties, equipment, and any tangible valuable asset, not easily converted to</w:t>
      </w:r>
      <w:r>
        <w:t xml:space="preserve"> </w:t>
      </w:r>
      <w:r>
        <w:t xml:space="preserve">cash). The liabilities are basically the unpaid bills, also grouped into two categories:</w:t>
      </w:r>
      <w:r>
        <w:t xml:space="preserve"> </w:t>
      </w:r>
      <w:r>
        <w:t xml:space="preserve">current, for short termed bills, and non-current, for bills with no payment deadline</w:t>
      </w:r>
      <w:r>
        <w:t xml:space="preserve"> </w:t>
      </w:r>
      <w:r>
        <w:t xml:space="preserve">or time negotiable. The shareholders (or ownership) equity is cash contributed to the</w:t>
      </w:r>
      <w:r>
        <w:t xml:space="preserve"> </w:t>
      </w:r>
      <w:r>
        <w:t xml:space="preserve">company by the owner’s or shareholders. The figures in this financial statement have</w:t>
      </w:r>
      <w:r>
        <w:t xml:space="preserve"> </w:t>
      </w:r>
      <w:r>
        <w:t xml:space="preserve">to balance according to the equation:</w:t>
      </w:r>
      <w:r>
        <w:t xml:space="preserve"> </w:t>
      </w:r>
      <w:r>
        <w:t xml:space="preserve">All Assets = All Liabilities + Shareholder equity</w:t>
      </w:r>
    </w:p>
    <w:p>
      <w:pPr>
        <w:pStyle w:val="BodyText"/>
      </w:pPr>
      <w:r>
        <w:t xml:space="preserve">This shows the amount of debt incurred and owner’s money used to finance the</w:t>
      </w:r>
      <w:r>
        <w:t xml:space="preserve"> </w:t>
      </w:r>
      <w:r>
        <w:t xml:space="preserve">assets. A fundamental measure that can be extracted from this information is the</w:t>
      </w:r>
      <w:r>
        <w:t xml:space="preserve"> </w:t>
      </w:r>
      <w:r>
        <w:t xml:space="preserve">company’s book value (BV): the cash that would be obtained by selling all assets</w:t>
      </w:r>
      <w:r>
        <w:t xml:space="preserve"> </w:t>
      </w:r>
      <w:r>
        <w:t xml:space="preserve">free of liabilities; that is, the result of subtracting liabilities from assets. By comparing</w:t>
      </w:r>
      <w:r>
        <w:t xml:space="preserve"> </w:t>
      </w:r>
      <w:r>
        <w:t xml:space="preserve">this quantity with shareholders’ equity, investors can estimate their benefits or losses</w:t>
      </w:r>
      <w:r>
        <w:t xml:space="preserve"> </w:t>
      </w:r>
      <w:r>
        <w:t xml:space="preserve">if the company were to be liquidated.</w:t>
      </w:r>
      <w:r>
        <w:t xml:space="preserve"> </w:t>
      </w:r>
      <w:r>
        <w:t xml:space="preserve">The income statement provides information on the company’s revenues and</w:t>
      </w:r>
      <w:r>
        <w:t xml:space="preserve"> </w:t>
      </w:r>
      <w:r>
        <w:t xml:space="preserve">expenses, during an specific period (usually quarterly or yearly). The revenue is</w:t>
      </w:r>
      <w:r>
        <w:t xml:space="preserve"> </w:t>
      </w:r>
      <w:r>
        <w:t xml:space="preserve">basically the amount of money received from sales in the given period. The expenses</w:t>
      </w:r>
      <w:r>
        <w:t xml:space="preserve"> </w:t>
      </w:r>
      <w:r>
        <w:t xml:space="preserve">are divided into: production costs (cost of revenue), operational costs (for marketing,</w:t>
      </w:r>
      <w:r>
        <w:t xml:space="preserve"> </w:t>
      </w:r>
      <w:r>
        <w:t xml:space="preserve">administration, or any non-recurring event), loan interests and taxes, and depreciation (the lost of value of fixed assets used in production). From these figures one gets</w:t>
      </w:r>
      <w:r>
        <w:t xml:space="preserve"> </w:t>
      </w:r>
      <w:r>
        <w:t xml:space="preserve">the company’s net income over the period, computed as:</w:t>
      </w:r>
      <w:r>
        <w:t xml:space="preserve"> </w:t>
      </w:r>
      <w:r>
        <w:t xml:space="preserve">Net Income = Revenues − All Expenses</w:t>
      </w:r>
      <w:r>
        <w:t xml:space="preserve"> </w:t>
      </w:r>
      <w:r>
        <w:t xml:space="preserve">However, for a more accurate measure of how profitable is the company, financial</w:t>
      </w:r>
      <w:r>
        <w:t xml:space="preserve"> </w:t>
      </w:r>
      <w:r>
        <w:t xml:space="preserve">analysts look at the income without deducting the payments for loan interests and</w:t>
      </w:r>
      <w:r>
        <w:t xml:space="preserve"> </w:t>
      </w:r>
      <w:r>
        <w:t xml:space="preserve">taxes. This is the EBIT, or earnings before interests and taxes, given by</w:t>
      </w:r>
      <w:r>
        <w:t xml:space="preserve"> </w:t>
      </w:r>
      <w:r>
        <w:t xml:space="preserve">EBIT = Revenues − (production + operational + depretiation)</w:t>
      </w:r>
      <w:r>
        <w:t xml:space="preserve"> </w:t>
      </w:r>
      <w:r>
        <w:t xml:space="preserve">Put another way, Net Income = EBIT − (loan interests + taxes).</w:t>
      </w:r>
      <w:r>
        <w:t xml:space="preserve"> </w:t>
      </w:r>
      <w:r>
        <w:t xml:space="preserve">The cash flow statement represents a record of a company’s cash inflows and</w:t>
      </w:r>
      <w:r>
        <w:t xml:space="preserve"> </w:t>
      </w:r>
      <w:r>
        <w:t xml:space="preserve">outflows over a period of time. These flows of cash are reported from the investing,</w:t>
      </w:r>
      <w:r>
        <w:t xml:space="preserve"> </w:t>
      </w:r>
      <w:r>
        <w:t xml:space="preserve">operating and financing activities of the company. The main purpose of this financial</w:t>
      </w:r>
      <w:r>
        <w:t xml:space="preserve"> </w:t>
      </w:r>
      <w:r>
        <w:t xml:space="preserve">statement is to report the company’s liquidity and solvency, and provides a measure</w:t>
      </w:r>
      <w:r>
        <w:t xml:space="preserve"> </w:t>
      </w:r>
      <w:r>
        <w:t xml:space="preserve">of the ability of the company to change cash flows to meet future expenses.</w:t>
      </w:r>
    </w:p>
    <w:bookmarkEnd w:id="21"/>
    <w:bookmarkStart w:id="22" w:name="value-indicators"/>
    <w:p>
      <w:pPr>
        <w:pStyle w:val="Heading1"/>
      </w:pPr>
      <w:r>
        <w:t xml:space="preserve">6.2.3 Value Indicators</w:t>
      </w:r>
    </w:p>
    <w:p>
      <w:pPr>
        <w:pStyle w:val="FirstParagraph"/>
      </w:pPr>
      <w:r>
        <w:t xml:space="preserve">What do we do with all the business’ financial data? We use it to compute financial ratios to gauge the value of a stock and, by and large, the value of the company behind. Let us begin reviewing some common fundamental ratios to value a stock with respect to the business.</w:t>
      </w:r>
    </w:p>
    <w:p>
      <w:pPr>
        <w:pStyle w:val="BodyText"/>
      </w:pPr>
      <w:r>
        <w:t xml:space="preserve">Earnings per Share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t>P</m:t>
            </m:r>
            <m:r>
              <m:t>S</m:t>
            </m:r>
          </m:e>
        </m:d>
      </m:oMath>
      <w:r>
        <w:t xml:space="preserve"> </w:t>
      </w:r>
      <w:r>
        <w:t xml:space="preserve">: is the portion of the company’s profit allocated to each outstanding share of its stock, for a given period of time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(which by default is the last twelve months). Calculated as: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P</m:t>
          </m:r>
          <m:sSub>
            <m:e>
              <m:r>
                <m:t>S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sSub>
                <m:e>
                  <m:r>
                    <m:t>I</m:t>
                  </m:r>
                </m:e>
                <m:sub>
                  <m:r>
                    <m:t>τ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  <m:r>
                <m:t>v</m:t>
              </m:r>
              <m:sSub>
                <m:e>
                  <m:r>
                    <m:t>P</m:t>
                  </m:r>
                </m:e>
                <m:sub>
                  <m:r>
                    <m:t>τ</m:t>
                  </m:r>
                </m:sub>
              </m:sSub>
            </m:num>
            <m:den>
              <m:r>
                <m:t>W</m:t>
              </m:r>
              <m:r>
                <m:t>N</m:t>
              </m:r>
              <m:r>
                <m:t>S</m:t>
              </m:r>
              <m:sSub>
                <m:e>
                  <m:r>
                    <m:t>O</m:t>
                  </m:r>
                </m:e>
                <m:sub>
                  <m:r>
                    <m:t>τ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sSub>
          <m:e>
            <m:r>
              <m:t>I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is the net income perceived in the period of time</w:t>
      </w:r>
      <w:r>
        <w:t xml:space="preserve"> </w:t>
      </w:r>
      <m:oMath>
        <m:r>
          <m:t>τ</m:t>
        </m:r>
        <m:r>
          <m:rPr>
            <m:sty m:val="p"/>
          </m:rPr>
          <m:t>,</m:t>
        </m:r>
        <m:r>
          <m:rPr>
            <m:sty m:val="p"/>
          </m:rPr>
          <m:t>Div</m:t>
        </m:r>
        <m:sSub>
          <m:e>
            <m:r>
              <m:t>P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is the total amount of dividends on preferred stock, and</w:t>
      </w:r>
      <w:r>
        <w:t xml:space="preserve"> </w:t>
      </w:r>
      <m:oMath>
        <m:r>
          <m:t>W</m:t>
        </m:r>
        <m:r>
          <m:t>N</m:t>
        </m:r>
        <m:r>
          <m:t>S</m:t>
        </m:r>
        <m:sSub>
          <m:e>
            <m:r>
              <m:t>O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is the weighted average number of shares outstanding for the period considered.</w:t>
      </w:r>
      <w:r>
        <w:t xml:space="preserve"> </w:t>
      </w:r>
      <m:oMath>
        <m:sSup>
          <m:e>
            <m:r>
              <m:t>5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Thus,</w:t>
      </w:r>
      <w:r>
        <w:t xml:space="preserve"> </w:t>
      </w:r>
      <m:oMath>
        <m:r>
          <m:t>E</m:t>
        </m:r>
        <m:r>
          <m:t>P</m:t>
        </m:r>
        <m:r>
          <m:t>S</m:t>
        </m:r>
      </m:oMath>
      <w:r>
        <w:t xml:space="preserve"> </w:t>
      </w:r>
      <w:r>
        <w:t xml:space="preserve">represent that portion of the profits that a company could use to pay dividends to common stockholders or to reinvest in itself. A positive</w:t>
      </w:r>
      <w:r>
        <w:t xml:space="preserve"> </w:t>
      </w:r>
      <m:oMath>
        <m:r>
          <m:t>E</m:t>
        </m:r>
        <m:r>
          <m:t>P</m:t>
        </m:r>
        <m:r>
          <m:t>S</m:t>
        </m:r>
      </m:oMath>
      <w:r>
        <w:t xml:space="preserve"> </w:t>
      </w:r>
      <w:r>
        <w:t xml:space="preserve">is an indication of a profitable company.</w:t>
      </w:r>
      <w:r>
        <w:t xml:space="preserve"> </w:t>
      </w:r>
      <w:r>
        <w:t xml:space="preserve">Price to Earnings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b"/>
          </m:rPr>
          <m:t>P</m:t>
        </m:r>
        <m:r>
          <m:rPr>
            <m:sty m:val="p"/>
          </m:rPr>
          <m:t>/</m:t>
        </m:r>
        <m:r>
          <m:rPr>
            <m:sty m:val="b"/>
          </m:rPr>
          <m:t>E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b"/>
          </m:rPr>
          <m:t>E</m:t>
        </m:r>
        <m:r>
          <m:rPr>
            <m:sty m:val="b"/>
          </m:rP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: is the ratio of a company’s current share price with respect to its earnings per share for the trailing twelve months (the period by default). Formally, if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price per share of a company’s stock at time</w:t>
      </w:r>
      <w:r>
        <w:t xml:space="preserve"> </w:t>
      </w:r>
      <m:oMath>
        <m:r>
          <m:t>t</m:t>
        </m:r>
        <m:r>
          <m:rPr>
            <m:sty m:val="p"/>
          </m:rPr>
          <m:t>,</m:t>
        </m:r>
        <m:r>
          <m:t>τ</m:t>
        </m:r>
      </m:oMath>
      <w:r>
        <w:t xml:space="preserve"> </w:t>
      </w:r>
      <w:r>
        <w:t xml:space="preserve">is the twelve months time period ending at</w:t>
      </w:r>
      <w:r>
        <w:t xml:space="preserve"> </w:t>
      </w:r>
      <m:oMath>
        <m:r>
          <m:t>t</m:t>
        </m:r>
      </m:oMath>
      <w:r>
        <w:t xml:space="preserve">, then the price to earnings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/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E</m:t>
              </m:r>
              <m:r>
                <m:t>P</m:t>
              </m:r>
              <m:sSub>
                <m:e>
                  <m:r>
                    <m:t>S</m:t>
                  </m:r>
                </m:e>
                <m:sub>
                  <m:r>
                    <m:t>τ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is the most used factor by financial specialists.6 It gives a measure of the</w:t>
      </w:r>
      <w:r>
        <w:t xml:space="preserve"> </w:t>
      </w:r>
      <w:r>
        <w:t xml:space="preserve">multiple amount per euro of earnings that an investor pays for a share of the</w:t>
      </w:r>
      <w:r>
        <w:t xml:space="preserve"> </w:t>
      </w:r>
      <w:r>
        <w:t xml:space="preserve">company. In this regard, it is useful to compare the values of two stocks in</w:t>
      </w:r>
      <w:r>
        <w:t xml:space="preserve"> </w:t>
      </w:r>
      <w:r>
        <w:t xml:space="preserve">the same industry. For example, if the P/E of the shares of bank A is lower than</w:t>
      </w:r>
      <w:r>
        <w:t xml:space="preserve"> </w:t>
      </w:r>
      <w:r>
        <w:t xml:space="preserve">the shares of bank B, and the remaining fundamentals for both banks are quite</w:t>
      </w:r>
      <w:r>
        <w:t xml:space="preserve"> </w:t>
      </w:r>
      <w:r>
        <w:t xml:space="preserve">similar, then the shares of A are the better deal. Benjamin Graham recommends as</w:t>
      </w:r>
      <w:r>
        <w:t xml:space="preserve"> </w:t>
      </w:r>
      <w:r>
        <w:t xml:space="preserve">a reasonable P/E for a value stock an amount that is 20% below the multiplicative</w:t>
      </w:r>
    </w:p>
    <w:p>
      <w:pPr>
        <w:pStyle w:val="BodyText"/>
      </w:pPr>
      <w:r>
        <w:t xml:space="preserve">inverse of the current high grade bond rate (Graham 2003, p. 350). If quantities are given in percentage terms this can be expressed mathematically by</w:t>
      </w:r>
      <w:r>
        <w:t xml:space="preserve"> </w:t>
      </w:r>
      <m:oMath>
        <m:r>
          <m:rPr>
            <m:sty m:val="p"/>
          </m:rPr>
          <m:t>good</m:t>
        </m:r>
        <m:r>
          <m:t>P</m:t>
        </m:r>
        <m:r>
          <m:rPr>
            <m:sty m:val="p"/>
          </m:rPr>
          <m:t>/</m:t>
        </m:r>
        <m:r>
          <m:t>E</m:t>
        </m:r>
        <m:r>
          <m:rPr>
            <m:sty m:val="p"/>
          </m:rPr>
          <m:t>≈</m:t>
        </m:r>
        <m:r>
          <m:t>80</m:t>
        </m:r>
        <m:r>
          <m:rPr>
            <m:sty m:val="p"/>
          </m:rPr>
          <m:t>/</m:t>
        </m:r>
      </m:oMath>
      <w:r>
        <w:t xml:space="preserve"> </w:t>
      </w:r>
      <w:r>
        <w:t xml:space="preserve">AAbond</w:t>
      </w:r>
      <w:r>
        <w:t xml:space="preserve"> </w:t>
      </w:r>
      <w:r>
        <w:t xml:space="preserve">where AAbond equals a AA corporate bond yield. For example, if the one year yield of a AA-rated corporate bond (or high-grade corporate bond index) is of</w:t>
      </w:r>
      <w:r>
        <w:t xml:space="preserve"> </w:t>
      </w:r>
      <m:oMath>
        <m:r>
          <m:t>6.43</m:t>
        </m:r>
        <m:r>
          <m:rPr>
            <m:sty m:val="p"/>
          </m:rPr>
          <m:t>%</m:t>
        </m:r>
      </m:oMath>
      <w:r>
        <w:t xml:space="preserve">, then a good P/E for a stock (that is, for the stock to be considered of some value) is</w:t>
      </w:r>
      <w:r>
        <w:t xml:space="preserve"> </w:t>
      </w:r>
      <m:oMath>
        <m:r>
          <m:t>80</m:t>
        </m:r>
        <m:r>
          <m:rPr>
            <m:sty m:val="p"/>
          </m:rPr>
          <m:t>/</m:t>
        </m:r>
        <m:r>
          <m:t>6.43</m:t>
        </m:r>
        <m:r>
          <m:rPr>
            <m:sty m:val="p"/>
          </m:rPr>
          <m:t>=</m:t>
        </m:r>
        <m:r>
          <m:t>12.44</m:t>
        </m:r>
      </m:oMath>
      <w:r>
        <w:t xml:space="preserve">. The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/</m:t>
        </m:r>
        <m:r>
          <m:rPr>
            <m:sty m:val="p"/>
          </m:rPr>
          <m:t>E</m:t>
        </m:r>
      </m:oMath>
      <w:r>
        <w:t xml:space="preserve"> </w:t>
      </w:r>
      <w:r>
        <w:t xml:space="preserve">makes sense for a company with positive earnings. If</w:t>
      </w:r>
      <w:r>
        <w:t xml:space="preserve"> </w:t>
      </w:r>
      <m:oMath>
        <m:r>
          <m:t>E</m:t>
        </m:r>
        <m:r>
          <m:t>P</m:t>
        </m:r>
        <m:r>
          <m:t>S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then financial analysts give a value of 0 or NA (Not Applicable) to the P/E.</w:t>
      </w:r>
      <w:r>
        <w:t xml:space="preserve"> </w:t>
      </w:r>
      <w:r>
        <w:t xml:space="preserve">Price to Book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P</m:t>
            </m:r>
            <m:r>
              <m:rPr>
                <m:sty m:val="p"/>
              </m:rPr>
              <m:t>/</m:t>
            </m:r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: is the ratio of a company’s current share price with respect to the company’s book value per share. In mathematical terms, the price to book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/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B</m:t>
              </m:r>
              <m:r>
                <m:t>V</m:t>
              </m:r>
              <m:r>
                <m:t>P</m:t>
              </m:r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B</m:t>
        </m:r>
        <m:r>
          <m:t>V</m:t>
        </m:r>
        <m:r>
          <m:t>P</m:t>
        </m:r>
        <m:r>
          <m:t>S</m:t>
        </m:r>
      </m:oMath>
      <w:r>
        <w:t xml:space="preserve"> </w:t>
      </w:r>
      <w:r>
        <w:t xml:space="preserve">is the most recent quarter’s book value of the company for each outstanding share, calculated as</w:t>
      </w:r>
      <w:r>
        <w:t xml:space="preserve"> </w:t>
      </w:r>
      <m:oMath>
        <m:r>
          <m:t>B</m:t>
        </m:r>
        <m:r>
          <m:t>V</m:t>
        </m:r>
        <m:r>
          <m:t>P</m:t>
        </m:r>
        <m:r>
          <m:t>S</m:t>
        </m:r>
        <m:r>
          <m:rPr>
            <m:sty m:val="p"/>
          </m:rPr>
          <m:t>=</m:t>
        </m:r>
        <m:r>
          <m:t>B</m:t>
        </m:r>
        <m:r>
          <m:t>V</m:t>
        </m:r>
        <m:r>
          <m:rPr>
            <m:sty m:val="p"/>
          </m:rPr>
          <m:t>/</m:t>
        </m:r>
      </m:oMath>
      <w:r>
        <w:t xml:space="preserve"> </w:t>
      </w:r>
      <w:r>
        <w:t xml:space="preserve">(number of outstanding shares)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(Assets - Liabilities)/(number of outstanding shares), and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price of a share at time</w:t>
      </w:r>
      <w:r>
        <w:t xml:space="preserve"> </w:t>
      </w:r>
      <m:oMath>
        <m:r>
          <m:t>t</m:t>
        </m:r>
      </m:oMath>
      <w:r>
        <w:t xml:space="preserve">. Note that this is the same as</w:t>
      </w:r>
      <w:r>
        <w:t xml:space="preserve"> </w:t>
      </w:r>
      <w:r>
        <w:t xml:space="preserve">(market capitalization) / (book value)</w:t>
      </w:r>
    </w:p>
    <w:p>
      <w:pPr>
        <w:pStyle w:val="BodyText"/>
      </w:pPr>
      <w:r>
        <w:t xml:space="preserve">and that is why is also known as the Market to Book ratio (M/B). We have seen that for a financially well-balanced company, its book value represents the shareholders equity; hence, a P/B close to 1 means a fair price for the share since it is close to its</w:t>
      </w:r>
      <w:r>
        <w:t xml:space="preserve"> </w:t>
      </w:r>
      <w:r>
        <w:t xml:space="preserve">“</w:t>
      </w:r>
      <w:r>
        <w:t xml:space="preserve">price in books</w:t>
      </w:r>
      <w:r>
        <w:t xml:space="preserve">”</w:t>
      </w:r>
      <w:r>
        <w:t xml:space="preserve">. A P/B much higher than 1 means that market investors are overvaluing the company by paying for its stocks more than the price in reference to the company’s value. Conversely, a low P/B (lower than 1 ) means that the market is undervaluing the company, and either the stock is a bargain with respect to its book value or has been oversold for reasons extrinsic to the company and perceived by the market.</w:t>
      </w:r>
    </w:p>
    <w:p>
      <w:pPr>
        <w:pStyle w:val="BodyText"/>
      </w:pPr>
      <w:r>
        <w:t xml:space="preserve">Regarding the value assessment of business, the most commonly used measurements factors are organized into four groups pertaining to the following attributes: financial performance, the efficient use of resources, financial leverage, and liquidity.</w:t>
      </w:r>
      <w:r>
        <w:t xml:space="preserve"> </w:t>
      </w:r>
      <m:oMath>
        <m:sSup>
          <m:e>
            <m:r>
              <m:t>​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Performance measures: We seek to know, How well is the company doing? How profitable it is? Besides the raw Net Income and EBIT, there are also the following metrics.</w:t>
      </w:r>
    </w:p>
    <w:p>
      <w:pPr>
        <w:pStyle w:val="BodyText"/>
      </w:pPr>
      <w:r>
        <w:t xml:space="preserve">Return on equity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R</m:t>
            </m:r>
            <m:r>
              <m:rPr>
                <m:sty m:val="b"/>
              </m:rPr>
              <m:t>O</m:t>
            </m:r>
            <m:r>
              <m:rPr>
                <m:sty m:val="b"/>
              </m:rPr>
              <m:t>E</m:t>
            </m:r>
          </m:e>
        </m:d>
      </m:oMath>
      <w:r>
        <w:t xml:space="preserve"> </w:t>
      </w:r>
      <w:r>
        <w:t xml:space="preserve">: (net income)/(shareholder’s equity)</w:t>
      </w:r>
      <w:r>
        <w:t xml:space="preserve"> </w:t>
      </w:r>
      <w:r>
        <w:t xml:space="preserve">It measures a company’s profitability by revealing how much profit it generates with the money shareholders have invested. Note that for a company that pays dividend only for common stock, this measure becomes</w:t>
      </w:r>
      <w:r>
        <w:t xml:space="preserve"> </w:t>
      </w:r>
      <m:oMath>
        <m:r>
          <m:t>R</m:t>
        </m:r>
        <m:r>
          <m:t>O</m:t>
        </m:r>
        <m:r>
          <m:t>E</m:t>
        </m:r>
        <m:r>
          <m:rPr>
            <m:sty m:val="p"/>
          </m:rPr>
          <m:t>=</m:t>
        </m:r>
        <m:r>
          <m:t>E</m:t>
        </m:r>
        <m:r>
          <m:t>P</m:t>
        </m:r>
        <m:r>
          <m:t>S</m:t>
        </m:r>
        <m:r>
          <m:rPr>
            <m:sty m:val="p"/>
          </m:rPr>
          <m:t>/</m:t>
        </m:r>
      </m:oMath>
      <w:r>
        <w:t xml:space="preserve"> </w:t>
      </w:r>
      <w:r>
        <w:t xml:space="preserve">Equity, which is the most frequent used form. Many analysts use this</w:t>
      </w:r>
      <w:r>
        <w:t xml:space="preserve"> </w:t>
      </w:r>
      <m:oMath>
        <m:r>
          <m:t>R</m:t>
        </m:r>
        <m:r>
          <m:t>O</m:t>
        </m:r>
        <m:r>
          <m:t>E</m:t>
        </m:r>
      </m:oMath>
      <w:r>
        <w:t xml:space="preserve"> </w:t>
      </w:r>
      <w:r>
        <w:t xml:space="preserve">to estimate the long term dividend growth rate: the parameter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the perpetual growth DCF model for computing present value (Chap. 1, Eq. (1.120)). The estimation is done with the equation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D</m:t>
                </m:r>
                <m:r>
                  <m:t>I</m:t>
                </m:r>
                <m:r>
                  <m:t>V</m:t>
                </m:r>
              </m:num>
              <m:den>
                <m:r>
                  <m:t>E</m:t>
                </m:r>
                <m:r>
                  <m:t>P</m:t>
                </m:r>
                <m:r>
                  <m:t>S</m:t>
                </m:r>
              </m:den>
            </m:f>
          </m:e>
        </m:d>
        <m:r>
          <m:rPr>
            <m:sty m:val="p"/>
          </m:rPr>
          <m:t>⋅</m:t>
        </m:r>
        <m:r>
          <m:t>R</m:t>
        </m:r>
        <m:r>
          <m:t>O</m:t>
        </m:r>
        <m:r>
          <m:t>E</m:t>
        </m:r>
      </m:oMath>
      <w:r>
        <w:t xml:space="preserve">, which expresses the dividend growth rate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as the ratio of reinvesment after payment of dividends per share’s earnings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I</m:t>
            </m:r>
            <m:r>
              <m:t>V</m:t>
            </m:r>
            <m:r>
              <m:rPr>
                <m:sty m:val="p"/>
              </m:rPr>
              <m:t>/</m:t>
            </m:r>
            <m:r>
              <m:t>E</m:t>
            </m:r>
            <m:r>
              <m:t>P</m:t>
            </m:r>
            <m:r>
              <m:t>S</m:t>
            </m:r>
          </m:e>
        </m:d>
      </m:oMath>
      <w:r>
        <w:t xml:space="preserve"> </w:t>
      </w:r>
      <w:r>
        <w:t xml:space="preserve">multiply by the factor of return on equity.</w:t>
      </w:r>
      <w:r>
        <w:t xml:space="preserve"> </w:t>
      </w:r>
      <w:r>
        <w:t xml:space="preserve">Return on capital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b"/>
          </m:rPr>
          <m:t>R</m:t>
        </m:r>
        <m:r>
          <m:rPr>
            <m:sty m:val="b"/>
          </m:rPr>
          <m:t>O</m:t>
        </m:r>
      </m:oMath>
      <w:r>
        <w:t xml:space="preserve"> </w:t>
      </w:r>
      <w:r>
        <w:t xml:space="preserve">C): (net income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after-tax interest)/(total capital)</w:t>
      </w:r>
      <w:r>
        <w:t xml:space="preserve"> </w:t>
      </w:r>
      <w:r>
        <w:t xml:space="preserve">The total capital is the sum of shareholder’s equity and long-term debt. Thus, the ROC measures the proportion of return obtained from investing the money borrowed or owned. It is also useful for calculating the economic value added (EVA) for a company, which is the profit obtained after deducting all costs, including the expected return on all the company’s securities (known as cost of capital). This is the case, since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 cost of capital </m:t>
                  </m:r>
                </m:e>
              </m:d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 total capital </m:t>
              </m:r>
            </m:e>
          </m:d>
        </m:oMath>
      </m:oMathPara>
    </w:p>
    <w:p>
      <w:pPr>
        <w:pStyle w:val="FirstParagraph"/>
      </w:pPr>
      <w:r>
        <w:t xml:space="preserve">Return on assets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R</m:t>
            </m:r>
            <m:r>
              <m:rPr>
                <m:sty m:val="b"/>
              </m:rPr>
              <m:t>O</m:t>
            </m:r>
            <m:r>
              <m:rPr>
                <m:sty m:val="b"/>
              </m:rPr>
              <m:t>A</m:t>
            </m:r>
          </m:e>
        </m:d>
      </m:oMath>
      <w:r>
        <w:t xml:space="preserve"> </w:t>
      </w:r>
      <w:r>
        <w:t xml:space="preserve">: (net income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after-tax interest)/(total assets)</w:t>
      </w:r>
      <w:r>
        <w:t xml:space="preserve"> </w:t>
      </w:r>
      <w:r>
        <w:t xml:space="preserve">The proportion of the return obtained from operations financed with the company’s total liabilities plus shareholder’s equity (i.e. its total assets).</w:t>
      </w:r>
    </w:p>
    <w:p>
      <w:pPr>
        <w:pStyle w:val="BodyText"/>
      </w:pPr>
      <w:r>
        <w:t xml:space="preserve">Efficiency measures: These measures are answers to the question: Is the company allocating resources efficiently?</w:t>
      </w:r>
      <w:r>
        <w:t xml:space="preserve"> </w:t>
      </w:r>
      <w:r>
        <w:t xml:space="preserve">Asset turnover: (sales)/(total assets at start of year)</w:t>
      </w:r>
      <w:r>
        <w:t xml:space="preserve"> </w:t>
      </w:r>
      <w:r>
        <w:t xml:space="preserve">A profit ratio of the amount of sales for each euro invested in resources.</w:t>
      </w:r>
      <w:r>
        <w:t xml:space="preserve"> </w:t>
      </w:r>
      <w:r>
        <w:t xml:space="preserve">Inventory turnover: (costs of assets sold)/(inventory at start of year)</w:t>
      </w:r>
      <w:r>
        <w:t xml:space="preserve"> </w:t>
      </w:r>
      <w:r>
        <w:t xml:space="preserve">A factor of how rapidly a company turns inventories into cash. A low value (e.g. </w:t>
      </w:r>
      <m:oMath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) means poor sales and excess of inventory.</w:t>
      </w:r>
      <w:r>
        <w:t xml:space="preserve"> </w:t>
      </w:r>
      <w:r>
        <w:t xml:space="preserve">Profit margin: (net income)/(sales)</w:t>
      </w:r>
      <w:r>
        <w:t xml:space="preserve"> </w:t>
      </w:r>
      <w:r>
        <w:t xml:space="preserve">The proportion of sales that actually turn into profits.</w:t>
      </w:r>
      <w:r>
        <w:t xml:space="preserve"> </w:t>
      </w:r>
      <w:r>
        <w:t xml:space="preserve">Leverage measures: with this class of indicators we want to determine the level of debt.</w:t>
      </w:r>
      <w:r>
        <w:t xml:space="preserve"> </w:t>
      </w:r>
      <w:r>
        <w:t xml:space="preserve">Debt ratio: (total liabilities)/(total assets)</w:t>
      </w:r>
      <w:r>
        <w:t xml:space="preserve"> </w:t>
      </w:r>
      <w:r>
        <w:t xml:space="preserve">A high ratio means a high leveraged company.</w:t>
      </w:r>
      <w:r>
        <w:t xml:space="preserve"> </w:t>
      </w:r>
      <w:r>
        <w:t xml:space="preserve">Times-interest-earned ratio: EBIT/(interest payments)</w:t>
      </w:r>
      <w:r>
        <w:t xml:space="preserve"> </w:t>
      </w:r>
      <w:r>
        <w:t xml:space="preserve">A factor of coverage of interest obligations by earnings. Values below 2 may indicate lack of money to pay interests.</w:t>
      </w:r>
      <w:r>
        <w:t xml:space="preserve"> </w:t>
      </w:r>
      <w:r>
        <w:t xml:space="preserve">Cash-coverage ratio: (EBIT + depretiation)/(interest payments)</w:t>
      </w:r>
      <w:r>
        <w:t xml:space="preserve"> </w:t>
      </w:r>
      <w:r>
        <w:t xml:space="preserve">A factor of coverage of interest obligations by all the operating cash.</w:t>
      </w:r>
      <w:r>
        <w:t xml:space="preserve"> </w:t>
      </w:r>
      <w:r>
        <w:t xml:space="preserve">Liquidity measures: What’s the company’s capability of changing the flow of cash? (e.g., converting assets into cash, paying short term bills)</w:t>
      </w:r>
    </w:p>
    <w:p>
      <w:pPr>
        <w:pStyle w:val="BodyText"/>
      </w:pPr>
      <w:r>
        <w:t xml:space="preserve">Working capital: (current assets) - (current liabilities)</w:t>
      </w:r>
      <w:r>
        <w:t xml:space="preserve"> </w:t>
      </w:r>
      <w:r>
        <w:t xml:space="preserve">This is the most basic measure of a company’s liquidity; it gives the amount of cash that the company can have immediately.</w:t>
      </w:r>
      <w:r>
        <w:t xml:space="preserve"> </w:t>
      </w:r>
      <w:r>
        <w:t xml:space="preserve">Working-capital to assets: (working capital)/(total assets)</w:t>
      </w:r>
      <w:r>
        <w:t xml:space="preserve"> </w:t>
      </w:r>
      <w:r>
        <w:t xml:space="preserve">The proportion of all resources that represent working capital.</w:t>
      </w:r>
      <w:r>
        <w:t xml:space="preserve"> </w:t>
      </w:r>
      <w:r>
        <w:t xml:space="preserve">Current ratio: (current assets)/(current liabilities)</w:t>
      </w:r>
      <w:r>
        <w:t xml:space="preserve"> </w:t>
      </w:r>
      <w:r>
        <w:t xml:space="preserve">A value</w:t>
      </w:r>
      <w:r>
        <w:t xml:space="preserve"> </w:t>
      </w:r>
      <m:oMath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shows liquidity problems, a negative working capital.</w:t>
      </w:r>
    </w:p>
    <w:bookmarkEnd w:id="22"/>
    <w:bookmarkStart w:id="23" w:name="value-investing"/>
    <w:p>
      <w:pPr>
        <w:pStyle w:val="Heading1"/>
      </w:pPr>
      <w:r>
        <w:t xml:space="preserve">6.2.4 Value Investing</w:t>
      </w:r>
    </w:p>
    <w:p>
      <w:pPr>
        <w:pStyle w:val="FirstParagraph"/>
      </w:pPr>
      <w:r>
        <w:t xml:space="preserve">How to use the value indicators to construct a set of criteria for good stock selection?</w:t>
      </w:r>
      <w:r>
        <w:t xml:space="preserve"> </w:t>
      </w:r>
      <w:r>
        <w:t xml:space="preserve">Different value investing professionals have his or her own particular combination of</w:t>
      </w:r>
      <w:r>
        <w:t xml:space="preserve"> </w:t>
      </w:r>
      <w:r>
        <w:t xml:space="preserve">financial ratios, selected from the ones listed in the previous section, or others drawn</w:t>
      </w:r>
      <w:r>
        <w:t xml:space="preserve"> </w:t>
      </w:r>
      <w:r>
        <w:t xml:space="preserve">from their own research and experience, to make a selection of potentially profitable</w:t>
      </w:r>
      <w:r>
        <w:t xml:space="preserve"> </w:t>
      </w:r>
      <w:r>
        <w:t xml:space="preserve">6.2 Fundamental Analysis 203</w:t>
      </w:r>
      <w:r>
        <w:t xml:space="preserve"> </w:t>
      </w:r>
      <w:r>
        <w:t xml:space="preserve">stocks. But all, more or less, will coincide to some extend with Graham’s own set of</w:t>
      </w:r>
      <w:r>
        <w:t xml:space="preserve"> </w:t>
      </w:r>
      <w:r>
        <w:t xml:space="preserve">guiding principles for acquiring value stock. So let us review Graham’s fundamental</w:t>
      </w:r>
      <w:r>
        <w:t xml:space="preserve"> </w:t>
      </w:r>
      <w:r>
        <w:t xml:space="preserve">investment policies (updated to today’s market conditions) from (Graham 2003,</w:t>
      </w:r>
      <w:r>
        <w:t xml:space="preserve"> </w:t>
      </w:r>
      <w:r>
        <w:t xml:space="preserve">Chap. 14):</w:t>
      </w:r>
      <w:r>
        <w:t xml:space="preserve"> </w:t>
      </w:r>
      <w:r>
        <w:t xml:space="preserve">(1) Adequate size of the enterprise. The recommendation is to exclude companies</w:t>
      </w:r>
      <w:r>
        <w:t xml:space="preserve"> </w:t>
      </w:r>
      <w:r>
        <w:t xml:space="preserve">with low revenues. Graham advises to consider companies with more than $100</w:t>
      </w:r>
      <w:r>
        <w:t xml:space="preserve"> </w:t>
      </w:r>
      <w:r>
        <w:t xml:space="preserve">million of annual sales. But that was back in 1973, so to adjust that lower bound</w:t>
      </w:r>
      <w:r>
        <w:t xml:space="preserve"> </w:t>
      </w:r>
      <w:r>
        <w:t xml:space="preserve">to our times, compound that basic amount with a reasonable yearly interest rate,</w:t>
      </w:r>
      <w:r>
        <w:t xml:space="preserve"> </w:t>
      </w:r>
      <w:r>
        <w:t xml:space="preserve">say 7%, for the number of years from that date to today, to get 100(1+0.07)40 =</w:t>
      </w:r>
      <w:r>
        <w:t xml:space="preserve"> </w:t>
      </w:r>
      <w:r>
        <w:t xml:space="preserve">1497.45, that is $1.5 billions in revenues.</w:t>
      </w:r>
      <w:r>
        <w:t xml:space="preserve"> </w:t>
      </w:r>
      <w:r>
        <w:t xml:space="preserve">(2) Strong financial condition. The company’s current assets should be at least twice</w:t>
      </w:r>
      <w:r>
        <w:t xml:space="preserve"> </w:t>
      </w:r>
      <w:r>
        <w:t xml:space="preserve">current liabilities (a 2-to-1 current ratio), and must have a positive working</w:t>
      </w:r>
      <w:r>
        <w:t xml:space="preserve"> </w:t>
      </w:r>
      <w:r>
        <w:t xml:space="preserve">capital.</w:t>
      </w:r>
      <w:r>
        <w:t xml:space="preserve"> </w:t>
      </w:r>
      <w:r>
        <w:t xml:space="preserve">(3) Earnings stability. The company should have positive earnings in each of the</w:t>
      </w:r>
      <w:r>
        <w:t xml:space="preserve"> </w:t>
      </w:r>
      <w:r>
        <w:t xml:space="preserve">past ten years.</w:t>
      </w:r>
      <w:r>
        <w:t xml:space="preserve"> </w:t>
      </w:r>
      <w:r>
        <w:t xml:space="preserve">(4) Dividend record. Uninterrupted payments of dividends for at least the past 20</w:t>
      </w:r>
      <w:r>
        <w:t xml:space="preserve"> </w:t>
      </w:r>
      <w:r>
        <w:t xml:space="preserve">years.</w:t>
      </w:r>
      <w:r>
        <w:t xml:space="preserve"> </w:t>
      </w:r>
      <w:r>
        <w:t xml:space="preserve">(5) Earnings growth. An increase of 33% on the last three-years average of earnings</w:t>
      </w:r>
      <w:r>
        <w:t xml:space="preserve"> </w:t>
      </w:r>
      <w:r>
        <w:t xml:space="preserve">per share (EPS), with respect to the three-years average EPS of a decade ago.</w:t>
      </w:r>
      <w:r>
        <w:t xml:space="preserve"> </w:t>
      </w:r>
      <w:r>
        <w:t xml:space="preserve">This really amounts to a 3% average annual increase, which is not a very hard</w:t>
      </w:r>
      <w:r>
        <w:t xml:space="preserve"> </w:t>
      </w:r>
      <w:r>
        <w:t xml:space="preserve">test to pass.</w:t>
      </w:r>
      <w:r>
        <w:t xml:space="preserve"> </w:t>
      </w:r>
      <w:r>
        <w:t xml:space="preserve">(6) Moderate P/E ratio. Graham recommends a P/E in between 10 and 15 (or for a</w:t>
      </w:r>
      <w:r>
        <w:t xml:space="preserve"> </w:t>
      </w:r>
      <w:r>
        <w:t xml:space="preserve">precise quantity apply Eq. (6.10)).</w:t>
      </w:r>
      <w:r>
        <w:t xml:space="preserve"> </w:t>
      </w:r>
      <w:r>
        <w:t xml:space="preserve">(7) Moderate price-to-book ratio. The price-to-book ratio should be no more than</w:t>
      </w:r>
      <w:r>
        <w:t xml:space="preserve"> </w:t>
      </w:r>
      <w:r>
        <w:t xml:space="preserve">1.5.</w:t>
      </w:r>
      <w:r>
        <w:t xml:space="preserve"> </w:t>
      </w:r>
      <w:r>
        <w:t xml:space="preserve">(8) The last two tests can be combined, as we shall explain, if it is the case that</w:t>
      </w:r>
      <w:r>
        <w:t xml:space="preserve"> </w:t>
      </w:r>
      <w:r>
        <w:t xml:space="preserve">the P/E ratio is in the lower bound (and possibly below) or the price-to-book</w:t>
      </w:r>
      <w:r>
        <w:t xml:space="preserve"> </w:t>
      </w:r>
      <w:r>
        <w:t xml:space="preserve">ratio is slightly above 1.5. The combined P/E and P/B test suggested by Graham,</w:t>
      </w:r>
      <w:r>
        <w:t xml:space="preserve"> </w:t>
      </w:r>
      <w:r>
        <w:t xml:space="preserve">consists on calculating the product of the P/E times the P/B ratio, and this should</w:t>
      </w:r>
      <w:r>
        <w:t xml:space="preserve"> </w:t>
      </w:r>
      <w:r>
        <w:t xml:space="preserve">not exceed 22.5 (this figure corresponds to 15 times earnings and 1.5 times book</w:t>
      </w:r>
      <w:r>
        <w:t xml:space="preserve"> </w:t>
      </w:r>
      <w:r>
        <w:t xml:space="preserve">value). This alternative admits stocks selling at, for example, 9 times earnings</w:t>
      </w:r>
    </w:p>
    <w:p>
      <w:pPr>
        <w:pStyle w:val="BodyText"/>
      </w:pPr>
      <w:r>
        <w:t xml:space="preserve">and</w:t>
      </w:r>
      <w:r>
        <w:t xml:space="preserve"> </w:t>
      </w:r>
      <m:oMath>
        <m:r>
          <m:t>2.5</m:t>
        </m:r>
      </m:oMath>
      <w:r>
        <w:t xml:space="preserve"> </w:t>
      </w:r>
      <w:r>
        <w:t xml:space="preserve">times book value. Note that equating the combined ratio with the upper bound of</w:t>
      </w:r>
      <w:r>
        <w:t xml:space="preserve"> </w:t>
      </w:r>
      <m:oMath>
        <m:r>
          <m:t>22.5</m:t>
        </m:r>
      </m:oMath>
      <w:r>
        <w:t xml:space="preserve"> </w:t>
      </w:r>
      <w:r>
        <w:t xml:space="preserve">we get</w:t>
      </w:r>
      <w:r>
        <w:t xml:space="preserve"> </w:t>
      </w:r>
      <m:oMath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num>
          <m:den>
            <m:r>
              <m:t>E</m:t>
            </m:r>
            <m:r>
              <m:t>P</m:t>
            </m:r>
            <m:r>
              <m:t>S</m:t>
            </m:r>
            <m:r>
              <m:rPr>
                <m:sty m:val="p"/>
              </m:rPr>
              <m:t>⋅</m:t>
            </m:r>
            <m:r>
              <m:t>B</m:t>
            </m:r>
            <m:r>
              <m:t>V</m:t>
            </m:r>
            <m:r>
              <m:t>P</m:t>
            </m:r>
            <m:r>
              <m:t>S</m:t>
            </m:r>
          </m:den>
        </m:f>
        <m:r>
          <m:rPr>
            <m:sty m:val="p"/>
          </m:rPr>
          <m:t>=</m:t>
        </m:r>
        <m:r>
          <m:t>P</m:t>
        </m:r>
        <m:r>
          <m:rPr>
            <m:sty m:val="p"/>
          </m:rPr>
          <m:t>/</m:t>
        </m:r>
        <m:r>
          <m:t>E</m:t>
        </m:r>
        <m:r>
          <m:rPr>
            <m:sty m:val="p"/>
          </m:rPr>
          <m:t>⋅</m:t>
        </m:r>
        <m:r>
          <m:t>P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t>22.5</m:t>
        </m:r>
      </m:oMath>
      <w:r>
        <w:t xml:space="preserve">, from where one obtains the Graham number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22.5</m:t>
              </m:r>
              <m:r>
                <m:rPr>
                  <m:sty m:val="p"/>
                </m:rPr>
                <m:t>⋅</m:t>
              </m:r>
              <m:r>
                <m:t>E</m:t>
              </m:r>
              <m:r>
                <m:t>P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B</m:t>
              </m:r>
              <m:r>
                <m:t>V</m:t>
              </m:r>
              <m:r>
                <m:t>P</m:t>
              </m:r>
              <m:r>
                <m:t>S</m:t>
              </m:r>
            </m:e>
          </m:rad>
        </m:oMath>
      </m:oMathPara>
    </w:p>
    <w:p>
      <w:pPr>
        <w:pStyle w:val="FirstParagraph"/>
      </w:pPr>
      <w:r>
        <w:t xml:space="preserve">an estimate of the price of a stock under the value test by Graham. Any stock that passes the tests (1)-(5) and with a market price below the value calculated by Eq. (6.11) is considered a buying opportunity by Graham’s criteria.</w:t>
      </w:r>
    </w:p>
    <w:p>
      <w:pPr>
        <w:pStyle w:val="BodyText"/>
      </w:pPr>
      <w:r>
        <w:t xml:space="preserve">By the end of 1970 the DJIA passed Graham’s test (1)-(7), but only five individual stocks from this market passed the test: American Can, ATT, Anaconda, Swift,</w:t>
      </w:r>
    </w:p>
    <w:p>
      <w:pPr>
        <w:pStyle w:val="BodyText"/>
      </w:pPr>
      <w:r>
        <w:t xml:space="preserve">and Woolworth, and this group performed better than the index.8 This reinforces</w:t>
      </w:r>
      <w:r>
        <w:t xml:space="preserve"> </w:t>
      </w:r>
      <w:r>
        <w:t xml:space="preserve">the advantages of diversification: a large and well diversified portfolio has greater</w:t>
      </w:r>
      <w:r>
        <w:t xml:space="preserve"> </w:t>
      </w:r>
      <w:r>
        <w:t xml:space="preserve">chance of being conservative and profitable; on the other hand, stock picking with</w:t>
      </w:r>
      <w:r>
        <w:t xml:space="preserve"> </w:t>
      </w:r>
      <w:r>
        <w:t xml:space="preserve">a conservative criteria which primes intrinsic value, may optimize the portfolio in</w:t>
      </w:r>
      <w:r>
        <w:t xml:space="preserve"> </w:t>
      </w:r>
      <w:r>
        <w:t xml:space="preserve">size and profits. Doing a likewise screening and valuation of 4700 NYSE and NASDAQ stocks in 2013 gives also a very small amount of issues meeting Graham’s</w:t>
      </w:r>
      <w:r>
        <w:t xml:space="preserve"> </w:t>
      </w:r>
      <w:r>
        <w:t xml:space="preserve">test.9 There are several internet sites that perform stock market valuation based on</w:t>
      </w:r>
      <w:r>
        <w:t xml:space="preserve"> </w:t>
      </w:r>
      <w:r>
        <w:t xml:space="preserve">Graham’s criteria, or other combination of indicators established by some of his</w:t>
      </w:r>
      <w:r>
        <w:t xml:space="preserve"> </w:t>
      </w:r>
      <w:r>
        <w:t xml:space="preserve">notable disciples.10 Alternative the reader can build his or her own stock screener</w:t>
      </w:r>
      <w:r>
        <w:t xml:space="preserve"> </w:t>
      </w:r>
      <w:r>
        <w:t xml:space="preserve">and fundamental valuation in R, using the tools exhibited in R Example 6.2.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6.2 Fundamental Analysis</dc:title>
  <dc:creator>Ming Lu</dc:creator>
  <cp:keywords/>
  <dcterms:created xsi:type="dcterms:W3CDTF">2022-04-02T11:47:24Z</dcterms:created>
  <dcterms:modified xsi:type="dcterms:W3CDTF">2022-04-02T11:47:24Z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2022-04-02</vt:lpwstr>
  </property>
  <property fmtid="{D5CDD505-2E9C-101B-9397-08002B2CF9AE}" pid="3" name="output">
    <vt:lpwstr>word_document</vt:lpwstr>
  </property>
</Properties>
</file>