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color w:val="000000"/>
        </w:rPr>
        <w:t xml:space="preserve">框架与契约 / FRAMEWORK</w:t>
      </w:r>
    </w:p>
    <w:p>
      <w:pPr>
        <w:pStyle w:val="Normal"/>
      </w:pPr>
      <w:r>
        <w:rPr>
          <w:color w:val="000000"/>
        </w:rPr>
        <w:t xml:space="preserve">变更/风险/依赖控制：登记拥有者、触发条件、缓解/验证、影响需求/接口/资源/测试、兼容和回退；沿用项目决策编号，锁定契约不自行修改。</w:t>
      </w:r>
    </w:p>
    <w:p>
      <w:pPr>
        <w:pStyle w:val="Note"/>
      </w:pPr>
      <w:r>
        <w:rPr>
          <w:color w:val="000000"/>
        </w:rPr>
        <w:t xml:space="preserve">模板 v1.1.0；&lt;待填&gt; 是占位，不是设计事实。优先索引已有架构、协议与决策，不重写章程或锁定需求。</w:t>
      </w:r>
    </w:p>
    <w:p>
      <w:pPr>
        <w:pStyle w:val="Heading1"/>
      </w:pPr>
      <w:r>
        <w:rPr>
          <w:color w:val="000000"/>
        </w:rPr>
        <w:t xml:space="preserve">文档控制</w:t>
      </w:r>
    </w:p>
    <w:p>
      <w:pPr>
        <w:pStyle w:val="List"/>
      </w:pPr>
      <w:r>
        <w:rPr>
          <w:color w:val="000000"/>
        </w:rPr>
        <w:t xml:space="preserve">• 项目 / 版本 / 日期 / 已批准基线：&lt;待填&gt;</w:t>
      </w:r>
    </w:p>
    <w:p>
      <w:pPr>
        <w:pStyle w:val="List"/>
      </w:pPr>
      <w:r>
        <w:rPr>
          <w:color w:val="000000"/>
        </w:rPr>
        <w:t xml:space="preserve">• 目标源：PROJECT_GOALS.md；实际项目权威路径：&lt;待填&gt;</w:t>
      </w:r>
    </w:p>
    <w:p>
      <w:pPr>
        <w:pStyle w:val="List"/>
      </w:pPr>
      <w:r>
        <w:rPr>
          <w:color w:val="000000"/>
        </w:rPr>
        <w:t xml:space="preserve">• 架构、契约、决策原有 SSOT / 本文件角色：&lt;待填&gt;</w:t>
      </w:r>
    </w:p>
    <w:p>
      <w:pPr>
        <w:pStyle w:val="List"/>
      </w:pPr>
      <w:r>
        <w:rPr>
          <w:color w:val="000000"/>
        </w:rPr>
        <w:t xml:space="preserve">• Word 配对：FRAMEWORK.docx；源 MD SHA256、版本、生成时间：&lt;待填，由生成流程填写&gt;</w:t>
      </w:r>
    </w:p>
    <w:p>
      <w:pPr>
        <w:pStyle w:val="Heading1"/>
      </w:pPr>
      <w:r>
        <w:rPr>
          <w:color w:val="000000"/>
        </w:rPr>
        <w:t xml:space="preserve">模块与资源所有权</w:t>
      </w:r>
    </w:p>
    <w:tbl>
      <w:tblPr>
        <w:tblW w:w="9638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417"/>
        <w:gridCol w:w="1417"/>
        <w:gridCol w:w="2267"/>
        <w:gridCol w:w="3118"/>
        <w:gridCol w:w="1419"/>
      </w:tblGrid>
      <w:tr>
        <w:trPr>
          <w:cantSplit/>
          <w:tblHeader/>
        </w:trPr>
        <w:tc>
          <w:tcPr>
            <w:tcW w:w="1417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模块</w:t>
            </w:r>
          </w:p>
        </w:tc>
        <w:tc>
          <w:tcPr>
            <w:tcW w:w="1417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职责与边界</w:t>
            </w:r>
          </w:p>
        </w:tc>
        <w:tc>
          <w:tcPr>
            <w:tcW w:w="2267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输入/输出与状态</w:t>
            </w:r>
          </w:p>
        </w:tc>
        <w:tc>
          <w:tcPr>
            <w:tcW w:w="3118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资源/线程/中断所有者</w:t>
            </w:r>
          </w:p>
        </w:tc>
        <w:tc>
          <w:tcPr>
            <w:tcW w:w="1419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失败及恢复</w:t>
            </w:r>
          </w:p>
        </w:tc>
      </w:tr>
      <w:tr>
        <w:trPr>
          <w:cantSplit/>
        </w:trPr>
        <w:tc>
          <w:tcPr>
            <w:tcW w:w="1417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1417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2267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3118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1419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</w:tr>
    </w:tbl>
    <w:p>
      <w:pPr>
        <w:spacing w:after="60" w:line="40" w:lineRule="exact"/>
      </w:pPr>
    </w:p>
    <w:p>
      <w:pPr>
        <w:pStyle w:val="Heading1"/>
      </w:pPr>
      <w:r>
        <w:rPr>
          <w:color w:val="000000"/>
        </w:rPr>
        <w:t xml:space="preserve">接口与控制不变量</w:t>
      </w:r>
    </w:p>
    <w:p>
      <w:pPr>
        <w:pStyle w:val="List"/>
      </w:pPr>
      <w:r>
        <w:rPr>
          <w:color w:val="000000"/>
        </w:rPr>
        <w:t xml:space="preserve">• 协议 / 单位 / 范围 / 编码 / 超时 / 兼容：&lt;待填，链接既有契约&gt;</w:t>
      </w:r>
    </w:p>
    <w:p>
      <w:pPr>
        <w:pStyle w:val="List"/>
      </w:pPr>
      <w:r>
        <w:rPr>
          <w:color w:val="000000"/>
        </w:rPr>
        <w:t xml:space="preserve">• 请求、接收、执行、生效、完成的不同含义：&lt;待填&gt;</w:t>
      </w:r>
    </w:p>
    <w:p>
      <w:pPr>
        <w:pStyle w:val="List"/>
      </w:pPr>
      <w:r>
        <w:rPr>
          <w:color w:val="000000"/>
        </w:rPr>
        <w:t xml:space="preserve">• 状态迁移、联锁、控制权及异常路径：&lt;待填&gt;</w:t>
      </w:r>
    </w:p>
    <w:p>
      <w:pPr>
        <w:pStyle w:val="List"/>
      </w:pPr>
      <w:r>
        <w:rPr>
          <w:color w:val="000000"/>
        </w:rPr>
        <w:t xml:space="preserve">• 配置来源优先级、传输、生效与读回链：&lt;待填&gt;</w:t>
      </w:r>
    </w:p>
    <w:p>
      <w:pPr>
        <w:pStyle w:val="List"/>
      </w:pPr>
      <w:r>
        <w:rPr>
          <w:color w:val="000000"/>
        </w:rPr>
        <w:t xml:space="preserve">• 适用时序/CPU/内存/带宽/功耗预算与测法：&lt;待填；无来源阈值记 unknown&gt;</w:t>
      </w:r>
    </w:p>
    <w:p>
      <w:pPr>
        <w:pStyle w:val="Heading1"/>
      </w:pPr>
      <w:r>
        <w:rPr>
          <w:color w:val="000000"/>
        </w:rPr>
        <w:t xml:space="preserve">决策与验证影响</w:t>
      </w:r>
    </w:p>
    <w:p>
      <w:pPr>
        <w:pStyle w:val="List"/>
      </w:pPr>
      <w:r>
        <w:rPr>
          <w:color w:val="000000"/>
        </w:rPr>
        <w:t xml:space="preserve">• 采用方案 / 依据 / 代价 / 回退：&lt;待填&gt;</w:t>
      </w:r>
    </w:p>
    <w:p>
      <w:pPr>
        <w:pStyle w:val="List"/>
      </w:pPr>
      <w:r>
        <w:rPr>
          <w:color w:val="000000"/>
        </w:rPr>
        <w:t xml:space="preserve">• 不可变约束与受影响需求 ID：&lt;待填&gt;</w:t>
      </w:r>
    </w:p>
    <w:p>
      <w:pPr>
        <w:pStyle w:val="List"/>
      </w:pPr>
      <w:r>
        <w:rPr>
          <w:color w:val="000000"/>
        </w:rPr>
        <w:t xml:space="preserve">• 设计验证 / 兼容回归 / 实机验证映射：&lt;待填&gt;</w:t>
      </w:r>
    </w:p>
    <w:p>
      <w:pPr>
        <w:pStyle w:val="List"/>
      </w:pPr>
      <w:r>
        <w:rPr>
          <w:color w:val="000000"/>
        </w:rPr>
        <w:t xml:space="preserve">• 未决接口事实及阻塞范围：&lt;待填&gt;</w:t>
      </w:r>
    </w:p>
    <w:p>
      <w:pPr>
        <w:pStyle w:val="Normal"/>
      </w:pPr>
      <w:r>
        <w:rPr>
          <w:color w:val="000000"/>
        </w:rPr>
        <w:t xml:space="preserve">计划与验收：DEVELOPMENT_PLAN.md、ACCEPTANCE.md；恢复索引：PROJECT_STATE.md。</w:t>
      </w:r>
    </w:p>
    <w:sectPr>
      <w:pgSz w:w="11906" w:h="16838"/>
      <w:pgMar w:top="1000" w:right="1134" w:bottom="1000" w:left="1134" w:header="0" w:foo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80" w:line="270" w:lineRule="auto"/>
      <w:widowControl/>
    </w:pPr>
    <w:rPr>
      <w:rFonts w:ascii="Calibri" w:hAnsi="Calibri" w:eastAsia="宋体"/>
      <w:sz w:val="21"/>
      <w:color w:val="000000"/>
      <w:lang w:val="en-US" w:eastAsia="zh-CN"/>
    </w:rPr>
  </w:style>
  <w:style w:type="paragraph" w:styleId="Title">
    <w:name w:val="Title"/>
    <w:basedOn w:val="Normal"/>
    <w:next w:val="Normal"/>
    <w:pPr>
      <w:keepNext/>
      <w:keepLines/>
      <w:spacing w:before="0" w:after="220"/>
    </w:pPr>
    <w:rPr>
      <w:rFonts w:eastAsia="黑体"/>
      <w:b/>
      <w:sz w:val="36"/>
      <w:color w:val="000000"/>
    </w:rPr>
  </w:style>
  <w:style w:type="paragraph" w:styleId="Heading1">
    <w:name w:val="Heading1"/>
    <w:basedOn w:val="Normal"/>
    <w:next w:val="Normal"/>
    <w:pPr>
      <w:keepNext/>
      <w:keepLines/>
      <w:spacing w:before="220" w:after="130"/>
      <w:outlineLvl w:val="0"/>
    </w:pPr>
    <w:rPr>
      <w:rFonts w:eastAsia="黑体"/>
      <w:b/>
      <w:sz w:val="28"/>
      <w:color w:val="000000"/>
    </w:rPr>
  </w:style>
  <w:style w:type="paragraph" w:styleId="Heading2">
    <w:name w:val="Heading2"/>
    <w:basedOn w:val="Normal"/>
    <w:next w:val="Normal"/>
    <w:pPr>
      <w:keepNext/>
      <w:keepLines/>
      <w:spacing w:before="180" w:after="100"/>
      <w:outlineLvl w:val="1"/>
    </w:pPr>
    <w:rPr>
      <w:rFonts w:eastAsia="黑体"/>
      <w:b/>
      <w:sz w:val="24"/>
      <w:color w:val="000000"/>
    </w:rPr>
  </w:style>
  <w:style w:type="paragraph" w:styleId="Heading3">
    <w:name w:val="Heading3"/>
    <w:basedOn w:val="Normal"/>
    <w:next w:val="Normal"/>
    <w:pPr>
      <w:keepNext/>
      <w:keepLines/>
      <w:spacing w:before="150" w:after="80"/>
      <w:outlineLvl w:val="2"/>
    </w:pPr>
    <w:rPr>
      <w:rFonts w:eastAsia="黑体"/>
      <w:b/>
      <w:sz w:val="22"/>
      <w:color w:val="000000"/>
    </w:rPr>
  </w:style>
  <w:style w:type="paragraph" w:styleId="List">
    <w:name w:val="List"/>
    <w:basedOn w:val="Normal"/>
    <w:pPr>
      <w:ind w:left="220" w:hanging="220"/>
    </w:pPr>
  </w:style>
  <w:style w:type="paragraph" w:styleId="Note">
    <w:name w:val="Note"/>
    <w:basedOn w:val="Normal"/>
    <w:rPr>
      <w:sz w:val="20"/>
    </w:rPr>
  </w:style>
  <w:style w:type="paragraph" w:styleId="Code">
    <w:name w:val="Code"/>
    <w:basedOn w:val="Normal"/>
    <w:pPr>
      <w:spacing w:after="0"/>
    </w:pPr>
    <w:rPr>
      <w:rFonts w:ascii="Consolas" w:hAnsi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Markdown">
    <vt:lpwstr>FRAMEWORK.md</vt:lpwstr>
  </property>
  <property fmtid="{D5CDD505-2E9C-101B-9397-08002B2CF9AE}" pid="3" name="SourceSHA256">
    <vt:lpwstr>ef8866092660b7392824197a8f599c52d25aef4a1736dce88ba0e6ff19475c69</vt:lpwstr>
  </property>
  <property fmtid="{D5CDD505-2E9C-101B-9397-08002B2CF9AE}" pid="4" name="SourceVersion">
    <vt:lpwstr>1.1.0</vt:lpwstr>
  </property>
  <property fmtid="{D5CDD505-2E9C-101B-9397-08002B2CF9AE}" pid="5" name="GeneratedAt">
    <vt:lpwstr>2026-10-12T01:13:57.831708+00:00</vt:lpwstr>
  </property>
</Properties>
</file>