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个人简历与量化项目填充说明</w:t>
      </w:r>
    </w:p>
    <w:p>
      <w:r>
        <w:t>网站：https://personal-blog-gamma-six.vercel.app</w:t>
        <w:br/>
        <w:t>本地项目：E:\codex\个人博客</w:t>
        <w:br/>
        <w:t>整理日期：2026-10-04</w:t>
      </w:r>
    </w:p>
    <w:p>
      <w:pPr>
        <w:pStyle w:val="Heading1"/>
      </w:pPr>
      <w:r>
        <w:t>一、本次使用的内容来源</w:t>
      </w:r>
    </w:p>
    <w:p>
      <w:pPr>
        <w:pStyle w:val="ListBullet"/>
      </w:pPr>
      <w:r>
        <w:t>量化项目来源：可量化项目与技术栈展示清单（2026-10-04）。</w:t>
      </w:r>
    </w:p>
    <w:p>
      <w:pPr>
        <w:pStyle w:val="ListBullet"/>
      </w:pPr>
      <w:r>
        <w:t>个人信息与荣誉来源：徐晨洋个人简历更新版、曾获奖励和自我鉴定。</w:t>
      </w:r>
    </w:p>
    <w:p>
      <w:pPr>
        <w:pStyle w:val="ListBullet"/>
      </w:pPr>
      <w:r>
        <w:t>填充范围：个人介绍、首页、项目经历、作品展示、数据图表和荣誉资格。</w:t>
      </w:r>
    </w:p>
    <w:p>
      <w:pPr>
        <w:pStyle w:val="Heading1"/>
      </w:pPr>
      <w:r>
        <w:t>二、网站已填充内容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栏目</w:t>
            </w:r>
          </w:p>
        </w:tc>
        <w:tc>
          <w:tcPr>
            <w:tcW w:type="dxa" w:w="3249"/>
          </w:tcPr>
          <w:p>
            <w:r>
              <w:t>已填充内容</w:t>
            </w:r>
          </w:p>
        </w:tc>
        <w:tc>
          <w:tcPr>
            <w:tcW w:type="dxa" w:w="3249"/>
          </w:tcPr>
          <w:p>
            <w:r>
              <w:t>主要来源</w:t>
            </w:r>
          </w:p>
        </w:tc>
      </w:tr>
      <w:tr>
        <w:tc>
          <w:tcPr>
            <w:tcW w:type="dxa" w:w="3249"/>
          </w:tcPr>
          <w:p>
            <w:r>
              <w:t>首页</w:t>
            </w:r>
          </w:p>
        </w:tc>
        <w:tc>
          <w:tcPr>
            <w:tcW w:type="dxa" w:w="3249"/>
          </w:tcPr>
          <w:p>
            <w:r>
              <w:t>徐晨洋｜宁夏大学 2025 级大数据管理与应用；让数据变成作品；629 份问卷与 7 个核心项目</w:t>
            </w:r>
          </w:p>
        </w:tc>
        <w:tc>
          <w:tcPr>
            <w:tcW w:type="dxa" w:w="3249"/>
          </w:tcPr>
          <w:p>
            <w:r>
              <w:t>简历 + 量化清单</w:t>
            </w:r>
          </w:p>
        </w:tc>
      </w:tr>
      <w:tr>
        <w:tc>
          <w:tcPr>
            <w:tcW w:type="dxa" w:w="3249"/>
          </w:tcPr>
          <w:p>
            <w:r>
              <w:t>个人介绍</w:t>
            </w:r>
          </w:p>
        </w:tc>
        <w:tc>
          <w:tcPr>
            <w:tcW w:type="dxa" w:w="3249"/>
          </w:tcPr>
          <w:p>
            <w:r>
              <w:t>教育背景、综合测评、排名、奖学金、关注方向、展示原则</w:t>
            </w:r>
          </w:p>
        </w:tc>
        <w:tc>
          <w:tcPr>
            <w:tcW w:type="dxa" w:w="3249"/>
          </w:tcPr>
          <w:p>
            <w:r>
              <w:t>简历更新版</w:t>
            </w:r>
          </w:p>
        </w:tc>
      </w:tr>
      <w:tr>
        <w:tc>
          <w:tcPr>
            <w:tcW w:type="dxa" w:w="3249"/>
          </w:tcPr>
          <w:p>
            <w:r>
              <w:t>项目经历</w:t>
            </w:r>
          </w:p>
        </w:tc>
        <w:tc>
          <w:tcPr>
            <w:tcW w:type="dxa" w:w="3249"/>
          </w:tcPr>
          <w:p>
            <w:r>
              <w:t>数字画笔、中卫烙画、青穗 AI、古建模拟、CMAU、个人博客</w:t>
            </w:r>
          </w:p>
        </w:tc>
        <w:tc>
          <w:tcPr>
            <w:tcW w:type="dxa" w:w="3249"/>
          </w:tcPr>
          <w:p>
            <w:r>
              <w:t>量化清单 + 简历</w:t>
            </w:r>
          </w:p>
        </w:tc>
      </w:tr>
      <w:tr>
        <w:tc>
          <w:tcPr>
            <w:tcW w:type="dxa" w:w="3249"/>
          </w:tcPr>
          <w:p>
            <w:r>
              <w:t>作品展示</w:t>
            </w:r>
          </w:p>
        </w:tc>
        <w:tc>
          <w:tcPr>
            <w:tcW w:type="dxa" w:w="3249"/>
          </w:tcPr>
          <w:p>
            <w:r>
              <w:t>7 个核心项目卡片和详情页，显示量化指标、技术栈、证据口径与边界</w:t>
            </w:r>
          </w:p>
        </w:tc>
        <w:tc>
          <w:tcPr>
            <w:tcW w:type="dxa" w:w="3249"/>
          </w:tcPr>
          <w:p>
            <w:r>
              <w:t>量化清单</w:t>
            </w:r>
          </w:p>
        </w:tc>
      </w:tr>
      <w:tr>
        <w:tc>
          <w:tcPr>
            <w:tcW w:type="dxa" w:w="3249"/>
          </w:tcPr>
          <w:p>
            <w:r>
              <w:t>数据图表</w:t>
            </w:r>
          </w:p>
        </w:tc>
        <w:tc>
          <w:tcPr>
            <w:tcW w:type="dxa" w:w="3249"/>
          </w:tcPr>
          <w:p>
            <w:r>
              <w:t>629 份有效问卷、4 个模型、9 个 API、20000 游戏日、能力证据分布</w:t>
            </w:r>
          </w:p>
        </w:tc>
        <w:tc>
          <w:tcPr>
            <w:tcW w:type="dxa" w:w="3249"/>
          </w:tcPr>
          <w:p>
            <w:r>
              <w:t>量化清单</w:t>
            </w:r>
          </w:p>
        </w:tc>
      </w:tr>
      <w:tr>
        <w:tc>
          <w:tcPr>
            <w:tcW w:type="dxa" w:w="3249"/>
          </w:tcPr>
          <w:p>
            <w:r>
              <w:t>荣誉与资格</w:t>
            </w:r>
          </w:p>
        </w:tc>
        <w:tc>
          <w:tcPr>
            <w:tcW w:type="dxa" w:w="3249"/>
          </w:tcPr>
          <w:p>
            <w:r>
              <w:t>10 项奖学金、竞赛、志愿服务、CET-4 和围棋业余三段</w:t>
            </w:r>
          </w:p>
        </w:tc>
        <w:tc>
          <w:tcPr>
            <w:tcW w:type="dxa" w:w="3249"/>
          </w:tcPr>
          <w:p>
            <w:r>
              <w:t>简历曾获奖励</w:t>
            </w:r>
          </w:p>
        </w:tc>
      </w:tr>
    </w:tbl>
    <w:p>
      <w:pPr>
        <w:pStyle w:val="Heading1"/>
      </w:pPr>
      <w:r>
        <w:t>三、重点展示顺序</w:t>
      </w:r>
    </w:p>
    <w:p>
      <w:pPr>
        <w:pStyle w:val="ListNumber"/>
      </w:pPr>
      <w:r>
        <w:t>青穗 AI 财务教练：4 个模型、9 个 API、3000 条模拟样本。</w:t>
      </w:r>
    </w:p>
    <w:p>
      <w:pPr>
        <w:pStyle w:val="ListNumber"/>
      </w:pPr>
      <w:r>
        <w:t>数字画笔·童心筑梦计划：45 名儿童、135 件作品、出勤率超过 95%。</w:t>
      </w:r>
    </w:p>
    <w:p>
      <w:pPr>
        <w:pStyle w:val="ListNumber"/>
      </w:pPr>
      <w:r>
        <w:t>中卫烙画：263 份有效问卷、α=0.854、KMO=0.816、答辩排名 7/17。</w:t>
      </w:r>
    </w:p>
    <w:p>
      <w:pPr>
        <w:pStyle w:val="ListNumber"/>
      </w:pPr>
      <w:r>
        <w:t>大创古建灾害模拟：2 座古建、20000 游戏日、3 类灾害标签。</w:t>
      </w:r>
    </w:p>
    <w:p>
      <w:pPr>
        <w:pStyle w:val="ListNumber"/>
      </w:pPr>
      <w:r>
        <w:t>个人博客：16+ 页面/路由、11 个核心组件、Lighthouse 最高 100。</w:t>
      </w:r>
    </w:p>
    <w:p>
      <w:pPr>
        <w:pStyle w:val="ListNumber"/>
      </w:pPr>
      <w:r>
        <w:t>Pixel2Motion：IoU=0.9937、102 条 SVG 路径、32 帧 GIF。</w:t>
      </w:r>
    </w:p>
    <w:p>
      <w:pPr>
        <w:pStyle w:val="ListNumber"/>
      </w:pPr>
      <w:r>
        <w:t>CMAU 市场调查：366 份有效问卷、回归与 Bootstrap 检验、校赛二等奖。</w:t>
      </w:r>
    </w:p>
    <w:p>
      <w:pPr>
        <w:pStyle w:val="Heading1"/>
      </w:pPr>
      <w:r>
        <w:t>四、隐私与公开范围</w:t>
      </w:r>
    </w:p>
    <w:p>
      <w:pPr>
        <w:pStyle w:val="ListBullet"/>
      </w:pPr>
      <w:r>
        <w:t>未公开手机号、学号、出生年月和正式邮箱。</w:t>
      </w:r>
    </w:p>
    <w:p>
      <w:pPr>
        <w:pStyle w:val="ListBullet"/>
      </w:pPr>
      <w:r>
        <w:t>公开页面仅展示姓名、学校、专业、项目、荣誉和 GitHub 地址。</w:t>
      </w:r>
    </w:p>
    <w:p>
      <w:pPr>
        <w:pStyle w:val="ListBullet"/>
      </w:pPr>
      <w:r>
        <w:t>后续补充邮箱后，可在 site.ts 中填入，并恢复邮件联系入口。</w:t>
      </w:r>
    </w:p>
    <w:p>
      <w:pPr>
        <w:pStyle w:val="Heading1"/>
      </w:pPr>
      <w:r>
        <w:t>五、数据口径与风险提示</w:t>
      </w:r>
    </w:p>
    <w:p>
      <w:pPr>
        <w:pStyle w:val="ListBullet"/>
      </w:pPr>
      <w:r>
        <w:t>青穗 AI 的所有模型指标来自 3000 条模拟样本，只能写“模拟数据技术验证”。</w:t>
      </w:r>
    </w:p>
    <w:p>
      <w:pPr>
        <w:pStyle w:val="ListBullet"/>
      </w:pPr>
      <w:r>
        <w:t>中卫烙画的预算、盈亏平衡和 12 个月目标属于计划/测算，不是已实现收入。</w:t>
      </w:r>
    </w:p>
    <w:p>
      <w:pPr>
        <w:pStyle w:val="ListBullet"/>
      </w:pPr>
      <w:r>
        <w:t>大创古建结构完整率 100% 属于探索性预实验结果，不替代有限元或真实监测。</w:t>
      </w:r>
    </w:p>
    <w:p>
      <w:pPr>
        <w:pStyle w:val="ListBullet"/>
      </w:pPr>
      <w:r>
        <w:t>CMAU 的 366 份问卷和校赛二等奖来自简历材料，正式投递前应补齐源数据与获奖证明。</w:t>
      </w:r>
    </w:p>
    <w:p>
      <w:pPr>
        <w:pStyle w:val="ListBullet"/>
      </w:pPr>
      <w:r>
        <w:t>团队项目使用“参与/负责相应模块”的表述，正式投递前再次核对实际分工。</w:t>
      </w:r>
    </w:p>
    <w:p>
      <w:pPr>
        <w:pStyle w:val="Heading1"/>
      </w:pPr>
      <w:r>
        <w:t>六、后续建议</w:t>
      </w:r>
    </w:p>
    <w:p>
      <w:pPr>
        <w:pStyle w:val="ListBullet"/>
      </w:pPr>
      <w:r>
        <w:t>补充正式邮箱和个人照片。</w:t>
      </w:r>
    </w:p>
    <w:p>
      <w:pPr>
        <w:pStyle w:val="ListBullet"/>
      </w:pPr>
      <w:r>
        <w:t>整理一份可公开的获奖证书清单或附录。</w:t>
      </w:r>
    </w:p>
    <w:p>
      <w:pPr>
        <w:pStyle w:val="ListBullet"/>
      </w:pPr>
      <w:r>
        <w:t>为青穗接入 30—50 名真实学生小样本测试。</w:t>
      </w:r>
    </w:p>
    <w:p>
      <w:pPr>
        <w:pStyle w:val="ListBullet"/>
      </w:pPr>
      <w:r>
        <w:t>完成一个 SQL + 可视化分析项目，补齐数据分析作品。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37A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45A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