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</w:p>
    <w:p>
      <w:pPr>
        <w:keepNext w:val="0"/>
        <w:keepLines w:val="0"/>
        <w:pageBreakBefore w:val="0"/>
        <w:widowControl w:val="0"/>
        <w:tabs>
          <w:tab w:val="left" w:pos="3592"/>
          <w:tab w:val="left" w:pos="70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1" w:after="0" w:line="288" w:lineRule="auto"/>
        <w:ind w:left="65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12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42" w:firstLineChars="782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3、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41"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,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80" w:firstLineChars="80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color w:val="3E3E3E"/>
          <w:lang w:eastAsia="zh-Hans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2017.09-2020.06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05-2025.06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21C5EF3"/>
    <w:multiLevelType w:val="singleLevel"/>
    <w:tmpl w:val="621C5EF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1CC94D"/>
    <w:multiLevelType w:val="singleLevel"/>
    <w:tmpl w:val="621CC9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FF1756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9736F6"/>
    <w:rsid w:val="6FE8095A"/>
    <w:rsid w:val="6FF7D852"/>
    <w:rsid w:val="6FFAF1D9"/>
    <w:rsid w:val="73FB0C53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397745"/>
    <w:rsid w:val="7DC50192"/>
    <w:rsid w:val="7DDF8C1E"/>
    <w:rsid w:val="7DF2DBBF"/>
    <w:rsid w:val="7DF74647"/>
    <w:rsid w:val="7E757E4A"/>
    <w:rsid w:val="7EADF206"/>
    <w:rsid w:val="7EFF0CA6"/>
    <w:rsid w:val="7F5C69A2"/>
    <w:rsid w:val="7F86D606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A074DDB1"/>
    <w:rsid w:val="B4F59132"/>
    <w:rsid w:val="B8EE0670"/>
    <w:rsid w:val="B9BFD5FC"/>
    <w:rsid w:val="BAA72EAA"/>
    <w:rsid w:val="BEFD36D4"/>
    <w:rsid w:val="BF7D9896"/>
    <w:rsid w:val="BF978513"/>
    <w:rsid w:val="BFF7CBC0"/>
    <w:rsid w:val="BFFB6128"/>
    <w:rsid w:val="CBEDABBC"/>
    <w:rsid w:val="CD7DA875"/>
    <w:rsid w:val="CFBF32C3"/>
    <w:rsid w:val="CFFDBE1E"/>
    <w:rsid w:val="D57AF3B4"/>
    <w:rsid w:val="D6EFF2F0"/>
    <w:rsid w:val="D75DE271"/>
    <w:rsid w:val="D7FDEF2D"/>
    <w:rsid w:val="DEEE3092"/>
    <w:rsid w:val="E47B6D6E"/>
    <w:rsid w:val="EABB5B44"/>
    <w:rsid w:val="EDDBA3A6"/>
    <w:rsid w:val="EDF12734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D672F98"/>
    <w:rsid w:val="FDFE02D8"/>
    <w:rsid w:val="FE7D64FC"/>
    <w:rsid w:val="FEDB4D06"/>
    <w:rsid w:val="FF6FEC13"/>
    <w:rsid w:val="FF7D7993"/>
    <w:rsid w:val="FF7F7FAA"/>
    <w:rsid w:val="FFAB3C16"/>
    <w:rsid w:val="FFBB7298"/>
    <w:rsid w:val="FFBEB1DA"/>
    <w:rsid w:val="FFD905EF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1533</Words>
  <Characters>1890</Characters>
  <ScaleCrop>false</ScaleCrop>
  <LinksUpToDate>false</LinksUpToDate>
  <CharactersWithSpaces>2483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2021-01-16T17:58:00Z</dcterms:created>
  <dc:creator>Administrator</dc:creator>
  <cp:lastModifiedBy>chemingqiang</cp:lastModifiedBy>
  <dcterms:modified xsi:type="dcterms:W3CDTF">2022-02-28T21:13:11Z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