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8D8FC" w14:textId="77777777" w:rsidR="00BC3589" w:rsidRPr="0055066B" w:rsidRDefault="00BC3589">
      <w:pPr>
        <w:spacing w:after="3800"/>
        <w:rPr>
          <w:rFonts w:eastAsia="宋体" w:hint="eastAsia"/>
          <w:lang w:eastAsia="zh-CN"/>
        </w:rPr>
      </w:pPr>
    </w:p>
    <w:p w14:paraId="05190787" w14:textId="77777777" w:rsidR="00BC3589" w:rsidRDefault="0080647A">
      <w:pPr>
        <w:pStyle w:val="Title"/>
        <w:jc w:val="center"/>
      </w:pPr>
      <w:r>
        <w:t>BrainNet Viewer User Manual</w:t>
      </w:r>
    </w:p>
    <w:p w14:paraId="2C428090" w14:textId="77777777" w:rsidR="00BC3589" w:rsidRDefault="0080647A">
      <w:pPr>
        <w:pStyle w:val="Subtitle"/>
        <w:jc w:val="center"/>
      </w:pPr>
      <w:r>
        <w:t xml:space="preserve">MATLAB and Python Desktop Editions</w:t>
      </w:r>
    </w:p>
    <w:p w14:paraId="0E4AE8D6" w14:textId="77777777" w:rsidR="00BC3589" w:rsidRDefault="0080647A">
      <w:pPr>
        <w:spacing w:before="560"/>
        <w:jc w:val="center"/>
      </w:pPr>
      <w:r>
        <w:t>Version 2.0 development build</w:t>
      </w:r>
    </w:p>
    <w:p w14:paraId="6AD30905" w14:textId="77777777" w:rsidR="00BC3589" w:rsidRDefault="0080647A">
      <w:pPr>
        <w:spacing w:before="2100"/>
        <w:jc w:val="center"/>
      </w:pPr>
      <w:r>
        <w:t>Mingrui Xia</w:t>
      </w:r>
    </w:p>
    <w:p w14:paraId="3D0DF642" w14:textId="77777777" w:rsidR="00BC3589" w:rsidRDefault="0080647A">
      <w:pPr>
        <w:spacing w:before="360"/>
        <w:jc w:val="center"/>
      </w:pPr>
      <w:r>
        <w:t xml:space="preserve">National Key Laboratory of Cognitive Neuroscience and Learning</w:t>
        <w:br/>
        <w:t>Beijing Key Laboratory of Brain Imaging and Connectomics</w:t>
        <w:br/>
        <w:t>IDG/McGovern Institute for Brain Research</w:t>
        <w:br/>
        <w:t>Beijing Normal University, Beijing, China</w:t>
      </w:r>
      <w:r w:rsidR="005A4BA6">
        <w:rPr>
          <w:rStyle w:val="CommentReference"/>
        </w:rPr>
      </w:r>
    </w:p>
    <w:p w14:paraId="5BAD1C1D" w14:textId="77777777" w:rsidR="00BC3589" w:rsidRDefault="0080647A">
      <w:r>
        <w:br w:type="page"/>
      </w:r>
    </w:p>
    <w:p w14:paraId="1B1C7215" w14:textId="77777777" w:rsidR="00BC3589" w:rsidRDefault="0080647A">
      <w:pPr>
        <w:pStyle w:val="Heading1"/>
      </w:pPr>
      <w:bookmarkStart w:id="1" w:name="bnv_chapter_1"/>
      <w:r>
        <w:lastRenderedPageBreak/>
        <w:t>Contents</w:t>
      </w:r>
      <w:bookmarkEnd w:id="1"/>
    </w:p>
    <w:p w14:paraId="2D515889" w14:textId="77777777" w:rsidR="00BC3589" w:rsidRDefault="0080647A">
      <w:r>
        <w:t xml:space="preserve">This manual explains how to load and validate brain visualization data, configure surface, node, edge, volume and ROI displays, inspect the result, save reusable Scenes and export figures. It also covers mesh tools, command-line rendering, migration and troubleshooting. Verify coordinate alignment, statistical meaning and resource permissions for each dataset before interpreting or sharing a figure. Shared scientific workflows are described once, with edition-specific installation and behavior notes. All retained screenshots and gallery images are MATLAB illustrations unless explicitly labelled otherwise. Detailed numeric control tables describe MATLAB defaults and rules unless an edition note says they are shared; they do not establish numerical parity in Python.</w:t>
      </w:r>
      <w:r>
        <w:t/>
      </w:r>
      <w:r>
        <w:t/>
      </w:r>
    </w:p>
    <w:p>
      <w:pPr>
        <w:pStyle w:val="ListBullet"/>
        <w:tabs>
          <w:tab w:val="right" w:leader="dot" w:pos="9500"/>
        </w:tabs>
      </w:pPr>
      <w:r>
        <w:t xml:space="preserve">1 Installation and launch</w:t>
      </w:r>
      <w:r>
        <w:tab/>
        <w:t>3</w:t>
      </w:r>
    </w:p>
    <w:p>
      <w:pPr>
        <w:pStyle w:val="ListBullet"/>
        <w:tabs>
          <w:tab w:val="right" w:leader="dot" w:pos="9500"/>
        </w:tabs>
      </w:pPr>
      <w:r>
        <w:t xml:space="preserve">2 Workspace and first visualization</w:t>
      </w:r>
      <w:r>
        <w:tab/>
        <w:t>5</w:t>
      </w:r>
    </w:p>
    <w:p>
      <w:pPr>
        <w:pStyle w:val="ListBullet"/>
        <w:tabs>
          <w:tab w:val="right" w:leader="dot" w:pos="9500"/>
        </w:tabs>
      </w:pPr>
      <w:r>
        <w:t xml:space="preserve">3 Data formats and coordinates</w:t>
      </w:r>
      <w:r>
        <w:tab/>
        <w:t>6</w:t>
      </w:r>
    </w:p>
    <w:p>
      <w:pPr>
        <w:pStyle w:val="ListBullet"/>
        <w:tabs>
          <w:tab w:val="right" w:leader="dot" w:pos="9500"/>
        </w:tabs>
      </w:pPr>
      <w:r>
        <w:t xml:space="preserve">4 Scenes and presets</w:t>
      </w:r>
      <w:r>
        <w:tab/>
        <w:t>10</w:t>
      </w:r>
    </w:p>
    <w:p>
      <w:pPr>
        <w:pStyle w:val="ListBullet"/>
        <w:tabs>
          <w:tab w:val="right" w:leader="dot" w:pos="9500"/>
        </w:tabs>
      </w:pPr>
      <w:r>
        <w:t xml:space="preserve">5 Layout and camera controls</w:t>
      </w:r>
      <w:r>
        <w:tab/>
        <w:t>12</w:t>
      </w:r>
    </w:p>
    <w:p>
      <w:pPr>
        <w:pStyle w:val="ListBullet"/>
        <w:tabs>
          <w:tab w:val="right" w:leader="dot" w:pos="9500"/>
        </w:tabs>
      </w:pPr>
      <w:r>
        <w:t xml:space="preserve">6 Global appearance and rendering</w:t>
      </w:r>
      <w:r>
        <w:tab/>
        <w:t>15</w:t>
      </w:r>
    </w:p>
    <w:p>
      <w:pPr>
        <w:pStyle w:val="ListBullet"/>
        <w:tabs>
          <w:tab w:val="right" w:leader="dot" w:pos="9500"/>
        </w:tabs>
      </w:pPr>
      <w:r>
        <w:t xml:space="preserve">7 Surface appearance and maps</w:t>
      </w:r>
      <w:r>
        <w:tab/>
        <w:t>18</w:t>
      </w:r>
    </w:p>
    <w:p>
      <w:pPr>
        <w:pStyle w:val="ListBullet"/>
        <w:tabs>
          <w:tab w:val="right" w:leader="dot" w:pos="9500"/>
        </w:tabs>
      </w:pPr>
      <w:r>
        <w:t xml:space="preserve">8 Nodes</w:t>
      </w:r>
      <w:r>
        <w:tab/>
        <w:t>22</w:t>
      </w:r>
    </w:p>
    <w:p>
      <w:pPr>
        <w:pStyle w:val="ListBullet"/>
        <w:tabs>
          <w:tab w:val="right" w:leader="dot" w:pos="9500"/>
        </w:tabs>
      </w:pPr>
      <w:r>
        <w:t xml:space="preserve">9 Edges</w:t>
      </w:r>
      <w:r>
        <w:tab/>
        <w:t>24</w:t>
      </w:r>
    </w:p>
    <w:p>
      <w:pPr>
        <w:pStyle w:val="ListBullet"/>
        <w:tabs>
          <w:tab w:val="right" w:leader="dot" w:pos="9500"/>
        </w:tabs>
      </w:pPr>
      <w:r>
        <w:t xml:space="preserve">10 Volume mapping and statistics</w:t>
      </w:r>
      <w:r>
        <w:tab/>
        <w:t>27</w:t>
      </w:r>
    </w:p>
    <w:p>
      <w:pPr>
        <w:pStyle w:val="ListBullet"/>
        <w:tabs>
          <w:tab w:val="right" w:leader="dot" w:pos="9500"/>
        </w:tabs>
      </w:pPr>
      <w:r>
        <w:t xml:space="preserve">11 ROI drawing</w:t>
      </w:r>
      <w:r>
        <w:tab/>
        <w:t>31</w:t>
      </w:r>
    </w:p>
    <w:p>
      <w:pPr>
        <w:pStyle w:val="ListBullet"/>
        <w:tabs>
          <w:tab w:val="right" w:leader="dot" w:pos="9500"/>
        </w:tabs>
      </w:pPr>
      <w:r>
        <w:t xml:space="preserve">12 Colormaps and presets</w:t>
      </w:r>
      <w:r>
        <w:tab/>
        <w:t>33</w:t>
      </w:r>
    </w:p>
    <w:p>
      <w:pPr>
        <w:pStyle w:val="ListBullet"/>
        <w:tabs>
          <w:tab w:val="right" w:leader="dot" w:pos="9500"/>
        </w:tabs>
      </w:pPr>
      <w:r>
        <w:t xml:space="preserve">13 Figure export</w:t>
      </w:r>
      <w:r>
        <w:tab/>
        <w:t>35</w:t>
      </w:r>
    </w:p>
    <w:p>
      <w:pPr>
        <w:pStyle w:val="ListBullet"/>
        <w:tabs>
          <w:tab w:val="right" w:leader="dot" w:pos="9500"/>
        </w:tabs>
      </w:pPr>
      <w:r>
        <w:t xml:space="preserve">14 Camera animation</w:t>
      </w:r>
      <w:r>
        <w:tab/>
        <w:t>37</w:t>
      </w:r>
    </w:p>
    <w:p>
      <w:pPr>
        <w:pStyle w:val="ListBullet"/>
        <w:tabs>
          <w:tab w:val="right" w:leader="dot" w:pos="9500"/>
        </w:tabs>
      </w:pPr>
      <w:r>
        <w:t xml:space="preserve">15 Surface formats and mesh tools</w:t>
      </w:r>
      <w:r>
        <w:tab/>
        <w:t>39</w:t>
      </w:r>
    </w:p>
    <w:p>
      <w:pPr>
        <w:pStyle w:val="ListBullet"/>
        <w:tabs>
          <w:tab w:val="right" w:leader="dot" w:pos="9500"/>
        </w:tabs>
      </w:pPr>
      <w:r>
        <w:t xml:space="preserve">16 Command line rendering and provenance</w:t>
      </w:r>
      <w:r>
        <w:tab/>
        <w:t>41</w:t>
      </w:r>
    </w:p>
    <w:p>
      <w:pPr>
        <w:pStyle w:val="ListBullet"/>
        <w:tabs>
          <w:tab w:val="right" w:leader="dot" w:pos="9500"/>
        </w:tabs>
      </w:pPr>
      <w:r>
        <w:t xml:space="preserve">17 Migration and troubleshooting</w:t>
      </w:r>
      <w:r>
        <w:tab/>
        <w:t>44</w:t>
      </w:r>
    </w:p>
    <w:p>
      <w:pPr>
        <w:pStyle w:val="ListBullet"/>
        <w:tabs>
          <w:tab w:val="right" w:leader="dot" w:pos="9500"/>
        </w:tabs>
      </w:pPr>
      <w:r>
        <w:t xml:space="preserve">Appendix References and acknowledgments</w:t>
      </w:r>
      <w:r>
        <w:tab/>
        <w:t>47</w:t>
      </w:r>
    </w:p>
    <w:p>
      <w:pPr>
        <w:pStyle w:val="ListBullet"/>
        <w:tabs>
          <w:tab w:val="right" w:leader="dot" w:pos="9500"/>
        </w:tabs>
      </w:pPr>
      <w:r>
        <w:t/>
      </w:r>
      <w:hyperlink w:anchor="SharedTutorials">
        <w:r>
          <w:t>Appendix Shared tutorials</w:t>
        </w:r>
      </w:hyperlink>
      <w:r>
        <w:tab/>
      </w:r>
      <w:r>
        <w:t>48</w:t>
      </w:r>
    </w:p>
    <w:p w14:paraId="5942A7DD" w14:textId="77777777" w:rsidR="00BC3589" w:rsidRDefault="0080647A">
      <w:pPr>
        <w:pStyle w:val="Heading1"/>
        <w:pageBreakBefore/>
      </w:pPr>
      <w:bookmarkStart w:id="2" w:name="bnv_chapter_2"/>
      <w:r>
        <w:lastRenderedPageBreak/>
        <w:t xml:space="preserve">1 Installation and launch</w:t>
      </w:r>
      <w:bookmarkEnd w:id="2"/>
    </w:p>
    <w:p w14:paraId="6D2EB39B" w14:textId="77777777" w:rsidR="00BC3589" w:rsidRDefault="0080647A">
      <w:r>
        <w:t xml:space="preserve">BrainNet Viewer visualizes brain surfaces, networks, mapped volumes and ROIs in MATLAB and Python desktop editions. This manual explains their shared workflow and the deployment and behavior differences needed to use each edition correctly.</w:t>
      </w:r>
      <w:r>
        <w:rPr>
          <w:b/>
        </w:rPr>
        <w:t xml:space="preserve"/>
      </w:r>
      <w:r>
        <w:t xml:space="preserve"/>
      </w:r>
      <w:r>
        <w:rPr>
          <w:rFonts w:ascii="Consolas" w:hAnsi="Consolas"/>
          <w:sz w:val="18"/>
        </w:rPr>
        <w:t xml:space="preserve"/>
      </w:r>
      <w:r>
        <w:t xml:space="preserve"/>
      </w:r>
      <w:r>
        <w:t xml:space="preserve"/>
      </w:r>
    </w:p>
    <w:p w14:paraId="33AD37D9" w14:textId="77777777" w:rsidR="00BC3589" w:rsidRDefault="0080647A">
      <w:pPr>
        <w:pStyle w:val="Heading2"/>
      </w:pPr>
      <w:r>
        <w:t xml:space="preserve">MATLAB installation</w:t>
      </w:r>
    </w:p>
    <w:p w14:paraId="17444119" w14:textId="77777777" w:rsidR="00BC3589" w:rsidRDefault="0080647A">
      <w:r>
        <w:t xml:space="preserve">The primary tested desktop environment is </w:t>
      </w:r>
      <w:r>
        <w:rPr>
          <w:b/>
        </w:rPr>
        <w:t>Windows with an installed, activated MATLAB R2025a Update 1</w:t>
      </w:r>
      <w:r>
        <w:t xml:space="preserve"> and a g</w:t>
      </w:r>
      <w:r>
        <w:t>raphics-capable session. Focused app, layout, dialog and raster-export checks have also passed on macOS R2024a/R2026a, but a complete macOS package is not certified. MATLAB Runtime-only installation, Linux packaging and a standalone executable are not cert</w:t>
      </w:r>
      <w:r>
        <w:t>ified. The independent modern NIfTI/GIfTI readers do not require SPM, but individual optional features can need MATLAB toolboxes or GPU support. See the project README and the migration limits; a successful launch does not verify every optional feature.</w:t>
      </w:r>
    </w:p>
    <w:p w14:paraId="30821794" w14:textId="77777777" w:rsidR="00BC3589" w:rsidRDefault="0080647A">
      <w:r>
        <w:t xml:space="preserve">Set MATLAB Current Folder to the installed software root, the directory containing the top-level BrainNetViewer.m, then run:</w:t>
      </w:r>
      <w:r>
        <w:t xml:space="preserve"/>
      </w:r>
      <w:r>
        <w:rPr>
          <w:rFonts w:ascii="Consolas" w:hAnsi="Consolas"/>
          <w:sz w:val="18"/>
        </w:rPr>
        <w:t xml:space="preserve"/>
      </w:r>
      <w:r>
        <w:t xml:space="preserve"/>
      </w:r>
      <w:r>
        <w:rPr>
          <w:b/>
        </w:rPr>
        <w:t xml:space="preserve"/>
      </w:r>
      <w:r>
        <w:t xml:space="preserve"/>
      </w:r>
      <w:r>
        <w:rPr>
          <w:rFonts w:ascii="Consolas" w:hAnsi="Consolas"/>
          <w:sz w:val="18"/>
        </w:rPr>
        <w:t xml:space="preserve"/>
      </w:r>
      <w:r>
        <w:t xml:space="preserve"/>
      </w:r>
    </w:p>
    <w:p w14:paraId="09CF44C9" w14:textId="77777777" w:rsidR="00BC3589" w:rsidRDefault="0080647A">
      <w:pPr>
        <w:pStyle w:val="Code"/>
      </w:pPr>
      <w:r>
        <w:t>app = BrainNetViewer;</w:t>
      </w:r>
    </w:p>
    <w:p w14:paraId="6F8E9973" w14:textId="77777777" w:rsidR="00BC3589" w:rsidRDefault="0080647A">
      <w:r>
        <w:t xml:space="preserve">The launcher adds </w:t>
      </w:r>
      <w:r>
        <w:rPr>
          <w:rFonts w:ascii="Consolas" w:hAnsi="Consolas"/>
          <w:sz w:val="18"/>
        </w:rPr>
        <w:t>src/mat</w:t>
      </w:r>
      <w:r>
        <w:rPr>
          <w:rFonts w:ascii="Consolas" w:hAnsi="Consolas"/>
          <w:sz w:val="18"/>
        </w:rPr>
        <w:t>lab/BrainNetViewer</w:t>
      </w:r>
      <w:r>
        <w:t xml:space="preserve"> itself. From elsewhere, add only the installed software root</w:t>
      </w:r>
      <w:r>
        <w:rPr>
          <w:b/>
        </w:rPr>
        <w:t xml:space="preserve"/>
      </w:r>
      <w:r>
        <w:t xml:space="preserve"> to MATLAB's path first. Do not use </w:t>
      </w:r>
      <w:r>
        <w:rPr>
          <w:rFonts w:ascii="Consolas" w:hAnsi="Consolas"/>
          <w:sz w:val="18"/>
        </w:rPr>
        <w:t>addpath(genpath(...))</w:t>
      </w:r>
      <w:r>
        <w:t xml:space="preserve">, mix different software versions, or assume that a different installed </w:t>
      </w:r>
      <w:r>
        <w:rPr>
          <w:rFonts w:ascii="Consolas" w:hAnsi="Consolas"/>
          <w:sz w:val="18"/>
        </w:rPr>
        <w:t>BrainNetViewer</w:t>
      </w:r>
      <w:r>
        <w:t xml:space="preserve"> is the intended installation. In MATLAB, </w:t>
      </w:r>
      <w:r>
        <w:rPr>
          <w:rFonts w:ascii="Consolas" w:hAnsi="Consolas"/>
          <w:sz w:val="18"/>
        </w:rPr>
        <w:t>w</w:t>
      </w:r>
      <w:r>
        <w:rPr>
          <w:rFonts w:ascii="Consolas" w:hAnsi="Consolas"/>
          <w:sz w:val="18"/>
        </w:rPr>
        <w:t>hich BrainNetViewer -all</w:t>
      </w:r>
      <w:r>
        <w:t xml:space="preserve"> helps diagnose a path collision. No installer is supplied by this chapter.</w:t>
      </w:r>
    </w:p>
    <w:p>
      <w:pPr>
        <w:pStyle w:val="Heading2"/>
        <w:keepNext/>
      </w:pPr>
      <w:r>
        <w:t xml:space="preserve">Python installation</w:t>
      </w:r>
    </w:p>
    <w:p>
      <w:pPr>
        <w:pStyle w:val="Normal"/>
      </w:pPr>
      <w:r>
        <w:t xml:space="preserve">Obtain the supplied wheel and verify its version and identity against the accompanying installation notes. Create a new virtual environment rather than copying one from another computer. Keep the package's dependency constraints unchanged. The following Windows example uses PowerShell; replace the wheel path with your actual file:</w:t>
      </w:r>
    </w:p>
    <w:p>
      <w:pPr>
        <w:pStyle w:val="Code"/>
      </w:pPr>
      <w:r>
        <w:t xml:space="preserve">py -3.10 -m venv .venv-bnv</w:t>
      </w:r>
    </w:p>
    <w:p>
      <w:pPr>
        <w:pStyle w:val="Code"/>
      </w:pPr>
      <w:r>
        <w:t xml:space="preserve">$bnvPython = (Resolve-Path .venv-bnv/Scripts/python.exe).Path</w:t>
      </w:r>
    </w:p>
    <w:p>
      <w:pPr>
        <w:pStyle w:val="Code"/>
      </w:pPr>
      <w:r>
        <w:t xml:space="preserve">&amp; $bnvPython -m pip install --upgrade pip</w:t>
      </w:r>
    </w:p>
    <w:p>
      <w:pPr>
        <w:pStyle w:val="Code"/>
      </w:pPr>
      <w:r>
        <w:t xml:space="preserve">$bnvWheel = (Resolve-Path `</w:t>
        <w:br/>
        <w:t xml:space="preserve">  "C:/path/to/brainnet_viewer-2.0.0.dev20-py3-none-any.whl").Path</w:t>
      </w:r>
    </w:p>
    <w:p>
      <w:pPr>
        <w:pStyle w:val="Code"/>
      </w:pPr>
      <w:r>
        <w:t xml:space="preserve">$bnvWheelUrl = &amp; $bnvPython -c "from pathlib import Path; import sys; print(Path(sys.argv[1]).resolve().as_uri())" $bnvWheel</w:t>
      </w:r>
    </w:p>
    <w:p>
      <w:pPr>
        <w:pStyle w:val="Code"/>
      </w:pPr>
      <w:r>
        <w:t xml:space="preserve">&amp; $bnvPython -m pip install "brainnet-viewer[desktop] @ $bnvWheelUrl"</w:t>
      </w:r>
    </w:p>
    <w:p>
      <w:pPr>
        <w:pStyle w:val="Code"/>
      </w:pPr>
      <w:r>
        <w:t xml:space="preserve">&amp; $bnvPython -m pip check</w:t>
      </w:r>
    </w:p>
    <w:p>
      <w:pPr>
        <w:pStyle w:val="Code"/>
      </w:pPr>
      <w:r>
        <w:t xml:space="preserve">&amp; $bnvPython -m brainnet_viewer</w:t>
      </w:r>
    </w:p>
    <w:p>
      <w:pPr>
        <w:pStyle w:val="Normal"/>
      </w:pPr>
      <w:r>
        <w:t xml:space="preserve">On macOS, select the Python version appropriate for the installation notes and run:</w:t>
      </w:r>
    </w:p>
    <w:p>
      <w:pPr>
        <w:pStyle w:val="Code"/>
      </w:pPr>
      <w:r>
        <w:t xml:space="preserve">python3 -m venv .venv-bnv</w:t>
      </w:r>
    </w:p>
    <w:p>
      <w:pPr>
        <w:pStyle w:val="Code"/>
      </w:pPr>
      <w:r>
        <w:t xml:space="preserve">source .venv-bnv/bin/activate</w:t>
      </w:r>
    </w:p>
    <w:p>
      <w:pPr>
        <w:pStyle w:val="Code"/>
      </w:pPr>
      <w:r>
        <w:t xml:space="preserve">python -m pip install --upgrade pip</w:t>
      </w:r>
    </w:p>
    <w:p>
      <w:pPr>
        <w:pStyle w:val="Code"/>
      </w:pPr>
      <w:r>
        <w:t xml:space="preserve">BNV_WHEEL="/path/to/brainnet_viewer-2.0.0.dev20-py3-none-any.whl"</w:t>
      </w:r>
    </w:p>
    <w:p>
      <w:pPr>
        <w:pStyle w:val="Code"/>
      </w:pPr>
      <w:r>
        <w:t xml:space="preserve">BNV_WHEEL_URL="$(python -c 'from pathlib import Path; import sys; print(Path(sys.argv[1]).resolve().as_uri())' "$BNV_WHEEL")"</w:t>
      </w:r>
    </w:p>
    <w:p>
      <w:pPr>
        <w:pStyle w:val="Code"/>
      </w:pPr>
      <w:r>
        <w:t xml:space="preserve">python -m pip install "brainnet-viewer[desktop] @ $BNV_WHEEL_URL"</w:t>
      </w:r>
    </w:p>
    <w:p>
      <w:pPr>
        <w:pStyle w:val="Code"/>
      </w:pPr>
      <w:r>
        <w:t xml:space="preserve">python -m pip check</w:t>
      </w:r>
    </w:p>
    <w:p>
      <w:pPr>
        <w:pStyle w:val="Code"/>
      </w:pPr>
      <w:r>
        <w:t xml:space="preserve">brainnet-viewer</w:t>
      </w:r>
    </w:p>
    <w:p>
      <w:pPr>
        <w:pStyle w:val="Normal"/>
      </w:pPr>
      <w:r>
        <w:t xml:space="preserve">The dev20 filename identifies the current internal candidate, not a final public version. Use the exact supplied artifact for your installation. If dependency installation fails, retain the complete error instead of changing version constraints. Dependency downloads require network access unless provided separately. After installation, use the environment's graphical launcher or python -m brainnet_viewer; the workspace development launcher is not a substitute for independent installation.</w:t>
      </w:r>
    </w:p>
    <w:p>
      <w:pPr>
        <w:pStyle w:val="Heading2"/>
        <w:keepNext/>
      </w:pPr>
      <w:r>
        <w:t xml:space="preserve">Find the resource library</w:t>
      </w:r>
    </w:p>
    <w:p>
      <w:pPr>
        <w:pStyle w:val="Normal"/>
      </w:pPr>
      <w:r>
        <w:t xml:space="preserve">The MATLAB distribution supplies its data library within the installed software tree. Python resources are installed inside the package, with Data/SurfTemplate, Data/ExampleFiles and Data/Tutorials. To locate Python resources using the environment's interpreter:</w:t>
      </w:r>
    </w:p>
    <w:p>
      <w:pPr>
        <w:pStyle w:val="Code"/>
      </w:pPr>
      <w:r>
        <w:t xml:space="preserve">python -c "from pathlib import Path; import brainnet_viewer; print(Path(brainnet_viewer.__file__).parent / 'resources')"</w:t>
      </w:r>
    </w:p>
    <w:p>
      <w:pPr>
        <w:pStyle w:val="Normal"/>
      </w:pPr>
      <w:r>
        <w:t xml:space="preserve">File pickers open the relevant bundled library where configured. Copy data into a separate working folder before changing it; do not edit installed resource files. The resource notices provide source credits and citations. Software installation and data redistribution are separate questions.</w:t>
      </w:r>
    </w:p>
    <w:p>
      <w:pPr>
        <w:pStyle w:val="Heading1"/>
        <w:pageBreakBefore/>
        <w:keepNext/>
      </w:pPr>
      <w:r>
        <w:t xml:space="preserve">2 Workspace and first visualization</w:t>
      </w:r>
    </w:p>
    <w:p w14:paraId="4CA1C717" w14:textId="77777777" w:rsidR="00BC3589" w:rsidRDefault="0080647A">
      <w:pPr>
        <w:pStyle w:val="Heading2"/>
      </w:pPr>
      <w:r>
        <w:t>What should appear</w:t>
      </w:r>
    </w:p>
    <w:p w14:paraId="755F9000" w14:textId="77777777" w:rsidR="00BC3589" w:rsidRDefault="0080647A">
      <w:r>
        <w:t xml:space="preserve">The English main window opens with its startup image/build information. Its three working areas support the intended sequence: </w:t>
      </w:r>
      <w:r>
        <w:rPr>
          <w:b/>
        </w:rPr>
        <w:t>Data Sourc</w:t>
      </w:r>
      <w:r>
        <w:rPr>
          <w:b/>
        </w:rPr>
        <w:t>es → Visualization Settings → render in the main canvas → interact/export</w:t>
      </w:r>
      <w:r>
        <w:t xml:space="preserve">. Use </w:t>
      </w:r>
      <w:r>
        <w:rPr>
          <w:b/>
        </w:rPr>
        <w:t>Add Files</w:t>
      </w:r>
      <w:r>
        <w:t xml:space="preserve"> or role-specific slots, </w:t>
      </w:r>
      <w:r>
        <w:rPr>
          <w:b/>
        </w:rPr>
        <w:t>Validate and Load</w:t>
      </w:r>
      <w:r>
        <w:t xml:space="preserve">, change settings, then the shared </w:t>
      </w:r>
      <w:r>
        <w:rPr>
          <w:b/>
        </w:rPr>
        <w:t>Apply</w:t>
      </w:r>
      <w:r>
        <w:t xml:space="preserve">; Apply commits and renders. </w:t>
      </w:r>
      <w:r>
        <w:rPr>
          <w:b/>
        </w:rPr>
        <w:t>Render Scene</w:t>
      </w:r>
      <w:r>
        <w:t xml:space="preserve"> is an explicit redraw. </w:t>
      </w:r>
      <w:r>
        <w:rPr>
          <w:rFonts w:ascii="Consolas" w:hAnsi="Consolas"/>
          <w:sz w:val="18"/>
        </w:rPr>
        <w:t xml:space="preserve"/>
      </w:r>
      <w:r>
        <w:t xml:space="preserve"/>
      </w:r>
    </w:p>
    <w:p w14:paraId="6E243740" w14:textId="77777777" w:rsidR="00BC3589" w:rsidRDefault="0080647A">
      <w:pPr>
        <w:keepNext/>
        <w:spacing w:before="180" w:after="60"/>
        <w:jc w:val="center"/>
      </w:pPr>
      <w:r>
        <w:rPr>
          <w:noProof/>
        </w:rPr>
        <w:lastRenderedPageBreak/>
        <w:drawing>
          <wp:inline distT="0" distB="0" distL="0" distR="0" wp14:anchorId="4B5DE363" wp14:editId="6BE91D96">
            <wp:extent cx="5989320" cy="3744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first-launch.png"/>
                    <pic:cNvPicPr/>
                  </pic:nvPicPr>
                  <pic:blipFill>
                    <a:blip r:embed="rId10"/>
                    <a:stretch>
                      <a:fillRect/>
                    </a:stretch>
                  </pic:blipFill>
                  <pic:spPr>
                    <a:xfrm>
                      <a:off x="0" y="0"/>
                      <a:ext cx="5989320" cy="3744333"/>
                    </a:xfrm>
                    <a:prstGeom prst="rect">
                      <a:avLst/>
                    </a:prstGeom>
                  </pic:spPr>
                </pic:pic>
              </a:graphicData>
            </a:graphic>
          </wp:inline>
        </w:drawing>
      </w:r>
    </w:p>
    <w:p w14:paraId="7E6877C6" w14:textId="77777777" w:rsidR="00BC3589" w:rsidRDefault="0080647A">
      <w:pPr>
        <w:pStyle w:val="FigureCaption"/>
        <w:jc w:val="center"/>
      </w:pPr>
      <w:r>
        <w:t xml:space="preserve">Figure 1. The English startup window identifies the data, render and settings areas before files are loaded. MATLAB illustration.</w:t>
      </w:r>
    </w:p>
    <w:p w14:paraId="08C7EBEE" w14:textId="77777777" w:rsidR="00BC3589" w:rsidRDefault="0080647A">
      <w:r>
        <w:t>Start wi</w:t>
      </w:r>
      <w:r>
        <w:t>th the real ICBM152 surface exercise, not an arbitrary template found in a data directory. For file roles, coordinate cautions and data-root behavior, continue to Chapter 3. For saving an analysis, use Chapter 4.</w:t>
      </w:r>
    </w:p>
    <w:p>
      <w:pPr>
        <w:pStyle w:val="Heading2"/>
        <w:keepNext/>
      </w:pPr>
      <w:r>
        <w:t xml:space="preserve">First surface workflow</w:t>
      </w:r>
    </w:p>
    <w:p>
      <w:pPr>
        <w:pStyle w:val="Normal"/>
      </w:pPr>
      <w:r>
        <w:t xml:space="preserve">1. Choose Surface Mesh Add and select Data/SurfTemplate/BrainMesh_ICBM152.nv. 2. Validate and Load; review the file path and counts. 3. Choose Layout and an opaque gray Uniform surface. 4. Apply commits and renders directly. 5. Interact with the intended view and export only after reviewing the result.</w:t>
      </w:r>
    </w:p>
    <w:p>
      <w:pPr>
        <w:pStyle w:val="Normal"/>
      </w:pPr>
      <w:r>
        <w:t xml:space="preserve">Collapse Visualization Settings to enlarge the drawing area. Python opens one settings section at a time without forcing it to the top. Rotate, Pan and Zoom target the selected subplot. Light/Dark changes the interface, not the scientific canvas background.</w:t>
      </w:r>
    </w:p>
    <w:p w14:paraId="78B2CCD1" w14:textId="77777777" w:rsidR="00BC3589" w:rsidRDefault="0080647A">
      <w:pPr>
        <w:pStyle w:val="Heading2"/>
      </w:pPr>
      <w:r>
        <w:t>Before sharing an image or packa</w:t>
      </w:r>
      <w:r>
        <w:t>ge</w:t>
      </w:r>
    </w:p>
    <w:p w14:paraId="7E687970" w14:textId="77777777" w:rsidR="00BC3589" w:rsidRDefault="0080647A">
      <w:r>
        <w:t xml:space="preserve">The displayed version/build date identifies the installed build, not a public release date. Review the actual package's compatibility notes and resource credits. Review figure provenance for private paths or titles before sharing.</w:t>
      </w:r>
      <w:r>
        <w:rPr>
          <w:b/>
        </w:rPr>
        <w:t/>
      </w:r>
      <w:r>
        <w:t/>
      </w:r>
      <w:r>
        <w:t/>
      </w:r>
    </w:p>
    <w:p w14:paraId="0907C649" w14:textId="77777777" w:rsidR="00BC3589" w:rsidRDefault="0080647A">
      <w:pPr>
        <w:pStyle w:val="Heading1"/>
        <w:pageBreakBefore/>
      </w:pPr>
      <w:bookmarkStart w:id="3" w:name="bnv_chapter_3"/>
      <w:r>
        <w:lastRenderedPageBreak/>
        <w:t xml:space="preserve">3 Data formats and coordinates</w:t>
      </w:r>
      <w:bookmarkEnd w:id="3"/>
    </w:p>
    <w:p w14:paraId="0A4E9718" w14:textId="77777777" w:rsidR="00BC3589" w:rsidRDefault="0080647A">
      <w:r>
        <w:t xml:space="preserve">Choose a file's role, not just its extension. In Data Sources, Add Files can classify candidates; use the individual slots when classification is ambiguous. Validate and Load reads and checks the selected combination before a figure is interpreted. In MATLAB, the default desktop data root is src/matlab/BrainNetViewer, not the Scene JSON's folder.</w:t>
      </w:r>
      <w:r>
        <w:rPr>
          <w:b/>
        </w:rPr>
        <w:t/>
      </w:r>
      <w:r>
        <w:t/>
      </w:r>
      <w:r>
        <w:t xml:space="preserve"/>
      </w:r>
      <w:r>
        <w:rPr>
          <w:b/>
        </w:rPr>
        <w:t/>
      </w:r>
      <w:r>
        <w:t xml:space="preserve"/>
      </w:r>
      <w:r>
        <w:rPr>
          <w:b/>
        </w:rPr>
        <w:t/>
      </w:r>
      <w:r>
        <w:t xml:space="preserve"/>
      </w:r>
      <w:r>
        <w:rPr>
          <w:b/>
        </w:rPr>
        <w:t/>
      </w:r>
      <w:r>
        <w:t xml:space="preserve"/>
      </w:r>
      <w:r>
        <w:rPr>
          <w:rFonts w:ascii="Consolas" w:hAnsi="Consolas"/>
          <w:sz w:val="18"/>
        </w:rPr>
        <w:t/>
      </w:r>
      <w:r>
        <w:rPr>
          <w:rFonts w:ascii="Consolas" w:hAnsi="Consolas"/>
          <w:sz w:val="18"/>
        </w:rPr>
        <w:t/>
      </w:r>
      <w:r>
        <w:t/>
      </w:r>
    </w:p>
    <w:p w14:paraId="04072C85" w14:textId="77777777" w:rsidR="00BC3589" w:rsidRDefault="0080647A">
      <w:pPr>
        <w:keepNext/>
        <w:spacing w:before="180" w:after="60"/>
        <w:jc w:val="center"/>
      </w:pPr>
      <w:r>
        <w:rPr>
          <w:noProof/>
        </w:rPr>
        <w:drawing>
          <wp:inline distT="0" distB="0" distL="0" distR="0" wp14:anchorId="6920EE6A" wp14:editId="2F673A24">
            <wp:extent cx="5989320" cy="3833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ICBM152-first-render.png"/>
                    <pic:cNvPicPr/>
                  </pic:nvPicPr>
                  <pic:blipFill>
                    <a:blip r:embed="rId11"/>
                    <a:stretch>
                      <a:fillRect/>
                    </a:stretch>
                  </pic:blipFill>
                  <pic:spPr>
                    <a:xfrm>
                      <a:off x="0" y="0"/>
                      <a:ext cx="5989320" cy="3833165"/>
                    </a:xfrm>
                    <a:prstGeom prst="rect">
                      <a:avLst/>
                    </a:prstGeom>
                  </pic:spPr>
                </pic:pic>
              </a:graphicData>
            </a:graphic>
          </wp:inline>
        </w:drawing>
      </w:r>
    </w:p>
    <w:p w14:paraId="224391A8" w14:textId="77777777" w:rsidR="00BC3589" w:rsidRDefault="0080647A">
      <w:pPr>
        <w:pStyle w:val="FigureCaption"/>
        <w:jc w:val="center"/>
      </w:pPr>
      <w:r>
        <w:t xml:space="preserve">Figure 2. Step 1 selects Surface Mesh Add; step 2 validates and loads the selected inputs.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31C84A7" w14:textId="77777777">
        <w:trPr>
          <w:tblHeader/>
        </w:trPr>
        <w:tc>
          <w:tcPr>
            <w:tcW w:w="1800" w:type="dxa"/>
            <w:shd w:val="clear" w:color="auto" w:fill="E8EDF3"/>
            <w:tcMar>
              <w:top w:w="65" w:type="dxa"/>
              <w:left w:w="95" w:type="dxa"/>
              <w:bottom w:w="65" w:type="dxa"/>
              <w:right w:w="95" w:type="dxa"/>
            </w:tcMar>
            <w:vAlign w:val="center"/>
          </w:tcPr>
          <w:p w14:paraId="15379B5F" w14:textId="77777777" w:rsidR="00BC3589" w:rsidRDefault="0080647A">
            <w:pPr>
              <w:pStyle w:val="TableText"/>
            </w:pPr>
            <w:r>
              <w:rPr>
                <w:b/>
              </w:rPr>
              <w:t>Role in Data Sources</w:t>
            </w:r>
          </w:p>
        </w:tc>
        <w:tc>
          <w:tcPr>
            <w:tcW w:w="2952" w:type="dxa"/>
            <w:shd w:val="clear" w:color="auto" w:fill="E8EDF3"/>
            <w:tcMar>
              <w:top w:w="65" w:type="dxa"/>
              <w:left w:w="95" w:type="dxa"/>
              <w:bottom w:w="65" w:type="dxa"/>
              <w:right w:w="95" w:type="dxa"/>
            </w:tcMar>
            <w:vAlign w:val="center"/>
          </w:tcPr>
          <w:p w14:paraId="11504DFA" w14:textId="77777777" w:rsidR="00BC3589" w:rsidRDefault="0080647A">
            <w:pPr>
              <w:pStyle w:val="TableText"/>
            </w:pPr>
            <w:r>
              <w:rPr>
                <w:b/>
              </w:rPr>
              <w:t>Typical input</w:t>
            </w:r>
          </w:p>
        </w:tc>
        <w:tc>
          <w:tcPr>
            <w:tcW w:w="4925" w:type="dxa"/>
            <w:shd w:val="clear" w:color="auto" w:fill="E8EDF3"/>
            <w:tcMar>
              <w:top w:w="65" w:type="dxa"/>
              <w:left w:w="95" w:type="dxa"/>
              <w:bottom w:w="65" w:type="dxa"/>
              <w:right w:w="95" w:type="dxa"/>
            </w:tcMar>
            <w:vAlign w:val="center"/>
          </w:tcPr>
          <w:p w14:paraId="50CC27B7" w14:textId="77777777" w:rsidR="00BC3589" w:rsidRDefault="0080647A">
            <w:pPr>
              <w:pStyle w:val="TableText"/>
            </w:pPr>
            <w:r>
              <w:rPr>
                <w:b/>
              </w:rPr>
              <w:t>Key correspondence rule</w:t>
            </w:r>
          </w:p>
        </w:tc>
      </w:tr>
      <w:tr w:rsidR="00BC3589" w14:paraId="0D7DDDD9" w14:textId="77777777">
        <w:trPr>
          <w:cantSplit/>
        </w:trPr>
        <w:tc>
          <w:tcPr>
            <w:tcW w:w="1800" w:type="dxa"/>
            <w:tcMar>
              <w:top w:w="65" w:type="dxa"/>
              <w:left w:w="95" w:type="dxa"/>
              <w:bottom w:w="65" w:type="dxa"/>
              <w:right w:w="95" w:type="dxa"/>
            </w:tcMar>
            <w:vAlign w:val="center"/>
          </w:tcPr>
          <w:p w14:paraId="3819C718" w14:textId="77777777" w:rsidR="00BC3589" w:rsidRDefault="0080647A">
            <w:pPr>
              <w:pStyle w:val="TableText"/>
            </w:pPr>
            <w:r>
              <w:rPr>
                <w:b/>
              </w:rPr>
              <w:t>Surface Mesh</w:t>
            </w:r>
          </w:p>
        </w:tc>
        <w:tc>
          <w:tcPr>
            <w:tcW w:w="2952" w:type="dxa"/>
            <w:tcMar>
              <w:top w:w="65" w:type="dxa"/>
              <w:left w:w="95" w:type="dxa"/>
              <w:bottom w:w="65" w:type="dxa"/>
              <w:right w:w="95" w:type="dxa"/>
            </w:tcMar>
            <w:vAlign w:val="center"/>
          </w:tcPr>
          <w:p w14:paraId="4FF7C80C" w14:textId="77777777" w:rsidR="00BC3589" w:rsidRDefault="0080647A">
            <w:pPr>
              <w:pStyle w:val="TableText"/>
            </w:pPr>
            <w:r>
              <w:rPr>
                <w:rFonts w:ascii="Consolas" w:hAnsi="Consolas"/>
                <w:sz w:val="18"/>
              </w:rPr>
              <w:t>.nv</w:t>
            </w:r>
            <w:r>
              <w:t xml:space="preserve">, </w:t>
            </w:r>
            <w:r>
              <w:rPr>
                <w:rFonts w:ascii="Consolas" w:hAnsi="Consolas"/>
                <w:sz w:val="18"/>
              </w:rPr>
              <w:t>.gii/.gii.gz</w:t>
            </w:r>
            <w:r>
              <w:t xml:space="preserve">, </w:t>
            </w:r>
            <w:r>
              <w:rPr>
                <w:rFonts w:ascii="Consolas" w:hAnsi="Consolas"/>
                <w:sz w:val="18"/>
              </w:rPr>
              <w:t>.pial</w:t>
            </w:r>
            <w:r>
              <w:t xml:space="preserve">, </w:t>
            </w:r>
            <w:r>
              <w:rPr>
                <w:rFonts w:ascii="Consolas" w:hAnsi="Consolas"/>
                <w:sz w:val="18"/>
              </w:rPr>
              <w:t>.mesh</w:t>
            </w:r>
            <w:r>
              <w:t xml:space="preserve">, </w:t>
            </w:r>
            <w:r>
              <w:rPr>
                <w:rFonts w:ascii="Consolas" w:hAnsi="Consolas"/>
                <w:sz w:val="18"/>
              </w:rPr>
              <w:t>.g</w:t>
            </w:r>
            <w:r>
              <w:t xml:space="preserve">, MNI/BIC </w:t>
            </w:r>
            <w:r>
              <w:rPr>
                <w:rFonts w:ascii="Consolas" w:hAnsi="Consolas"/>
                <w:sz w:val="18"/>
              </w:rPr>
              <w:t>.obj</w:t>
            </w:r>
            <w:r>
              <w:t xml:space="preserve">, </w:t>
            </w:r>
            <w:r>
              <w:rPr>
                <w:rFonts w:ascii="Consolas" w:hAnsi="Consolas"/>
                <w:sz w:val="18"/>
              </w:rPr>
              <w:t>.mz3/.mz3.gz</w:t>
            </w:r>
          </w:p>
        </w:tc>
        <w:tc>
          <w:tcPr>
            <w:tcW w:w="4925" w:type="dxa"/>
            <w:tcMar>
              <w:top w:w="65" w:type="dxa"/>
              <w:left w:w="95" w:type="dxa"/>
              <w:bottom w:w="65" w:type="dxa"/>
              <w:right w:w="95" w:type="dxa"/>
            </w:tcMar>
            <w:vAlign w:val="center"/>
          </w:tcPr>
          <w:p w14:paraId="6FC25683" w14:textId="77777777" w:rsidR="00BC3589" w:rsidRDefault="0080647A">
            <w:pPr>
              <w:pStyle w:val="TableText"/>
            </w:pPr>
            <w:r>
              <w:t>Geometry supplies XYZ and faces; a readable surface alone does not define MNI/subject space. See Chapter 15.</w:t>
            </w:r>
          </w:p>
        </w:tc>
      </w:tr>
      <w:tr w:rsidR="00BC3589" w14:paraId="06F9210A" w14:textId="77777777">
        <w:trPr>
          <w:cantSplit/>
        </w:trPr>
        <w:tc>
          <w:tcPr>
            <w:tcW w:w="1800" w:type="dxa"/>
            <w:tcMar>
              <w:top w:w="65" w:type="dxa"/>
              <w:left w:w="95" w:type="dxa"/>
              <w:bottom w:w="65" w:type="dxa"/>
              <w:right w:w="95" w:type="dxa"/>
            </w:tcMar>
            <w:vAlign w:val="center"/>
          </w:tcPr>
          <w:p w14:paraId="30B483DB" w14:textId="77777777" w:rsidR="00BC3589" w:rsidRDefault="0080647A">
            <w:pPr>
              <w:pStyle w:val="TableText"/>
            </w:pPr>
            <w:r>
              <w:rPr>
                <w:b/>
              </w:rPr>
              <w:t>Nodes</w:t>
            </w:r>
          </w:p>
        </w:tc>
        <w:tc>
          <w:tcPr>
            <w:tcW w:w="2952" w:type="dxa"/>
            <w:tcMar>
              <w:top w:w="65" w:type="dxa"/>
              <w:left w:w="95" w:type="dxa"/>
              <w:bottom w:w="65" w:type="dxa"/>
              <w:right w:w="95" w:type="dxa"/>
            </w:tcMar>
            <w:vAlign w:val="center"/>
          </w:tcPr>
          <w:p w14:paraId="183340FA" w14:textId="77777777" w:rsidR="00BC3589" w:rsidRDefault="0080647A">
            <w:pPr>
              <w:pStyle w:val="TableText"/>
            </w:pPr>
            <w:r>
              <w:t xml:space="preserve">BrainNet </w:t>
            </w:r>
            <w:r>
              <w:rPr>
                <w:rFonts w:ascii="Consolas" w:hAnsi="Consolas"/>
                <w:sz w:val="18"/>
              </w:rPr>
              <w:t>.node</w:t>
            </w:r>
          </w:p>
        </w:tc>
        <w:tc>
          <w:tcPr>
            <w:tcW w:w="4925" w:type="dxa"/>
            <w:tcMar>
              <w:top w:w="65" w:type="dxa"/>
              <w:left w:w="95" w:type="dxa"/>
              <w:bottom w:w="65" w:type="dxa"/>
              <w:right w:w="95" w:type="dxa"/>
            </w:tcMar>
            <w:vAlign w:val="center"/>
          </w:tcPr>
          <w:p w14:paraId="01507730" w14:textId="77777777" w:rsidR="00BC3589" w:rsidRDefault="0080647A">
            <w:pPr>
              <w:pStyle w:val="TableText"/>
            </w:pPr>
            <w:r>
              <w:t>Each row is a marker with coordinates and display fields. Preserve row order when pairing with an edge matrix; illustrative columns are not automatically measured quantities. See Chapter 8.</w:t>
            </w:r>
          </w:p>
        </w:tc>
      </w:tr>
      <w:tr w:rsidR="00BC3589" w14:paraId="72739F7C" w14:textId="77777777">
        <w:trPr>
          <w:cantSplit/>
        </w:trPr>
        <w:tc>
          <w:tcPr>
            <w:tcW w:w="1800" w:type="dxa"/>
            <w:tcMar>
              <w:top w:w="65" w:type="dxa"/>
              <w:left w:w="95" w:type="dxa"/>
              <w:bottom w:w="65" w:type="dxa"/>
              <w:right w:w="95" w:type="dxa"/>
            </w:tcMar>
            <w:vAlign w:val="center"/>
          </w:tcPr>
          <w:p w14:paraId="1E7543BE" w14:textId="77777777" w:rsidR="00BC3589" w:rsidRDefault="0080647A">
            <w:pPr>
              <w:pStyle w:val="TableText"/>
            </w:pPr>
            <w:r>
              <w:rPr>
                <w:b/>
              </w:rPr>
              <w:t>Edges</w:t>
            </w:r>
          </w:p>
        </w:tc>
        <w:tc>
          <w:tcPr>
            <w:tcW w:w="2952" w:type="dxa"/>
            <w:tcMar>
              <w:top w:w="65" w:type="dxa"/>
              <w:left w:w="95" w:type="dxa"/>
              <w:bottom w:w="65" w:type="dxa"/>
              <w:right w:w="95" w:type="dxa"/>
            </w:tcMar>
            <w:vAlign w:val="center"/>
          </w:tcPr>
          <w:p w14:paraId="13B49D77" w14:textId="77777777" w:rsidR="00BC3589" w:rsidRDefault="0080647A">
            <w:pPr>
              <w:pStyle w:val="TableText"/>
            </w:pPr>
            <w:r>
              <w:t xml:space="preserve">BrainNet </w:t>
            </w:r>
            <w:r>
              <w:rPr>
                <w:rFonts w:ascii="Consolas" w:hAnsi="Consolas"/>
                <w:sz w:val="18"/>
              </w:rPr>
              <w:t>.edge</w:t>
            </w:r>
          </w:p>
        </w:tc>
        <w:tc>
          <w:tcPr>
            <w:tcW w:w="4925" w:type="dxa"/>
            <w:tcMar>
              <w:top w:w="65" w:type="dxa"/>
              <w:left w:w="95" w:type="dxa"/>
              <w:bottom w:w="65" w:type="dxa"/>
              <w:right w:w="95" w:type="dxa"/>
            </w:tcMar>
            <w:vAlign w:val="center"/>
          </w:tcPr>
          <w:p w14:paraId="13099A5D" w14:textId="77777777" w:rsidR="00BC3589" w:rsidRDefault="0080647A">
            <w:pPr>
              <w:pStyle w:val="TableText"/>
            </w:pPr>
            <w:r>
              <w:t xml:space="preserve">Matrix rows/columns must correspond to node </w:t>
            </w:r>
            <w:r>
              <w:t>rows; directedness and threshold semantics depend on settings. See Chapter 9.</w:t>
            </w:r>
          </w:p>
        </w:tc>
      </w:tr>
      <w:tr w:rsidR="00BC3589" w14:paraId="51CB941A" w14:textId="77777777">
        <w:trPr>
          <w:cantSplit/>
        </w:trPr>
        <w:tc>
          <w:tcPr>
            <w:tcW w:w="1800" w:type="dxa"/>
            <w:tcMar>
              <w:top w:w="65" w:type="dxa"/>
              <w:left w:w="95" w:type="dxa"/>
              <w:bottom w:w="65" w:type="dxa"/>
              <w:right w:w="95" w:type="dxa"/>
            </w:tcMar>
            <w:vAlign w:val="center"/>
          </w:tcPr>
          <w:p w14:paraId="58BA5B5C" w14:textId="77777777" w:rsidR="00BC3589" w:rsidRDefault="0080647A">
            <w:pPr>
              <w:pStyle w:val="TableText"/>
            </w:pPr>
            <w:r>
              <w:rPr>
                <w:b/>
              </w:rPr>
              <w:t>Surface Map</w:t>
            </w:r>
          </w:p>
        </w:tc>
        <w:tc>
          <w:tcPr>
            <w:tcW w:w="2952" w:type="dxa"/>
            <w:tcMar>
              <w:top w:w="65" w:type="dxa"/>
              <w:left w:w="95" w:type="dxa"/>
              <w:bottom w:w="65" w:type="dxa"/>
              <w:right w:w="95" w:type="dxa"/>
            </w:tcMar>
            <w:vAlign w:val="center"/>
          </w:tcPr>
          <w:p w14:paraId="004FABAC" w14:textId="77777777" w:rsidR="00BC3589" w:rsidRDefault="0080647A">
            <w:pPr>
              <w:pStyle w:val="TableText"/>
            </w:pPr>
            <w:r>
              <w:t>Original-order per-vertex scalar text</w:t>
            </w:r>
          </w:p>
        </w:tc>
        <w:tc>
          <w:tcPr>
            <w:tcW w:w="4925" w:type="dxa"/>
            <w:tcMar>
              <w:top w:w="65" w:type="dxa"/>
              <w:left w:w="95" w:type="dxa"/>
              <w:bottom w:w="65" w:type="dxa"/>
              <w:right w:w="95" w:type="dxa"/>
            </w:tcMar>
            <w:vAlign w:val="center"/>
          </w:tcPr>
          <w:p w14:paraId="0B799165" w14:textId="77777777" w:rsidR="00BC3589" w:rsidRDefault="0080647A">
            <w:pPr>
              <w:pStyle w:val="TableText"/>
            </w:pPr>
            <w:r>
              <w:t xml:space="preserve">One value per mesh vertex in the </w:t>
            </w:r>
            <w:r>
              <w:rPr>
                <w:b/>
              </w:rPr>
              <w:t>same vertex order</w:t>
            </w:r>
            <w:r>
              <w:t>. Equal length does not prove atlas correspondence; see Chapter 7.</w:t>
            </w:r>
          </w:p>
        </w:tc>
      </w:tr>
      <w:tr w:rsidR="00BC3589" w14:paraId="25970865" w14:textId="77777777">
        <w:trPr>
          <w:cantSplit/>
        </w:trPr>
        <w:tc>
          <w:tcPr>
            <w:tcW w:w="1800" w:type="dxa"/>
            <w:tcMar>
              <w:top w:w="65" w:type="dxa"/>
              <w:left w:w="95" w:type="dxa"/>
              <w:bottom w:w="65" w:type="dxa"/>
              <w:right w:w="95" w:type="dxa"/>
            </w:tcMar>
            <w:vAlign w:val="center"/>
          </w:tcPr>
          <w:p w14:paraId="09FD8B72" w14:textId="77777777" w:rsidR="00BC3589" w:rsidRDefault="0080647A">
            <w:pPr>
              <w:pStyle w:val="TableText"/>
            </w:pPr>
            <w:r>
              <w:rPr>
                <w:b/>
              </w:rPr>
              <w:t>Volume</w:t>
            </w:r>
          </w:p>
        </w:tc>
        <w:tc>
          <w:tcPr>
            <w:tcW w:w="2952" w:type="dxa"/>
            <w:tcMar>
              <w:top w:w="65" w:type="dxa"/>
              <w:left w:w="95" w:type="dxa"/>
              <w:bottom w:w="65" w:type="dxa"/>
              <w:right w:w="95" w:type="dxa"/>
            </w:tcMar>
            <w:vAlign w:val="center"/>
          </w:tcPr>
          <w:p w14:paraId="5EDB4F15" w14:textId="77777777" w:rsidR="00BC3589" w:rsidRDefault="0080647A">
            <w:pPr>
              <w:pStyle w:val="TableText"/>
            </w:pPr>
            <w:r>
              <w:t>NI</w:t>
            </w:r>
            <w:r>
              <w:t xml:space="preserve">fTI-1/2 </w:t>
            </w:r>
            <w:r>
              <w:rPr>
                <w:rFonts w:ascii="Consolas" w:hAnsi="Consolas"/>
                <w:sz w:val="18"/>
              </w:rPr>
              <w:t>.nii/.nii.gz</w:t>
            </w:r>
            <w:r>
              <w:t xml:space="preserve"> or supported paired </w:t>
            </w:r>
            <w:r>
              <w:rPr>
                <w:rFonts w:ascii="Consolas" w:hAnsi="Consolas"/>
                <w:sz w:val="18"/>
              </w:rPr>
              <w:t>.hdr/.img</w:t>
            </w:r>
          </w:p>
        </w:tc>
        <w:tc>
          <w:tcPr>
            <w:tcW w:w="4925" w:type="dxa"/>
            <w:tcMar>
              <w:top w:w="65" w:type="dxa"/>
              <w:left w:w="95" w:type="dxa"/>
              <w:bottom w:w="65" w:type="dxa"/>
              <w:right w:w="95" w:type="dxa"/>
            </w:tcMar>
            <w:vAlign w:val="center"/>
          </w:tcPr>
          <w:p w14:paraId="1E75BB16" w14:textId="77777777" w:rsidR="00BC3589" w:rsidRDefault="0080647A">
            <w:pPr>
              <w:pStyle w:val="TableText"/>
            </w:pPr>
            <w:r>
              <w:t>Header/affine and statistic metadata matter. A readable volume need not be registered to a separate surface; see Chapter 10 and Chapter 11.</w:t>
            </w:r>
          </w:p>
        </w:tc>
      </w:tr>
      <w:tr w:rsidR="00BC3589" w14:paraId="4AE25C57" w14:textId="77777777">
        <w:trPr>
          <w:cantSplit/>
        </w:trPr>
        <w:tc>
          <w:tcPr>
            <w:tcW w:w="1800" w:type="dxa"/>
            <w:tcMar>
              <w:top w:w="65" w:type="dxa"/>
              <w:left w:w="95" w:type="dxa"/>
              <w:bottom w:w="65" w:type="dxa"/>
              <w:right w:w="95" w:type="dxa"/>
            </w:tcMar>
            <w:vAlign w:val="center"/>
          </w:tcPr>
          <w:p w14:paraId="2E29D685" w14:textId="77777777" w:rsidR="00BC3589" w:rsidRDefault="0080647A">
            <w:pPr>
              <w:pStyle w:val="TableText"/>
            </w:pPr>
            <w:r>
              <w:rPr>
                <w:b/>
              </w:rPr>
              <w:t>Scene File</w:t>
            </w:r>
          </w:p>
        </w:tc>
        <w:tc>
          <w:tcPr>
            <w:tcW w:w="2952" w:type="dxa"/>
            <w:tcMar>
              <w:top w:w="65" w:type="dxa"/>
              <w:left w:w="95" w:type="dxa"/>
              <w:bottom w:w="65" w:type="dxa"/>
              <w:right w:w="95" w:type="dxa"/>
            </w:tcMar>
            <w:vAlign w:val="center"/>
          </w:tcPr>
          <w:p w14:paraId="16177F44" w14:textId="77777777" w:rsidR="00BC3589" w:rsidRDefault="0080647A">
            <w:pPr>
              <w:pStyle w:val="TableText"/>
            </w:pPr>
            <w:r>
              <w:t xml:space="preserve">Modern </w:t>
            </w:r>
            <w:r>
              <w:rPr>
                <w:rFonts w:ascii="Consolas" w:hAnsi="Consolas"/>
                <w:sz w:val="18"/>
              </w:rPr>
              <w:t>.scene.json</w:t>
            </w:r>
          </w:p>
        </w:tc>
        <w:tc>
          <w:tcPr>
            <w:tcW w:w="4925" w:type="dxa"/>
            <w:tcMar>
              <w:top w:w="65" w:type="dxa"/>
              <w:left w:w="95" w:type="dxa"/>
              <w:bottom w:w="65" w:type="dxa"/>
              <w:right w:w="95" w:type="dxa"/>
            </w:tcMar>
            <w:vAlign w:val="center"/>
          </w:tcPr>
          <w:p w14:paraId="1E7A0A1A" w14:textId="77777777" w:rsidR="00BC3589" w:rsidRDefault="0080647A">
            <w:pPr>
              <w:pStyle w:val="TableText"/>
            </w:pPr>
            <w:r>
              <w:t>An analysis reference, not a mesh or volume; its files are resolved under the configured data root. See Chapter 4.</w:t>
            </w:r>
          </w:p>
        </w:tc>
      </w:tr>
    </w:tbl>
    <w:p w14:paraId="68FD47BA" w14:textId="77777777" w:rsidR="00BC3589" w:rsidRDefault="0080647A">
      <w:pPr>
        <w:spacing w:after="0"/>
      </w:pPr>
      <w:r>
        <w:rPr>
          <w:sz w:val="6"/>
        </w:rPr>
        <w:t xml:space="preserve"> </w:t>
      </w:r>
    </w:p>
    <w:p w14:paraId="57B58768" w14:textId="77777777" w:rsidR="00BC3589" w:rsidRDefault="0080647A">
      <w:pPr>
        <w:pStyle w:val="Heading2"/>
      </w:pPr>
      <w:r>
        <w:lastRenderedPageBreak/>
        <w:t>Choose a useful input combination</w:t>
      </w:r>
    </w:p>
    <w:p w14:paraId="6A187CA4" w14:textId="77777777" w:rsidR="00BC3589" w:rsidRDefault="0080647A">
      <w:r>
        <w:t xml:space="preserve">You do not need to load every role for every figure. A surface alone shows geometry; nodes alone </w:t>
      </w:r>
      <w:r>
        <w:t>show spatial markers; adding an edge matrix to nodes shows a network without an anatomical mesh. Combining a surface with nodes or with nodes and edges places those elements over anatomy. A scalar surface map or a volume-derived surface map requires a matc</w:t>
      </w:r>
      <w:r>
        <w:t>hing surface. The resulting map can also be shown with nodes and edges. To draw atlas or statistical ROIs, load a suitable volume and choose the ROI Volume Type; a surface makes their anatomical context easier to judge. An edge file without its matching no</w:t>
      </w:r>
      <w:r>
        <w:t>des cannot establish endpoint locations.</w:t>
      </w:r>
    </w:p>
    <w:p w14:paraId="487293F1" w14:textId="77777777" w:rsidR="00BC3589" w:rsidRDefault="0080647A">
      <w:r>
        <w:t xml:space="preserve">The nine examples below illustrate the different input combinations. For an analysis, start with the fewest data roles needed and add one file at a time. After each addition, inspect the Scene Summary and check that the layers are spatially consistent. Colors and camera positions can be adjusted independently of the input data.</w:t>
      </w:r>
      <w:r>
        <w:t xml:space="preserve"/>
      </w:r>
      <w:r w:rsidR="005A4BA6">
        <w:rPr>
          <w:rStyle w:val="CommentReference"/>
        </w:rPr>
      </w:r>
      <w:r>
        <w:t xml:space="preserve"/>
      </w:r>
      <w:r>
        <w:t xml:space="preserve"/>
      </w:r>
      <w:r w:rsidR="005A4BA6">
        <w:rPr>
          <w:rStyle w:val="CommentReference"/>
        </w:rPr>
      </w:r>
      <w:r>
        <w:t xml:space="preserve"/>
      </w:r>
      <w:r>
        <w:t xml:space="preserve"/>
      </w:r>
      <w:r>
        <w:t xml:space="preserve"/>
      </w:r>
    </w:p>
    <w:p w14:paraId="6EA261C2" w14:textId="77777777" w:rsidR="00BC3589" w:rsidRDefault="0080647A">
      <w:pPr>
        <w:keepNext/>
        <w:spacing w:before="180" w:after="60"/>
        <w:jc w:val="center"/>
      </w:pPr>
      <w:r>
        <w:rPr>
          <w:noProof/>
        </w:rPr>
        <w:drawing>
          <wp:inline distT="0" distB="0" distL="0" distR="0" wp14:anchorId="262E448E" wp14:editId="5808CE61">
            <wp:extent cx="5989320" cy="4522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file-combinations.png"/>
                    <pic:cNvPicPr/>
                  </pic:nvPicPr>
                  <pic:blipFill>
                    <a:blip r:embed="rId12"/>
                    <a:stretch>
                      <a:fillRect/>
                    </a:stretch>
                  </pic:blipFill>
                  <pic:spPr>
                    <a:xfrm>
                      <a:off x="0" y="0"/>
                      <a:ext cx="5989320" cy="4522548"/>
                    </a:xfrm>
                    <a:prstGeom prst="rect">
                      <a:avLst/>
                    </a:prstGeom>
                  </pic:spPr>
                </pic:pic>
              </a:graphicData>
            </a:graphic>
          </wp:inline>
        </w:drawing>
      </w:r>
    </w:p>
    <w:p w14:paraId="668D4E2E" w14:textId="77777777" w:rsidR="00BC3589" w:rsidRDefault="0080647A">
      <w:pPr>
        <w:pStyle w:val="FigureCaption"/>
        <w:jc w:val="center"/>
      </w:pPr>
      <w:r>
        <w:t xml:space="preserve">Figure 3. Data-role combinations for surface, node, edge and volume visualization. MATLAB illustration.</w:t>
      </w:r>
    </w:p>
    <w:p w14:paraId="55FD1A8B" w14:textId="77777777" w:rsidR="00BC3589" w:rsidRDefault="0080647A">
      <w:pPr>
        <w:pStyle w:val="Heading2"/>
      </w:pPr>
      <w:r>
        <w:t>Prepare text-based inputs</w:t>
      </w:r>
    </w:p>
    <w:p w14:paraId="69F02C8C" w14:textId="77777777" w:rsidR="00BC3589" w:rsidRDefault="0080647A">
      <w:r>
        <w:t xml:space="preserve">The BrainNet </w:t>
      </w:r>
      <w:r>
        <w:rPr>
          <w:rFonts w:ascii="Consolas" w:hAnsi="Consolas"/>
          <w:sz w:val="18"/>
        </w:rPr>
        <w:t>.nv</w:t>
      </w:r>
      <w:r>
        <w:t xml:space="preserve"> format begins with </w:t>
      </w:r>
      <w:r>
        <w:t xml:space="preserve">an integer vertex count, then that many XYZ coordinate triplets, an integer triangle count, and that many triplets of </w:t>
      </w:r>
      <w:r>
        <w:rPr>
          <w:b/>
        </w:rPr>
        <w:t>one-based</w:t>
      </w:r>
      <w:r>
        <w:t xml:space="preserve"> vertex indices. The number of coordinates and faces must agree with the declared counts. A </w:t>
      </w:r>
      <w:r>
        <w:rPr>
          <w:rFonts w:ascii="Consolas" w:hAnsi="Consolas"/>
          <w:sz w:val="18"/>
        </w:rPr>
        <w:t>#</w:t>
      </w:r>
      <w:r>
        <w:t xml:space="preserve"> comment may document provenance, bu</w:t>
      </w:r>
      <w:r>
        <w:t xml:space="preserve">t it does not change coordinates or supply a registration transform. Mesh utilities in Chapter 15 can create a new </w:t>
      </w:r>
      <w:r>
        <w:rPr>
          <w:rFonts w:ascii="Consolas" w:hAnsi="Consolas"/>
          <w:sz w:val="18"/>
        </w:rPr>
        <w:t>.nv</w:t>
      </w:r>
      <w:r>
        <w:t xml:space="preserve"> from supported formats after a review step.</w:t>
      </w:r>
    </w:p>
    <w:p w14:paraId="3DE9DFD6" w14:textId="77777777" w:rsidR="00BC3589" w:rsidRDefault="0080647A">
      <w:r>
        <w:lastRenderedPageBreak/>
        <w:t xml:space="preserve">A </w:t>
      </w:r>
      <w:r>
        <w:rPr>
          <w:rFonts w:ascii="Consolas" w:hAnsi="Consolas"/>
          <w:sz w:val="18"/>
        </w:rPr>
        <w:t>.node</w:t>
      </w:r>
      <w:r>
        <w:t xml:space="preserve"> file has one node per line: </w:t>
      </w:r>
      <w:r>
        <w:rPr>
          <w:rFonts w:ascii="Consolas" w:hAnsi="Consolas"/>
          <w:sz w:val="18"/>
        </w:rPr>
        <w:t>X Y Z color_or_module size label</w:t>
      </w:r>
      <w:r>
        <w:t>. The first five fields m</w:t>
      </w:r>
      <w:r>
        <w:t xml:space="preserve">ust be finite numbers; the final label may contain spaces. A label consisting of </w:t>
      </w:r>
      <w:r>
        <w:rPr>
          <w:rFonts w:ascii="Consolas" w:hAnsi="Consolas"/>
          <w:sz w:val="18"/>
        </w:rPr>
        <w:t>-</w:t>
      </w:r>
      <w:r>
        <w:t xml:space="preserve"> means no visible label. Column 4 may encode a continuous color value or a discrete module ID, depending on the Nodes color setting; column 5 controls mapped or raw radius. T</w:t>
      </w:r>
      <w:r>
        <w:t xml:space="preserve">he following three rows are a </w:t>
      </w:r>
      <w:r>
        <w:rPr>
          <w:b/>
        </w:rPr>
        <w:t>format example only</w:t>
      </w:r>
      <w:r>
        <w:t>, not atlas coordinates:</w:t>
      </w:r>
    </w:p>
    <w:p w14:paraId="503CDA93" w14:textId="77777777" w:rsidR="00BC3589" w:rsidRDefault="0080647A">
      <w:pPr>
        <w:pStyle w:val="Code"/>
      </w:pPr>
      <w:r>
        <w:t>0 0 0 1 2 Region_A</w:t>
      </w:r>
      <w:r>
        <w:br/>
        <w:t>10 0 0 2 3 Region_B</w:t>
      </w:r>
      <w:r>
        <w:br/>
        <w:t>0 10 0 2 1 Region_C</w:t>
      </w:r>
    </w:p>
    <w:p w14:paraId="499A1E55" w14:textId="77777777" w:rsidR="00BC3589" w:rsidRDefault="0080647A">
      <w:r>
        <w:t xml:space="preserve">The matching </w:t>
      </w:r>
      <w:r>
        <w:rPr>
          <w:rFonts w:ascii="Consolas" w:hAnsi="Consolas"/>
          <w:sz w:val="18"/>
        </w:rPr>
        <w:t>.edge</w:t>
      </w:r>
      <w:r>
        <w:t xml:space="preserve"> file is a whitespace-delimited 3×3 numeric matrix in precisely the same node order. For example, the fir</w:t>
      </w:r>
      <w:r>
        <w:t>st row below describes values from Region_A to Regions A, B and C:</w:t>
      </w:r>
    </w:p>
    <w:p w14:paraId="388A700E" w14:textId="77777777" w:rsidR="00BC3589" w:rsidRDefault="0080647A">
      <w:pPr>
        <w:pStyle w:val="Code"/>
      </w:pPr>
      <w:r>
        <w:t>0   0.4 0</w:t>
      </w:r>
      <w:r>
        <w:br/>
        <w:t>0.4 0   -0.2</w:t>
      </w:r>
      <w:r>
        <w:br/>
        <w:t>0   -0.2 0</w:t>
      </w:r>
    </w:p>
    <w:p w14:paraId="31F9A65F" w14:textId="77777777" w:rsidR="00BC3589" w:rsidRDefault="0080647A">
      <w:r>
        <w:t xml:space="preserve">Zero denotes an absent edge. In undirected mode, only eligible upper-triangle entries are drawn; in directed mode, ordered off-diagonal entries can be drawn separately. A file may contain # comments. Do not treat this illustrative matrix as a real functional-connectivity estimate. For a per-vertex text Surface Map, provide exactly one scalar (finite values; Python also accepts NaN as missing) per vertex in the mesh's original vertex order; a matching count without a trustworthy vertex correspondence is insufficient.</w:t>
      </w:r>
      <w:r>
        <w:t xml:space="preserve"/>
      </w:r>
      <w:r>
        <w:rPr>
          <w:rFonts w:ascii="Consolas" w:hAnsi="Consolas"/>
          <w:sz w:val="18"/>
        </w:rPr>
        <w:t/>
      </w:r>
      <w:r>
        <w:t xml:space="preserve"/>
      </w:r>
      <w:r>
        <w:rPr>
          <w:b/>
        </w:rPr>
        <w:t/>
      </w:r>
      <w:r>
        <w:t/>
      </w:r>
      <w:r>
        <w:t/>
      </w:r>
    </w:p>
    <w:p w14:paraId="517069D2" w14:textId="77777777" w:rsidR="00BC3589" w:rsidRDefault="0080647A">
      <w:r>
        <w:t xml:space="preserve">Atlas families are not interchangeable node orders or coordinate spaces. Check the package's file inventory, attribution and each sample's node count before pairing any .node with an .edge. </w:t>
      </w:r>
      <w:r>
        <w:t>Do not infer that a numerical atlas ID is a statistical effect size.</w:t>
      </w:r>
    </w:p>
    <w:p w14:paraId="609878ED" w14:textId="77777777" w:rsidR="00BC3589" w:rsidRDefault="0080647A">
      <w:r>
        <w:t xml:space="preserve">The independent modern NIfTI/GIfTI readers do </w:t>
      </w:r>
      <w:r>
        <w:rPr>
          <w:b/>
        </w:rPr>
        <w:t>not</w:t>
      </w:r>
      <w:r>
        <w:t xml:space="preserve"> require SPM. Plain Analyze 7.5 </w:t>
      </w:r>
      <w:r>
        <w:rPr>
          <w:rFonts w:ascii="Consolas" w:hAnsi="Consolas"/>
          <w:sz w:val="18"/>
        </w:rPr>
        <w:t>.hdr/.img</w:t>
      </w:r>
      <w:r>
        <w:t xml:space="preserve"> lacking NIfTI magic is not accepted. GIfTI external binary arrays are supported within the reade</w:t>
      </w:r>
      <w:r>
        <w:t xml:space="preserve">r's validation rules; keep companions together when moving data. For surface formats, </w:t>
      </w:r>
      <w:r>
        <w:rPr>
          <w:rFonts w:ascii="Consolas" w:hAnsi="Consolas"/>
          <w:sz w:val="18"/>
        </w:rPr>
        <w:t>.obj</w:t>
      </w:r>
      <w:r>
        <w:t xml:space="preserve"> means </w:t>
      </w:r>
      <w:r>
        <w:rPr>
          <w:b/>
        </w:rPr>
        <w:t>MNI/BIC</w:t>
      </w:r>
      <w:r>
        <w:t xml:space="preserve">, not Wavefront; </w:t>
      </w:r>
      <w:r>
        <w:rPr>
          <w:rFonts w:ascii="Consolas" w:hAnsi="Consolas"/>
          <w:sz w:val="18"/>
        </w:rPr>
        <w:t>.mesh</w:t>
      </w:r>
      <w:r>
        <w:t xml:space="preserve"> means the supported BrainVISA encoding, not arbitrary Medit data. FreeSurfer </w:t>
      </w:r>
      <w:r>
        <w:rPr>
          <w:rFonts w:ascii="Consolas" w:hAnsi="Consolas"/>
          <w:sz w:val="18"/>
        </w:rPr>
        <w:t>.pial</w:t>
      </w:r>
      <w:r>
        <w:t xml:space="preserve"> geometry is kept in stored surface coordinates</w:t>
      </w:r>
      <w:r>
        <w:t>; it is not automatically scanner-RAS or MNI. BrainVISA geometry is kept as stored rather than applying the old implicit XYZ inversion. GIfTI transforms/metadata may be recorded without applying registration. Format support does not imply that embedded MZ3</w:t>
      </w:r>
      <w:r>
        <w:t xml:space="preserve"> scalars/RGBA are automatically used for display. Consult the detailed matrix and Chapter 15 for explicit rejections.</w:t>
      </w:r>
    </w:p>
    <w:p w14:paraId="5463FB8E" w14:textId="77777777" w:rsidR="00BC3589" w:rsidRDefault="0080647A">
      <w:pPr>
        <w:pStyle w:val="Heading2"/>
      </w:pPr>
      <w:r>
        <w:t>Outside-root files and portability</w:t>
      </w:r>
    </w:p>
    <w:p w14:paraId="1AB6602A" w14:textId="77777777" w:rsidR="00BC3589" w:rsidRDefault="0080647A">
      <w:r>
        <w:t xml:space="preserve">MATLAB: For a file outside the App's configured root, the desktop asks Stage and Add or Cancel. Approval makes a verified copy under user-data/imports/&lt;hash&gt;/ and stages supported companions, leaving the original untouched. It does not transfer rights to publish the copy. A programmatic selectInputPath requires explicit external-import approval; the CLI does not silently stage arbitrary absolute paths. A portable Scene keeps relative references and hashes, but not the bytes of the input files. Preserve their relative directory structure beneath the destination data root. See Chapter 4.</w:t>
      </w:r>
      <w:r>
        <w:rPr>
          <w:b/>
        </w:rPr>
        <w:t/>
      </w:r>
      <w:r>
        <w:t xml:space="preserve"/>
      </w:r>
      <w:r>
        <w:rPr>
          <w:b/>
        </w:rPr>
        <w:t/>
      </w:r>
      <w:r>
        <w:t xml:space="preserve"/>
      </w:r>
      <w:r>
        <w:rPr>
          <w:rFonts w:ascii="Consolas" w:hAnsi="Consolas"/>
          <w:sz w:val="18"/>
        </w:rPr>
        <w:t/>
      </w:r>
      <w:r>
        <w:t xml:space="preserve"/>
      </w:r>
      <w:r>
        <w:rPr>
          <w:b/>
        </w:rPr>
        <w:t/>
      </w:r>
      <w:r>
        <w:t xml:space="preserve"/>
      </w:r>
      <w:r>
        <w:t xml:space="preserve"/>
      </w:r>
      <w:r>
        <w:rPr>
          <w:rFonts w:ascii="Consolas" w:hAnsi="Consolas"/>
          <w:sz w:val="18"/>
        </w:rPr>
        <w:t/>
      </w:r>
      <w:r>
        <w:t xml:space="preserve"/>
      </w:r>
      <w:r>
        <w:rPr>
          <w:b/>
        </w:rPr>
        <w:t/>
      </w:r>
      <w:r>
        <w:t/>
      </w:r>
      <w:r>
        <w:t/>
      </w:r>
    </w:p>
    <w:p>
      <w:pPr>
        <w:pStyle w:val="Heading2"/>
        <w:keepNext/>
      </w:pPr>
      <w:r>
        <w:t xml:space="preserve">Python data and Scene portability</w:t>
      </w:r>
    </w:p>
    <w:p>
      <w:pPr>
        <w:pStyle w:val="Normal"/>
      </w:pPr>
      <w:r>
        <w:t xml:space="preserve">Python accepts selected external files and saves a Scene with companion assets beside its JSON. Preserve this asset structure when moving the Scene. The Python CLI defaults to the JSON directory as its data root; MATLAB resolves references against its configured root. Same file count or a matching hash does not establish anatomical correspondence.</w:t>
      </w:r>
    </w:p>
    <w:p>
      <w:pPr>
        <w:pStyle w:val="Normal"/>
      </w:pPr>
      <w:r>
        <w:t xml:space="preserve">The paired atlas-network examples include AAL3v2, Glasser360, Power264, Shen278 and Schaefer100/200/400Yeo7. Node values encode connection strength and module fields encode network assignments. These are group-level resting-state examples from healthy adults, not normative estimates. Pair matching node/edge names; keep historical AAL90 tutorials distinct from AAL3 IDs.</w:t>
      </w:r>
    </w:p>
    <w:p w14:paraId="6193DC1C" w14:textId="77777777" w:rsidR="00BC3589" w:rsidRDefault="0080647A">
      <w:pPr>
        <w:pStyle w:val="Heading2"/>
      </w:pPr>
      <w:r>
        <w:t>Scientific alignment check</w:t>
      </w:r>
    </w:p>
    <w:p w14:paraId="00700880" w14:textId="77777777" w:rsidR="00BC3589" w:rsidRDefault="0080647A">
      <w:r>
        <w:t>Before combining inputs, identify species/template or subject, XYZ convention and handedness, physical units, surface vertex order, volume affine, and atlas</w:t>
      </w:r>
      <w:r>
        <w:t xml:space="preserve">/statistic meaning. Volume mapping may use the NIfTI affine to sample voxels, but </w:t>
      </w:r>
      <w:r>
        <w:rPr>
          <w:b/>
        </w:rPr>
        <w:t>does not register two datasets</w:t>
      </w:r>
      <w:r>
        <w:t>. Inspect assumes compatible MNI-like coordinates for its AAL/Brodmann lookup and does not perform an affine registration. A file hash establish</w:t>
      </w:r>
      <w:r>
        <w:t>es identity, not spatial alignment, license clearance or statistical validity. If any of these are unknown, stop anatomical interpretation and document the uncertainty. The real AAL vertex-map lesson and T-map lesson show exact-file examples with their lim</w:t>
      </w:r>
      <w:r>
        <w:t>its.</w:t>
      </w:r>
    </w:p>
    <w:p w14:paraId="6502C04F" w14:textId="77777777" w:rsidR="00BC3589" w:rsidRDefault="0080647A">
      <w:pPr>
        <w:pStyle w:val="Heading1"/>
        <w:pageBreakBefore/>
      </w:pPr>
      <w:bookmarkStart w:id="4" w:name="bnv_chapter_4"/>
      <w:r>
        <w:lastRenderedPageBreak/>
        <w:t xml:space="preserve">4 Scenes and presets</w:t>
      </w:r>
      <w:bookmarkEnd w:id="4"/>
    </w:p>
    <w:p w14:paraId="35987E2D" w14:textId="77777777" w:rsidR="00BC3589" w:rsidRDefault="0080647A">
      <w:pPr>
        <w:pStyle w:val="Heading2"/>
      </w:pPr>
      <w:r>
        <w:t>Choose the right file</w:t>
      </w:r>
      <w:r>
        <w:rPr>
          <w:rStyle w:val="CommentReference"/>
          <w:b w:val="0"/>
          <w:bCs w:val="0"/>
        </w:rPr>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C18B" w14:textId="77777777">
        <w:trPr>
          <w:tblHeader/>
        </w:trPr>
        <w:tc>
          <w:tcPr>
            <w:tcW w:w="1800" w:type="dxa"/>
            <w:shd w:val="clear" w:color="auto" w:fill="E8EDF3"/>
            <w:tcMar>
              <w:top w:w="65" w:type="dxa"/>
              <w:left w:w="95" w:type="dxa"/>
              <w:bottom w:w="65" w:type="dxa"/>
              <w:right w:w="95" w:type="dxa"/>
            </w:tcMar>
            <w:vAlign w:val="center"/>
          </w:tcPr>
          <w:p w14:paraId="362D63BB" w14:textId="77777777" w:rsidR="00BC3589" w:rsidRDefault="0080647A">
            <w:pPr>
              <w:pStyle w:val="TableText"/>
            </w:pPr>
            <w:r>
              <w:rPr>
                <w:b/>
              </w:rPr>
              <w:t>Need</w:t>
            </w:r>
          </w:p>
        </w:tc>
        <w:tc>
          <w:tcPr>
            <w:tcW w:w="2952" w:type="dxa"/>
            <w:shd w:val="clear" w:color="auto" w:fill="E8EDF3"/>
            <w:tcMar>
              <w:top w:w="65" w:type="dxa"/>
              <w:left w:w="95" w:type="dxa"/>
              <w:bottom w:w="65" w:type="dxa"/>
              <w:right w:w="95" w:type="dxa"/>
            </w:tcMar>
            <w:vAlign w:val="center"/>
          </w:tcPr>
          <w:p w14:paraId="0657DF8B" w14:textId="77777777" w:rsidR="00BC3589" w:rsidRDefault="0080647A">
            <w:pPr>
              <w:pStyle w:val="TableText"/>
            </w:pPr>
            <w:r>
              <w:rPr>
                <w:b/>
              </w:rPr>
              <w:t>Use</w:t>
            </w:r>
          </w:p>
        </w:tc>
        <w:tc>
          <w:tcPr>
            <w:tcW w:w="4925" w:type="dxa"/>
            <w:shd w:val="clear" w:color="auto" w:fill="E8EDF3"/>
            <w:tcMar>
              <w:top w:w="65" w:type="dxa"/>
              <w:left w:w="95" w:type="dxa"/>
              <w:bottom w:w="65" w:type="dxa"/>
              <w:right w:w="95" w:type="dxa"/>
            </w:tcMar>
            <w:vAlign w:val="center"/>
          </w:tcPr>
          <w:p w14:paraId="74278C78" w14:textId="77777777" w:rsidR="00BC3589" w:rsidRDefault="0080647A">
            <w:pPr>
              <w:pStyle w:val="TableText"/>
            </w:pPr>
            <w:r>
              <w:rPr>
                <w:b/>
              </w:rPr>
              <w:t>What it contains</w:t>
            </w:r>
          </w:p>
        </w:tc>
      </w:tr>
      <w:tr w:rsidR="00BC3589" w14:paraId="4CDA5422" w14:textId="77777777">
        <w:trPr>
          <w:cantSplit/>
        </w:trPr>
        <w:tc>
          <w:tcPr>
            <w:tcW w:w="1800" w:type="dxa"/>
            <w:tcMar>
              <w:top w:w="65" w:type="dxa"/>
              <w:left w:w="95" w:type="dxa"/>
              <w:bottom w:w="65" w:type="dxa"/>
              <w:right w:w="95" w:type="dxa"/>
            </w:tcMar>
            <w:vAlign w:val="center"/>
          </w:tcPr>
          <w:p w14:paraId="64C1C557" w14:textId="77777777" w:rsidR="00BC3589" w:rsidRDefault="0080647A">
            <w:pPr>
              <w:pStyle w:val="TableText"/>
            </w:pPr>
            <w:r>
              <w:t>Reopen a complete visualization</w:t>
            </w:r>
          </w:p>
        </w:tc>
        <w:tc>
          <w:tcPr>
            <w:tcW w:w="2952" w:type="dxa"/>
            <w:tcMar>
              <w:top w:w="65" w:type="dxa"/>
              <w:left w:w="95" w:type="dxa"/>
              <w:bottom w:w="65" w:type="dxa"/>
              <w:right w:w="95" w:type="dxa"/>
            </w:tcMar>
            <w:vAlign w:val="center"/>
          </w:tcPr>
          <w:p w14:paraId="78BC7E42" w14:textId="77777777" w:rsidR="00BC3589" w:rsidRDefault="0080647A">
            <w:pPr>
              <w:pStyle w:val="TableText"/>
            </w:pPr>
            <w:r>
              <w:t>Scene JSON</w:t>
            </w:r>
          </w:p>
        </w:tc>
        <w:tc>
          <w:tcPr>
            <w:tcW w:w="4925" w:type="dxa"/>
            <w:tcMar>
              <w:top w:w="65" w:type="dxa"/>
              <w:left w:w="95" w:type="dxa"/>
              <w:bottom w:w="65" w:type="dxa"/>
              <w:right w:w="95" w:type="dxa"/>
            </w:tcMar>
            <w:vAlign w:val="center"/>
          </w:tcPr>
          <w:p w14:paraId="72449A24" w14:textId="77777777" w:rsidR="00BC3589" w:rsidRDefault="0080647A">
            <w:pPr>
              <w:pStyle w:val="TableText"/>
            </w:pPr>
            <w:r>
              <w:t>Input references and hashes, applied visualization settings, and supported camera/export session state; not the data bytes</w:t>
            </w:r>
          </w:p>
        </w:tc>
      </w:tr>
      <w:tr w:rsidR="00BC3589" w14:paraId="719C832E" w14:textId="77777777">
        <w:trPr>
          <w:cantSplit/>
        </w:trPr>
        <w:tc>
          <w:tcPr>
            <w:tcW w:w="1800" w:type="dxa"/>
            <w:tcMar>
              <w:top w:w="65" w:type="dxa"/>
              <w:left w:w="95" w:type="dxa"/>
              <w:bottom w:w="65" w:type="dxa"/>
              <w:right w:w="95" w:type="dxa"/>
            </w:tcMar>
            <w:vAlign w:val="center"/>
          </w:tcPr>
          <w:p w14:paraId="6EDA7C55" w14:textId="77777777" w:rsidR="00BC3589" w:rsidRDefault="0080647A">
            <w:pPr>
              <w:pStyle w:val="TableText"/>
            </w:pPr>
            <w:r>
              <w:t xml:space="preserve">Reuse a </w:t>
            </w:r>
            <w:r>
              <w:t>look on different data</w:t>
            </w:r>
          </w:p>
        </w:tc>
        <w:tc>
          <w:tcPr>
            <w:tcW w:w="2952" w:type="dxa"/>
            <w:tcMar>
              <w:top w:w="65" w:type="dxa"/>
              <w:left w:w="95" w:type="dxa"/>
              <w:bottom w:w="65" w:type="dxa"/>
              <w:right w:w="95" w:type="dxa"/>
            </w:tcMar>
            <w:vAlign w:val="center"/>
          </w:tcPr>
          <w:p w14:paraId="4EE0BCDE" w14:textId="77777777" w:rsidR="00BC3589" w:rsidRDefault="0080647A">
            <w:pPr>
              <w:pStyle w:val="TableText"/>
            </w:pPr>
            <w:r>
              <w:t>Visualization Preset</w:t>
            </w:r>
          </w:p>
        </w:tc>
        <w:tc>
          <w:tcPr>
            <w:tcW w:w="4925" w:type="dxa"/>
            <w:tcMar>
              <w:top w:w="65" w:type="dxa"/>
              <w:left w:w="95" w:type="dxa"/>
              <w:bottom w:w="65" w:type="dxa"/>
              <w:right w:w="95" w:type="dxa"/>
            </w:tcMar>
            <w:vAlign w:val="center"/>
          </w:tcPr>
          <w:p w14:paraId="1EBA7162" w14:textId="77777777" w:rsidR="00BC3589" w:rsidRDefault="0080647A">
            <w:pPr>
              <w:pStyle w:val="TableText"/>
            </w:pPr>
            <w:r>
              <w:t>Display settings only; no input files, camera or export destination</w:t>
            </w:r>
          </w:p>
        </w:tc>
      </w:tr>
      <w:tr w:rsidR="00BC3589" w14:paraId="4720CC03" w14:textId="77777777">
        <w:trPr>
          <w:cantSplit/>
        </w:trPr>
        <w:tc>
          <w:tcPr>
            <w:tcW w:w="1800" w:type="dxa"/>
            <w:tcMar>
              <w:top w:w="65" w:type="dxa"/>
              <w:left w:w="95" w:type="dxa"/>
              <w:bottom w:w="65" w:type="dxa"/>
              <w:right w:w="95" w:type="dxa"/>
            </w:tcMar>
            <w:vAlign w:val="center"/>
          </w:tcPr>
          <w:p w14:paraId="1C617FF6" w14:textId="77777777" w:rsidR="00BC3589" w:rsidRDefault="0080647A">
            <w:pPr>
              <w:pStyle w:val="TableText"/>
            </w:pPr>
            <w:r>
              <w:t>Recover a trusted old project</w:t>
            </w:r>
          </w:p>
        </w:tc>
        <w:tc>
          <w:tcPr>
            <w:tcW w:w="2952" w:type="dxa"/>
            <w:tcMar>
              <w:top w:w="65" w:type="dxa"/>
              <w:left w:w="95" w:type="dxa"/>
              <w:bottom w:w="65" w:type="dxa"/>
              <w:right w:w="95" w:type="dxa"/>
            </w:tcMar>
            <w:vAlign w:val="center"/>
          </w:tcPr>
          <w:p w14:paraId="6376CAC5" w14:textId="77777777" w:rsidR="00BC3589" w:rsidRDefault="0080647A">
            <w:pPr>
              <w:pStyle w:val="TableText"/>
            </w:pPr>
            <w:r>
              <w:t>Legacy configuration import</w:t>
            </w:r>
          </w:p>
        </w:tc>
        <w:tc>
          <w:tcPr>
            <w:tcW w:w="4925" w:type="dxa"/>
            <w:tcMar>
              <w:top w:w="65" w:type="dxa"/>
              <w:left w:w="95" w:type="dxa"/>
              <w:bottom w:w="65" w:type="dxa"/>
              <w:right w:w="95" w:type="dxa"/>
            </w:tcMar>
            <w:vAlign w:val="center"/>
          </w:tcPr>
          <w:p w14:paraId="5F4DCF91" w14:textId="77777777" w:rsidR="00BC3589" w:rsidRDefault="0080647A">
            <w:pPr>
              <w:pStyle w:val="TableText"/>
            </w:pPr>
            <w:r>
              <w:t>A migration starting point that requires field-by-field review, not a lossless modern</w:t>
            </w:r>
            <w:r>
              <w:t xml:space="preserve"> Scene</w:t>
            </w:r>
          </w:p>
        </w:tc>
      </w:tr>
    </w:tbl>
    <w:p w14:paraId="503F5CDD" w14:textId="77777777" w:rsidR="00BC3589" w:rsidRDefault="0080647A">
      <w:pPr>
        <w:spacing w:after="0"/>
      </w:pPr>
      <w:r>
        <w:rPr>
          <w:sz w:val="6"/>
        </w:rPr>
        <w:t xml:space="preserve"> </w:t>
      </w:r>
    </w:p>
    <w:p w14:paraId="29DA78F5" w14:textId="77777777" w:rsidR="00BC3589" w:rsidRDefault="0080647A">
      <w:pPr>
        <w:pStyle w:val="Heading2"/>
      </w:pPr>
      <w:r>
        <w:t>Save and reopen a Scene</w:t>
      </w:r>
    </w:p>
    <w:p w14:paraId="3D5F0D58" w14:textId="77777777" w:rsidR="00BC3589" w:rsidRDefault="0080647A">
      <w:r>
        <w:t xml:space="preserve">MATLAB: Load and validate the inputs, configure the scene, and select Apply to commit and render. Save the Scene JSON from the main window. The Scene records paths relative to its configured data root where possible and verifies referenced inputs by hash. It does not embed mesh, node, edge or volume data. Keep the inputs and their compatible directory structure with the JSON when moving a project. If files are outside the configured root, follow the explicit import/staging workflow in Chapter 1; selecting an external file does not silently grant redistribution rights.</w:t>
      </w:r>
      <w:r>
        <w:rPr>
          <w:b/>
        </w:rPr>
        <w:t/>
      </w:r>
      <w:r>
        <w:t xml:space="preserve"/>
      </w:r>
      <w:r>
        <w:t/>
      </w:r>
      <w:r>
        <w:t xml:space="preserve"/>
      </w:r>
    </w:p>
    <w:p w14:paraId="028FC79B" w14:textId="77777777" w:rsidR="00BC3589" w:rsidRDefault="0080647A">
      <w:r>
        <w:t>When reopening, review resolved paths, hashes, file roles, spatial alignment and the rendered result. A missing or changed input is a reason to investigate, not to byp</w:t>
      </w:r>
      <w:r>
        <w:t>ass validation. Scene replay can restore supported camera and export preferences, but an old Scene may not express every newer option. Scene Workflows documents the detailed schema, path and command-line behavior.</w:t>
      </w:r>
    </w:p>
    <w:p w14:paraId="60E94898" w14:textId="77777777" w:rsidR="00BC3589" w:rsidRDefault="0080647A">
      <w:pPr>
        <w:keepNext/>
        <w:spacing w:before="180" w:after="60"/>
        <w:jc w:val="center"/>
      </w:pPr>
      <w:r>
        <w:rPr>
          <w:noProof/>
        </w:rPr>
        <w:drawing>
          <wp:inline distT="0" distB="0" distL="0" distR="0" wp14:anchorId="64E2546D" wp14:editId="59CDB6BB">
            <wp:extent cx="5989320" cy="383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replay.png"/>
                    <pic:cNvPicPr/>
                  </pic:nvPicPr>
                  <pic:blipFill>
                    <a:blip r:embed="rId13"/>
                    <a:stretch>
                      <a:fillRect/>
                    </a:stretch>
                  </pic:blipFill>
                  <pic:spPr>
                    <a:xfrm>
                      <a:off x="0" y="0"/>
                      <a:ext cx="5989320" cy="3833165"/>
                    </a:xfrm>
                    <a:prstGeom prst="rect">
                      <a:avLst/>
                    </a:prstGeom>
                  </pic:spPr>
                </pic:pic>
              </a:graphicData>
            </a:graphic>
          </wp:inline>
        </w:drawing>
      </w:r>
      <w:r>
        <w:rPr>
          <w:rStyle w:val="CommentReference"/>
        </w:rPr>
      </w:r>
    </w:p>
    <w:p w14:paraId="7092CD67" w14:textId="77777777" w:rsidR="00BC3589" w:rsidRDefault="0080647A">
      <w:pPr>
        <w:pStyle w:val="FigureCaption"/>
        <w:jc w:val="center"/>
      </w:pPr>
      <w:r>
        <w:t xml:space="preserve">Figure 4. A saved Scene reopened with an opaque gray surface. Step 3 opens Surface settings, step 4 applies and renders, and step 5 saves a Scene. MATLAB illustration.</w:t>
      </w:r>
      <w:r>
        <w:t xml:space="preserve"/>
      </w:r>
    </w:p>
    <w:p w14:paraId="4ADEE59F" w14:textId="77777777" w:rsidR="00BC3589" w:rsidRDefault="0080647A">
      <w:pPr>
        <w:pStyle w:val="Heading2"/>
      </w:pPr>
      <w:r>
        <w:lastRenderedPageBreak/>
        <w:t>Apply a visualization preset</w:t>
      </w:r>
    </w:p>
    <w:p w14:paraId="641BF2AE" w14:textId="77777777" w:rsidR="00BC3589" w:rsidRDefault="0080647A">
      <w:r>
        <w:t xml:space="preserve">MATLAB: Choose a preset after loading the intended data. Preset load replaces the visualization settings sections; it does not bring in files or preserve pending edits and camera state. Review the resulting controls, then use Render Scene for a visible redraw. Save a new Scene JSON if the input-plus-display combination should be reproducible. See Visualization Presets for the supported fields and reset behavior.</w:t>
      </w:r>
      <w:r>
        <w:rPr>
          <w:b/>
        </w:rPr>
        <w:t/>
      </w:r>
      <w:r>
        <w:t xml:space="preserve"/>
      </w:r>
      <w:r>
        <w:t/>
      </w:r>
    </w:p>
    <w:p>
      <w:pPr>
        <w:pStyle w:val="Heading2"/>
        <w:keepNext/>
      </w:pPr>
      <w:r>
        <w:t xml:space="preserve">Python Scenes and presets</w:t>
      </w:r>
    </w:p>
    <w:p>
      <w:pPr>
        <w:pStyle w:val="Normal"/>
      </w:pPr>
      <w:r>
        <w:t xml:space="preserve">A Python Scene is saved with copied companion assets beside the JSON; keep both. A preset contains appearance settings, not the data bytes or session camera. Python Save Preset reads current panel values and can include unapplied edits. Apply first if the intended preset is the rendered configuration. Preset load stages settings for review; Apply commits and renders them. MATLAB preset confirmation replaces pending settings and clears the old render/camera.</w:t>
      </w:r>
    </w:p>
    <w:p>
      <w:pPr>
        <w:pStyle w:val="Normal"/>
      </w:pPr>
      <w:r>
        <w:t xml:space="preserve">Cross-edition Scene/preset replay requires review of schema, input paths and edition-specific metadata; matching filenames alone do not guarantee interchange. Trusted EC MAT import is the documented MATLAB conversion route, not a general Python MAT importer.</w:t>
      </w:r>
    </w:p>
    <w:p w14:paraId="1F39E8F6" w14:textId="77777777" w:rsidR="00BC3589" w:rsidRDefault="0080647A">
      <w:pPr>
        <w:pStyle w:val="Heading2"/>
      </w:pPr>
      <w:r>
        <w:t>Import a legacy configuration</w:t>
      </w:r>
    </w:p>
    <w:p w14:paraId="0BAAE07D" w14:textId="77777777" w:rsidR="00BC3589" w:rsidRDefault="0080647A">
      <w:r>
        <w:t>Use a legacy MAT configuration only when its source is trusted. The migrat</w:t>
      </w:r>
      <w:r>
        <w:t xml:space="preserve">ion translates what it can, reports fields requiring review, and may change the rendered appearance. Inspect file roles, paths, layout, thresholds, colors and export options; compare a representative image before adopting the result. Review the translated settings before use.</w:t>
      </w:r>
      <w:r>
        <w:t xml:space="preserve"> Migration and troubleshooting lists current limits.</w:t>
      </w:r>
    </w:p>
    <w:p w14:paraId="3572DAF3" w14:textId="77777777" w:rsidR="00BC3589" w:rsidRDefault="0080647A">
      <w:pPr>
        <w:pStyle w:val="Heading2"/>
      </w:pPr>
      <w:r>
        <w:t>Batch and provenance</w:t>
      </w:r>
    </w:p>
    <w:p w14:paraId="12467751" w14:textId="77777777" w:rsidR="00BC3589" w:rsidRDefault="0080647A">
      <w:r>
        <w:t xml:space="preserve">For repeatable non-interactive rendering, use </w:t>
      </w:r>
      <w:r>
        <w:rPr>
          <w:rFonts w:ascii="Consolas" w:hAnsi="Consolas"/>
          <w:sz w:val="18"/>
        </w:rPr>
        <w:t>BrainNetRender</w:t>
      </w:r>
      <w:r>
        <w:t xml:space="preserve"> with a reviewed Scene. The Scene JSON, input checks and export provenance</w:t>
      </w:r>
      <w:r>
        <w:t xml:space="preserve"> help reconstruct a figure but do not replace recording data origin, atlas version, coordinate convention, software build and any manual decisions. Chapter 16 covers batch use. Before sharing any Scene, inspect paths, metadata and sidecars for private loca</w:t>
      </w:r>
      <w:r>
        <w:t>l information; sharing the JSON never authorizes sharing its referenced data.</w:t>
      </w:r>
    </w:p>
    <w:p w14:paraId="345C2C81" w14:textId="77777777" w:rsidR="00BC3589" w:rsidRDefault="0080647A">
      <w:pPr>
        <w:pStyle w:val="Heading1"/>
        <w:pageBreakBefore/>
      </w:pPr>
      <w:bookmarkStart w:id="5" w:name="bnv_chapter_5"/>
      <w:r>
        <w:lastRenderedPageBreak/>
        <w:t xml:space="preserve">5 Layout and camera controls</w:t>
      </w:r>
      <w:bookmarkEnd w:id="5"/>
    </w:p>
    <w:p w14:paraId="4F240EAE" w14:textId="77777777" w:rsidR="00BC3589" w:rsidRDefault="0080647A">
      <w:r>
        <w:t xml:space="preserve">Use </w:t>
      </w:r>
      <w:r>
        <w:rPr>
          <w:b/>
        </w:rPr>
        <w:t>Visualization Settings → Layout</w:t>
      </w:r>
      <w:r>
        <w:t xml:space="preserve"> to choose a view arrangement and initial camera direction. The shared </w:t>
      </w:r>
      <w:r>
        <w:rPr>
          <w:b/>
        </w:rPr>
        <w:t>Apply</w:t>
      </w:r>
      <w:r>
        <w:t xml:space="preserve"> commits changes and renders; </w:t>
      </w:r>
      <w:r>
        <w:rPr>
          <w:b/>
        </w:rPr>
        <w:t>Revert</w:t>
      </w:r>
      <w:r>
        <w:t xml:space="preserve"> d</w:t>
      </w:r>
      <w:r>
        <w:t>iscards pending edits. Saved Scenes and presets retain applied layout settings, but presets do not carry the current camera.</w:t>
      </w:r>
    </w:p>
    <w:p w14:paraId="3553FD6E" w14:textId="77777777" w:rsidR="00BC3589" w:rsidRDefault="0080647A">
      <w:pPr>
        <w:keepNext/>
        <w:spacing w:before="180" w:after="60"/>
        <w:jc w:val="center"/>
      </w:pPr>
      <w:r>
        <w:rPr>
          <w:noProof/>
        </w:rPr>
        <w:drawing>
          <wp:inline distT="0" distB="0" distL="0" distR="0" wp14:anchorId="43E81BAB" wp14:editId="3A7A5300">
            <wp:extent cx="5989320" cy="3744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ayout-2-full-window.png"/>
                    <pic:cNvPicPr/>
                  </pic:nvPicPr>
                  <pic:blipFill>
                    <a:blip r:embed="rId14"/>
                    <a:stretch>
                      <a:fillRect/>
                    </a:stretch>
                  </pic:blipFill>
                  <pic:spPr>
                    <a:xfrm>
                      <a:off x="0" y="0"/>
                      <a:ext cx="5989320" cy="3744333"/>
                    </a:xfrm>
                    <a:prstGeom prst="rect">
                      <a:avLst/>
                    </a:prstGeom>
                  </pic:spPr>
                </pic:pic>
              </a:graphicData>
            </a:graphic>
          </wp:inline>
        </w:drawing>
      </w:r>
    </w:p>
    <w:p w14:paraId="722E4517" w14:textId="77777777" w:rsidR="00BC3589" w:rsidRDefault="0080647A">
      <w:pPr>
        <w:pStyle w:val="FigureCaption"/>
        <w:jc w:val="center"/>
      </w:pPr>
      <w:r>
        <w:t xml:space="preserve">Figure 5. Overview with eight views for a surface that can be split into hemispheres.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4D06DB5" w14:textId="77777777">
        <w:trPr>
          <w:tblHeader/>
        </w:trPr>
        <w:tc>
          <w:tcPr>
            <w:tcW w:w="1800" w:type="dxa"/>
            <w:shd w:val="clear" w:color="auto" w:fill="E8EDF3"/>
            <w:tcMar>
              <w:top w:w="65" w:type="dxa"/>
              <w:left w:w="95" w:type="dxa"/>
              <w:bottom w:w="65" w:type="dxa"/>
              <w:right w:w="95" w:type="dxa"/>
            </w:tcMar>
            <w:vAlign w:val="center"/>
          </w:tcPr>
          <w:p w14:paraId="741D8547"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B8EF3CC"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62BAE74" w14:textId="77777777" w:rsidR="00BC3589" w:rsidRDefault="0080647A">
            <w:pPr>
              <w:pStyle w:val="TableText"/>
            </w:pPr>
            <w:r>
              <w:rPr>
                <w:b/>
              </w:rPr>
              <w:t>Effect and whe</w:t>
            </w:r>
            <w:r>
              <w:rPr>
                <w:b/>
              </w:rPr>
              <w:t>n to use it</w:t>
            </w:r>
          </w:p>
        </w:tc>
      </w:tr>
      <w:tr w:rsidR="00BC3589" w14:paraId="15B6AF59" w14:textId="77777777">
        <w:trPr>
          <w:cantSplit/>
        </w:trPr>
        <w:tc>
          <w:tcPr>
            <w:tcW w:w="1800" w:type="dxa"/>
            <w:tcMar>
              <w:top w:w="65" w:type="dxa"/>
              <w:left w:w="95" w:type="dxa"/>
              <w:bottom w:w="65" w:type="dxa"/>
              <w:right w:w="95" w:type="dxa"/>
            </w:tcMar>
            <w:vAlign w:val="center"/>
          </w:tcPr>
          <w:p w14:paraId="7B0DA339" w14:textId="77777777" w:rsidR="00BC3589" w:rsidRDefault="0080647A">
            <w:pPr>
              <w:pStyle w:val="TableText"/>
            </w:pPr>
            <w:r>
              <w:rPr>
                <w:b/>
              </w:rPr>
              <w:t>Layout Preset</w:t>
            </w:r>
          </w:p>
        </w:tc>
        <w:tc>
          <w:tcPr>
            <w:tcW w:w="2952" w:type="dxa"/>
            <w:tcMar>
              <w:top w:w="65" w:type="dxa"/>
              <w:left w:w="95" w:type="dxa"/>
              <w:bottom w:w="65" w:type="dxa"/>
              <w:right w:w="95" w:type="dxa"/>
            </w:tcMar>
            <w:vAlign w:val="center"/>
          </w:tcPr>
          <w:p w14:paraId="553BC641" w14:textId="77777777" w:rsidR="00BC3589" w:rsidRDefault="0080647A">
            <w:pPr>
              <w:pStyle w:val="TableText"/>
            </w:pPr>
            <w:r>
              <w:rPr>
                <w:b/>
              </w:rPr>
              <w:t>Single View</w:t>
            </w:r>
          </w:p>
        </w:tc>
        <w:tc>
          <w:tcPr>
            <w:tcW w:w="4925" w:type="dxa"/>
            <w:tcMar>
              <w:top w:w="65" w:type="dxa"/>
              <w:left w:w="95" w:type="dxa"/>
              <w:bottom w:w="65" w:type="dxa"/>
              <w:right w:w="95" w:type="dxa"/>
            </w:tcMar>
            <w:vAlign w:val="center"/>
          </w:tcPr>
          <w:p w14:paraId="713191E3" w14:textId="77777777" w:rsidR="00BC3589" w:rsidRDefault="0080647A">
            <w:pPr>
              <w:pStyle w:val="TableText"/>
            </w:pPr>
            <w:r>
              <w:t xml:space="preserve">Five choices: Single View; Overview (6 / 8 Views); Lateral / Medial; Lateral / Medial / Ventral; Lateral / Medial / Dorsal. Multi-view presets set their own pane directions and use a shared scale; they are not </w:t>
            </w:r>
            <w:r>
              <w:t>independent copies of the single-view direction control.</w:t>
            </w:r>
          </w:p>
        </w:tc>
      </w:tr>
      <w:tr w:rsidR="00BC3589" w14:paraId="215D13DE" w14:textId="77777777">
        <w:trPr>
          <w:cantSplit/>
        </w:trPr>
        <w:tc>
          <w:tcPr>
            <w:tcW w:w="1800" w:type="dxa"/>
            <w:tcMar>
              <w:top w:w="65" w:type="dxa"/>
              <w:left w:w="95" w:type="dxa"/>
              <w:bottom w:w="65" w:type="dxa"/>
              <w:right w:w="95" w:type="dxa"/>
            </w:tcMar>
            <w:vAlign w:val="center"/>
          </w:tcPr>
          <w:p w14:paraId="1C71A2CE" w14:textId="77777777" w:rsidR="00BC3589" w:rsidRDefault="0080647A">
            <w:pPr>
              <w:pStyle w:val="TableText"/>
            </w:pPr>
            <w:r>
              <w:rPr>
                <w:b/>
              </w:rPr>
              <w:t>View Direction</w:t>
            </w:r>
          </w:p>
        </w:tc>
        <w:tc>
          <w:tcPr>
            <w:tcW w:w="2952" w:type="dxa"/>
            <w:tcMar>
              <w:top w:w="65" w:type="dxa"/>
              <w:left w:w="95" w:type="dxa"/>
              <w:bottom w:w="65" w:type="dxa"/>
              <w:right w:w="95" w:type="dxa"/>
            </w:tcMar>
            <w:vAlign w:val="center"/>
          </w:tcPr>
          <w:p w14:paraId="4E7F7886" w14:textId="77777777" w:rsidR="00BC3589" w:rsidRDefault="0080647A">
            <w:pPr>
              <w:pStyle w:val="TableText"/>
            </w:pPr>
            <w:r>
              <w:rPr>
                <w:b/>
              </w:rPr>
              <w:t>Left (Sagittal)</w:t>
            </w:r>
          </w:p>
        </w:tc>
        <w:tc>
          <w:tcPr>
            <w:tcW w:w="4925" w:type="dxa"/>
            <w:tcMar>
              <w:top w:w="65" w:type="dxa"/>
              <w:left w:w="95" w:type="dxa"/>
              <w:bottom w:w="65" w:type="dxa"/>
              <w:right w:w="95" w:type="dxa"/>
            </w:tcMar>
            <w:vAlign w:val="center"/>
          </w:tcPr>
          <w:p w14:paraId="0B3F95A8" w14:textId="77777777" w:rsidR="00BC3589" w:rsidRDefault="0080647A">
            <w:pPr>
              <w:pStyle w:val="TableText"/>
            </w:pPr>
            <w:r>
              <w:t>Single-view directions: Left, Superior, Anterior, Custom, Right, Inferior, Posterior, Isometric. In multi-view, the preset's own directions take precedence. A named vi</w:t>
            </w:r>
            <w:r>
              <w:t>ew is a camera orientation, not proof of anatomical L/R.</w:t>
            </w:r>
          </w:p>
        </w:tc>
      </w:tr>
      <w:tr w:rsidR="00BC3589" w14:paraId="420BF53C" w14:textId="77777777">
        <w:trPr>
          <w:cantSplit/>
        </w:trPr>
        <w:tc>
          <w:tcPr>
            <w:tcW w:w="1800" w:type="dxa"/>
            <w:tcMar>
              <w:top w:w="65" w:type="dxa"/>
              <w:left w:w="95" w:type="dxa"/>
              <w:bottom w:w="65" w:type="dxa"/>
              <w:right w:w="95" w:type="dxa"/>
            </w:tcMar>
            <w:vAlign w:val="center"/>
          </w:tcPr>
          <w:p w14:paraId="0ACFEA38" w14:textId="77777777" w:rsidR="00BC3589" w:rsidRDefault="0080647A">
            <w:pPr>
              <w:pStyle w:val="TableText"/>
            </w:pPr>
            <w:r>
              <w:rPr>
                <w:b/>
              </w:rPr>
              <w:t>Custom Azimuth</w:t>
            </w:r>
          </w:p>
        </w:tc>
        <w:tc>
          <w:tcPr>
            <w:tcW w:w="2952" w:type="dxa"/>
            <w:tcMar>
              <w:top w:w="65" w:type="dxa"/>
              <w:left w:w="95" w:type="dxa"/>
              <w:bottom w:w="65" w:type="dxa"/>
              <w:right w:w="95" w:type="dxa"/>
            </w:tcMar>
            <w:vAlign w:val="center"/>
          </w:tcPr>
          <w:p w14:paraId="65590D28"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245A94D2" w14:textId="77777777" w:rsidR="00BC3589" w:rsidRDefault="0080647A">
            <w:pPr>
              <w:pStyle w:val="TableText"/>
            </w:pPr>
            <w:r>
              <w:t>Enabled for Custom direction; numeric degrees, −360 to 360. Save and replay the applied value in Scene/preset.</w:t>
            </w:r>
          </w:p>
        </w:tc>
      </w:tr>
      <w:tr w:rsidR="00BC3589" w14:paraId="77E853A6" w14:textId="77777777">
        <w:trPr>
          <w:cantSplit/>
        </w:trPr>
        <w:tc>
          <w:tcPr>
            <w:tcW w:w="1800" w:type="dxa"/>
            <w:tcMar>
              <w:top w:w="65" w:type="dxa"/>
              <w:left w:w="95" w:type="dxa"/>
              <w:bottom w:w="65" w:type="dxa"/>
              <w:right w:w="95" w:type="dxa"/>
            </w:tcMar>
            <w:vAlign w:val="center"/>
          </w:tcPr>
          <w:p w14:paraId="5FCBDA6F" w14:textId="77777777" w:rsidR="00BC3589" w:rsidRDefault="0080647A">
            <w:pPr>
              <w:pStyle w:val="TableText"/>
            </w:pPr>
            <w:r>
              <w:rPr>
                <w:b/>
              </w:rPr>
              <w:t>Custom Elevation</w:t>
            </w:r>
          </w:p>
        </w:tc>
        <w:tc>
          <w:tcPr>
            <w:tcW w:w="2952" w:type="dxa"/>
            <w:tcMar>
              <w:top w:w="65" w:type="dxa"/>
              <w:left w:w="95" w:type="dxa"/>
              <w:bottom w:w="65" w:type="dxa"/>
              <w:right w:w="95" w:type="dxa"/>
            </w:tcMar>
            <w:vAlign w:val="center"/>
          </w:tcPr>
          <w:p w14:paraId="2A87B3C9"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3308E93B" w14:textId="77777777" w:rsidR="00BC3589" w:rsidRDefault="0080647A">
            <w:pPr>
              <w:pStyle w:val="TableText"/>
            </w:pPr>
            <w:r>
              <w:t xml:space="preserve">Enabled for </w:t>
            </w:r>
            <w:r>
              <w:t>Custom direction; numeric degrees, −90 to 90.</w:t>
            </w:r>
          </w:p>
        </w:tc>
      </w:tr>
    </w:tbl>
    <w:p w14:paraId="26DDF1A1" w14:textId="77777777" w:rsidR="00BC3589" w:rsidRDefault="0080647A">
      <w:pPr>
        <w:spacing w:after="0"/>
      </w:pPr>
      <w:r>
        <w:rPr>
          <w:sz w:val="6"/>
        </w:rPr>
        <w:t xml:space="preserve"> </w:t>
      </w:r>
    </w:p>
    <w:p w14:paraId="2B8B7DBD" w14:textId="77777777" w:rsidR="00BC3589" w:rsidRDefault="0080647A">
      <w:pPr>
        <w:pStyle w:val="Heading2"/>
      </w:pPr>
      <w:r>
        <w:lastRenderedPageBreak/>
        <w:t>Read a multi-view figure</w:t>
      </w:r>
    </w:p>
    <w:p w14:paraId="216383BE" w14:textId="77777777" w:rsidR="00BC3589" w:rsidRDefault="0080647A">
      <w:r>
        <w:t>Single View is best for adjusting one camera or inspecting one selected point. The lateral/medial arrangement places the outside and inside of each separable hemisphere in four panes. The ventral variant adds inferior views; the dorsal variant adds a super</w:t>
      </w:r>
      <w:r>
        <w:t xml:space="preserve">ior overview. </w:t>
      </w:r>
      <w:r>
        <w:rPr>
          <w:b/>
        </w:rPr>
        <w:t>Overview (6 / 8 Views)</w:t>
      </w:r>
      <w:r>
        <w:t xml:space="preserve"> provides a broader orientation survey: a safely separable two-hemisphere mesh can use eight panes, while a single or inseparable surface uses six complete-data views. Choosing a multi-view preset is not the same as load</w:t>
      </w:r>
      <w:r>
        <w:t>ing multiple independent datasets: every pane represents the same Scene from another camera.</w:t>
      </w:r>
    </w:p>
    <w:p w14:paraId="01C1DFD4" w14:textId="77777777" w:rsidR="00BC3589" w:rsidRDefault="0080647A">
      <w:r>
        <w:t xml:space="preserve">The layout gallery illustrates the available viewing arrangements. Verify the dataset coordinate convention before interpreting orientation labels. At the intended export size, check that labels and thin edges remain legible in the smaller panes.</w:t>
      </w:r>
      <w:r>
        <w:t xml:space="preserve"/>
      </w:r>
      <w:r>
        <w:rPr>
          <w:rStyle w:val="CommentReference"/>
        </w:rPr>
      </w:r>
      <w:r>
        <w:t xml:space="preserve"/>
      </w:r>
      <w:r>
        <w:t xml:space="preserve"/>
      </w:r>
      <w:r>
        <w:t xml:space="preserve"/>
      </w:r>
    </w:p>
    <w:p w14:paraId="05B4664A" w14:textId="77777777" w:rsidR="00BC3589" w:rsidRDefault="0080647A">
      <w:pPr>
        <w:keepNext/>
        <w:spacing w:before="180" w:after="60"/>
        <w:jc w:val="center"/>
      </w:pPr>
      <w:r>
        <w:rPr>
          <w:noProof/>
        </w:rPr>
        <w:drawing>
          <wp:inline distT="0" distB="0" distL="0" distR="0" wp14:anchorId="01CF05B7" wp14:editId="7E1AE15E">
            <wp:extent cx="5989320" cy="4522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ayout-examples.png"/>
                    <pic:cNvPicPr/>
                  </pic:nvPicPr>
                  <pic:blipFill>
                    <a:blip r:embed="rId15"/>
                    <a:stretch>
                      <a:fillRect/>
                    </a:stretch>
                  </pic:blipFill>
                  <pic:spPr>
                    <a:xfrm>
                      <a:off x="0" y="0"/>
                      <a:ext cx="5989320" cy="4522548"/>
                    </a:xfrm>
                    <a:prstGeom prst="rect">
                      <a:avLst/>
                    </a:prstGeom>
                  </pic:spPr>
                </pic:pic>
              </a:graphicData>
            </a:graphic>
          </wp:inline>
        </w:drawing>
      </w:r>
    </w:p>
    <w:p w14:paraId="74C4E70B" w14:textId="77777777" w:rsidR="00BC3589" w:rsidRDefault="0080647A">
      <w:pPr>
        <w:pStyle w:val="FigureCaption"/>
        <w:jc w:val="center"/>
      </w:pPr>
      <w:r>
        <w:t xml:space="preserve">Figure 6. Viewing arrangements and relative positions of the brain panes. MATLAB illustration.</w:t>
      </w:r>
      <w:r>
        <w:t xml:space="preserve"/>
      </w:r>
    </w:p>
    <w:p w14:paraId="40E090BD" w14:textId="77777777" w:rsidR="00BC3589" w:rsidRDefault="0080647A">
      <w:r>
        <w:rPr>
          <w:b/>
        </w:rPr>
        <w:t>Overview (6 / 8 Views)</w:t>
      </w:r>
      <w:r>
        <w:t xml:space="preserve"> uses eight split views only when a surface can be safely partitioned into nonempty, vertex-disjoint X-side groups. Otherwise it shows six complete-data views and does not invent a missing hemis</w:t>
      </w:r>
      <w:r>
        <w:t>phere. This conservative rule does not segment arbitrary anatomy or verify registration. A saved eight-view camera is reset with a notice if replay resolves to six views, and conversely; see Layout 2.</w:t>
      </w:r>
    </w:p>
    <w:p w14:paraId="021D880B" w14:textId="77777777" w:rsidR="00BC3589" w:rsidRDefault="0080647A">
      <w:r>
        <w:lastRenderedPageBreak/>
        <w:t xml:space="preserve">After rendering, use the canvas controls to Rotate, Pan, Zoom, Fit, or Reset. Fit recenters and frames visible geometry without changing input coordinates; Reset restores the selected layout's initial camera. Resizing preserves the current camera rather than silently fitting it. MATLAB Pop Out opens an independent inspection copy; later movement there does not replace the main canvas camera. Save Scene records a valid modern main-canvas camera; Save Preset does not. See camera/replay details and window sizing.</w:t>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t xml:space="preserve"/>
      </w:r>
      <w:r>
        <w:rPr>
          <w:b/>
        </w:rPr>
        <w:t/>
      </w:r>
      <w:r>
        <w:t xml:space="preserve"/>
      </w:r>
      <w:r>
        <w:rPr>
          <w:b/>
        </w:rPr>
        <w:t/>
      </w:r>
      <w:r>
        <w:t xml:space="preserve"/>
      </w:r>
    </w:p>
    <w:p w14:paraId="41F8B842" w14:textId="77777777" w:rsidR="00BC3589" w:rsidRDefault="0080647A">
      <w:r>
        <w:rPr>
          <w:b/>
        </w:rPr>
        <w:t>Double Brain</w:t>
      </w:r>
      <w:r>
        <w:t xml:space="preserve"> (described in Chapter 7) is a separate single</w:t>
      </w:r>
      <w:r>
        <w:t xml:space="preserve">-view display option, not a sixth layout. It is restricted to Left, Superior or Anterior direction with a surface and no scalar-map/volume input. The pane badges governed by </w:t>
      </w:r>
      <w:r>
        <w:rPr>
          <w:b/>
        </w:rPr>
        <w:t>Show Orientation Labels</w:t>
      </w:r>
      <w:r>
        <w:t xml:space="preserve"> are described in Chapter 6; they identify coordinate halve</w:t>
      </w:r>
      <w:r>
        <w:t>s unless an input-bound anatomical declaration has been explicitly verified.</w:t>
      </w:r>
    </w:p>
    <w:p w14:paraId="7DC18089" w14:textId="77777777" w:rsidR="00BC3589" w:rsidRDefault="0080647A">
      <w:r>
        <w:t xml:space="preserve">Multi-view readability depends on mesh shape, labels and display scaling. Check the final figure at its intended export size.</w:t>
      </w:r>
      <w:r>
        <w:t xml:space="preserve"/>
      </w:r>
    </w:p>
    <w:p>
      <w:pPr>
        <w:pStyle w:val="Heading2"/>
        <w:keepNext/>
      </w:pPr>
      <w:r>
        <w:t xml:space="preserve">Python view behavior</w:t>
      </w:r>
    </w:p>
    <w:p>
      <w:pPr>
        <w:pStyle w:val="Normal"/>
      </w:pPr>
      <w:r>
        <w:t xml:space="preserve">Python Pop Out moves the original canvas into a separate window and returns it when that window closes; it is not an independent inspection copy. Multi-view interaction affects only the selected brain. View Direction is disabled for multi-view layouts. Reset restores layout cameras; Fit frames geometry without changing input coordinates.</w:t>
      </w:r>
    </w:p>
    <w:p w14:paraId="036D0055" w14:textId="77777777" w:rsidR="00BC3589" w:rsidRDefault="0080647A">
      <w:pPr>
        <w:pStyle w:val="Heading1"/>
        <w:pageBreakBefore/>
      </w:pPr>
      <w:bookmarkStart w:id="6" w:name="bnv_chapter_6"/>
      <w:r>
        <w:lastRenderedPageBreak/>
        <w:t xml:space="preserve">6 Global appearance and rendering</w:t>
      </w:r>
      <w:bookmarkEnd w:id="6"/>
    </w:p>
    <w:p w14:paraId="07B27A66" w14:textId="77777777" w:rsidR="00BC3589" w:rsidRDefault="0080647A">
      <w:r>
        <w:t xml:space="preserve">Use </w:t>
      </w:r>
      <w:r>
        <w:rPr>
          <w:b/>
        </w:rPr>
        <w:t>Visualization Settings → Global</w:t>
      </w:r>
      <w:r>
        <w:t xml:space="preserve"> for the canvas background, shading, lighting and rendering detail. </w:t>
      </w:r>
      <w:r>
        <w:rPr>
          <w:b/>
        </w:rPr>
        <w:t>Apply</w:t>
      </w:r>
      <w:r>
        <w:t xml:space="preserve"> commits and renders. A Scene or preset may contain different explicit values; the tab</w:t>
      </w:r>
      <w:r>
        <w:t>le describes new settings, not a promise to overwrite loaded configurations.</w:t>
      </w:r>
    </w:p>
    <w:p w14:paraId="650E5366" w14:textId="77777777" w:rsidR="00BC3589" w:rsidRDefault="0080647A">
      <w:pPr>
        <w:keepNext/>
        <w:spacing w:before="180" w:after="60"/>
        <w:jc w:val="center"/>
      </w:pPr>
      <w:r>
        <w:rPr>
          <w:noProof/>
        </w:rPr>
        <w:drawing>
          <wp:inline distT="0" distB="0" distL="0" distR="0" wp14:anchorId="6844D393" wp14:editId="3375AC0F">
            <wp:extent cx="5989320" cy="3833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surface-settings.png"/>
                    <pic:cNvPicPr/>
                  </pic:nvPicPr>
                  <pic:blipFill>
                    <a:blip r:embed="rId16"/>
                    <a:stretch>
                      <a:fillRect/>
                    </a:stretch>
                  </pic:blipFill>
                  <pic:spPr>
                    <a:xfrm>
                      <a:off x="0" y="0"/>
                      <a:ext cx="5989320" cy="3833165"/>
                    </a:xfrm>
                    <a:prstGeom prst="rect">
                      <a:avLst/>
                    </a:prstGeom>
                  </pic:spPr>
                </pic:pic>
              </a:graphicData>
            </a:graphic>
          </wp:inline>
        </w:drawing>
      </w:r>
    </w:p>
    <w:p w14:paraId="71A260AB" w14:textId="77777777" w:rsidR="00BC3589" w:rsidRDefault="0080647A">
      <w:pPr>
        <w:pStyle w:val="FigureCaption"/>
        <w:jc w:val="center"/>
      </w:pPr>
      <w:r>
        <w:t xml:space="preserve">Figure 7. An opaque gray ICBM152 surface with Surface settings visible.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143D398F" w14:textId="77777777">
        <w:trPr>
          <w:tblHeader/>
        </w:trPr>
        <w:tc>
          <w:tcPr>
            <w:tcW w:w="1800" w:type="dxa"/>
            <w:shd w:val="clear" w:color="auto" w:fill="E8EDF3"/>
            <w:tcMar>
              <w:top w:w="65" w:type="dxa"/>
              <w:left w:w="95" w:type="dxa"/>
              <w:bottom w:w="65" w:type="dxa"/>
              <w:right w:w="95" w:type="dxa"/>
            </w:tcMar>
            <w:vAlign w:val="center"/>
          </w:tcPr>
          <w:p w14:paraId="7D63808B"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6D47619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6779287" w14:textId="77777777" w:rsidR="00BC3589" w:rsidRDefault="0080647A">
            <w:pPr>
              <w:pStyle w:val="TableText"/>
            </w:pPr>
            <w:r>
              <w:rPr>
                <w:b/>
              </w:rPr>
              <w:t>Meaning / constraints</w:t>
            </w:r>
          </w:p>
        </w:tc>
      </w:tr>
      <w:tr w:rsidR="00BC3589" w14:paraId="7292F291" w14:textId="77777777">
        <w:trPr>
          <w:cantSplit/>
        </w:trPr>
        <w:tc>
          <w:tcPr>
            <w:tcW w:w="1800" w:type="dxa"/>
            <w:tcMar>
              <w:top w:w="65" w:type="dxa"/>
              <w:left w:w="95" w:type="dxa"/>
              <w:bottom w:w="65" w:type="dxa"/>
              <w:right w:w="95" w:type="dxa"/>
            </w:tcMar>
            <w:vAlign w:val="center"/>
          </w:tcPr>
          <w:p w14:paraId="0BD5E7BD" w14:textId="77777777" w:rsidR="00BC3589" w:rsidRDefault="0080647A">
            <w:pPr>
              <w:pStyle w:val="TableText"/>
            </w:pPr>
            <w:r>
              <w:rPr>
                <w:b/>
              </w:rPr>
              <w:t>Background Color → Choose Color</w:t>
            </w:r>
          </w:p>
        </w:tc>
        <w:tc>
          <w:tcPr>
            <w:tcW w:w="2952" w:type="dxa"/>
            <w:tcMar>
              <w:top w:w="65" w:type="dxa"/>
              <w:left w:w="95" w:type="dxa"/>
              <w:bottom w:w="65" w:type="dxa"/>
              <w:right w:w="95" w:type="dxa"/>
            </w:tcMar>
            <w:vAlign w:val="center"/>
          </w:tcPr>
          <w:p w14:paraId="2827E766" w14:textId="77777777" w:rsidR="00BC3589" w:rsidRDefault="0080647A">
            <w:pPr>
              <w:pStyle w:val="TableText"/>
            </w:pPr>
            <w:r>
              <w:t xml:space="preserve">white </w:t>
            </w:r>
            <w:r>
              <w:rPr>
                <w:rFonts w:ascii="Consolas" w:hAnsi="Consolas"/>
                <w:sz w:val="18"/>
              </w:rPr>
              <w:t>[1 1 1]</w:t>
            </w:r>
          </w:p>
        </w:tc>
        <w:tc>
          <w:tcPr>
            <w:tcW w:w="4925" w:type="dxa"/>
            <w:tcMar>
              <w:top w:w="65" w:type="dxa"/>
              <w:left w:w="95" w:type="dxa"/>
              <w:bottom w:w="65" w:type="dxa"/>
              <w:right w:w="95" w:type="dxa"/>
            </w:tcMar>
            <w:vAlign w:val="center"/>
          </w:tcPr>
          <w:p w14:paraId="1DE4EE34" w14:textId="77777777" w:rsidR="00BC3589" w:rsidRDefault="0080647A">
            <w:pPr>
              <w:pStyle w:val="TableText"/>
            </w:pPr>
            <w:r>
              <w:t xml:space="preserve">Sets the scientific canvas background, not the Light/Dark interface theme. App export set to </w:t>
            </w:r>
            <w:r>
              <w:rPr>
                <w:b/>
              </w:rPr>
              <w:t>current</w:t>
            </w:r>
            <w:r>
              <w:t xml:space="preserve"> follows the rendered canvas color.</w:t>
            </w:r>
          </w:p>
        </w:tc>
      </w:tr>
      <w:tr w:rsidR="00BC3589" w14:paraId="12D8445E" w14:textId="77777777">
        <w:trPr>
          <w:cantSplit/>
        </w:trPr>
        <w:tc>
          <w:tcPr>
            <w:tcW w:w="1800" w:type="dxa"/>
            <w:tcMar>
              <w:top w:w="65" w:type="dxa"/>
              <w:left w:w="95" w:type="dxa"/>
              <w:bottom w:w="65" w:type="dxa"/>
              <w:right w:w="95" w:type="dxa"/>
            </w:tcMar>
            <w:vAlign w:val="center"/>
          </w:tcPr>
          <w:p w14:paraId="0A708EED" w14:textId="77777777" w:rsidR="00BC3589" w:rsidRDefault="0080647A">
            <w:pPr>
              <w:pStyle w:val="TableText"/>
            </w:pPr>
            <w:r>
              <w:rPr>
                <w:b/>
              </w:rPr>
              <w:t>Surface Shading</w:t>
            </w:r>
          </w:p>
        </w:tc>
        <w:tc>
          <w:tcPr>
            <w:tcW w:w="2952" w:type="dxa"/>
            <w:tcMar>
              <w:top w:w="65" w:type="dxa"/>
              <w:left w:w="95" w:type="dxa"/>
              <w:bottom w:w="65" w:type="dxa"/>
              <w:right w:w="95" w:type="dxa"/>
            </w:tcMar>
            <w:vAlign w:val="center"/>
          </w:tcPr>
          <w:p w14:paraId="1B27E374" w14:textId="77777777" w:rsidR="00BC3589" w:rsidRDefault="0080647A">
            <w:pPr>
              <w:pStyle w:val="TableText"/>
            </w:pPr>
            <w:r>
              <w:rPr>
                <w:b/>
              </w:rPr>
              <w:t>Interpolated</w:t>
            </w:r>
          </w:p>
        </w:tc>
        <w:tc>
          <w:tcPr>
            <w:tcW w:w="4925" w:type="dxa"/>
            <w:tcMar>
              <w:top w:w="65" w:type="dxa"/>
              <w:left w:w="95" w:type="dxa"/>
              <w:bottom w:w="65" w:type="dxa"/>
              <w:right w:w="95" w:type="dxa"/>
            </w:tcMar>
            <w:vAlign w:val="center"/>
          </w:tcPr>
          <w:p w14:paraId="644DAC4F" w14:textId="77777777" w:rsidR="00BC3589" w:rsidRDefault="0080647A">
            <w:pPr>
              <w:pStyle w:val="TableText"/>
            </w:pPr>
            <w:r>
              <w:t xml:space="preserve">Flat, Faceted or Interpolated surface </w:t>
            </w:r>
            <w:r>
              <w:t>face/vertex shading. Faceted draws black mesh outlines and may cost more on dense meshes. This is display shading, not mesh smoothing.</w:t>
            </w:r>
          </w:p>
        </w:tc>
      </w:tr>
      <w:tr w:rsidR="00BC3589" w14:paraId="7EC7B8B3" w14:textId="77777777">
        <w:trPr>
          <w:cantSplit/>
        </w:trPr>
        <w:tc>
          <w:tcPr>
            <w:tcW w:w="1800" w:type="dxa"/>
            <w:tcMar>
              <w:top w:w="65" w:type="dxa"/>
              <w:left w:w="95" w:type="dxa"/>
              <w:bottom w:w="65" w:type="dxa"/>
              <w:right w:w="95" w:type="dxa"/>
            </w:tcMar>
            <w:vAlign w:val="center"/>
          </w:tcPr>
          <w:p w14:paraId="0DC392AF" w14:textId="77777777" w:rsidR="00BC3589" w:rsidRDefault="0080647A">
            <w:pPr>
              <w:pStyle w:val="TableText"/>
            </w:pPr>
            <w:r>
              <w:rPr>
                <w:b/>
              </w:rPr>
              <w:t>Lighting Model</w:t>
            </w:r>
          </w:p>
        </w:tc>
        <w:tc>
          <w:tcPr>
            <w:tcW w:w="2952" w:type="dxa"/>
            <w:tcMar>
              <w:top w:w="65" w:type="dxa"/>
              <w:left w:w="95" w:type="dxa"/>
              <w:bottom w:w="65" w:type="dxa"/>
              <w:right w:w="95" w:type="dxa"/>
            </w:tcMar>
            <w:vAlign w:val="center"/>
          </w:tcPr>
          <w:p w14:paraId="22DEF075" w14:textId="77777777" w:rsidR="00BC3589" w:rsidRDefault="0080647A">
            <w:pPr>
              <w:pStyle w:val="TableText"/>
            </w:pPr>
            <w:r>
              <w:rPr>
                <w:b/>
              </w:rPr>
              <w:t>Phong</w:t>
            </w:r>
          </w:p>
        </w:tc>
        <w:tc>
          <w:tcPr>
            <w:tcW w:w="4925" w:type="dxa"/>
            <w:tcMar>
              <w:top w:w="65" w:type="dxa"/>
              <w:left w:w="95" w:type="dxa"/>
              <w:bottom w:w="65" w:type="dxa"/>
              <w:right w:w="95" w:type="dxa"/>
            </w:tcMar>
            <w:vAlign w:val="center"/>
          </w:tcPr>
          <w:p w14:paraId="5DBB8AC6" w14:textId="77777777" w:rsidR="00BC3589" w:rsidRDefault="0080647A">
            <w:pPr>
              <w:pStyle w:val="TableText"/>
            </w:pPr>
            <w:r>
              <w:t xml:space="preserve">None, Flat, Gouraud or Phong lighting for shaded geometry. Appearance depends on material, view </w:t>
            </w:r>
            <w:r>
              <w:t>and graphics backend.</w:t>
            </w:r>
          </w:p>
        </w:tc>
      </w:tr>
      <w:tr w:rsidR="00BC3589" w14:paraId="22F2AAED" w14:textId="77777777">
        <w:trPr>
          <w:cantSplit/>
        </w:trPr>
        <w:tc>
          <w:tcPr>
            <w:tcW w:w="1800" w:type="dxa"/>
            <w:tcMar>
              <w:top w:w="65" w:type="dxa"/>
              <w:left w:w="95" w:type="dxa"/>
              <w:bottom w:w="65" w:type="dxa"/>
              <w:right w:w="95" w:type="dxa"/>
            </w:tcMar>
            <w:vAlign w:val="center"/>
          </w:tcPr>
          <w:p w14:paraId="4F05A503" w14:textId="77777777" w:rsidR="00BC3589" w:rsidRDefault="0080647A">
            <w:pPr>
              <w:pStyle w:val="TableText"/>
            </w:pPr>
            <w:r>
              <w:rPr>
                <w:b/>
              </w:rPr>
              <w:t>Light Direction</w:t>
            </w:r>
          </w:p>
        </w:tc>
        <w:tc>
          <w:tcPr>
            <w:tcW w:w="2952" w:type="dxa"/>
            <w:tcMar>
              <w:top w:w="65" w:type="dxa"/>
              <w:left w:w="95" w:type="dxa"/>
              <w:bottom w:w="65" w:type="dxa"/>
              <w:right w:w="95" w:type="dxa"/>
            </w:tcMar>
            <w:vAlign w:val="center"/>
          </w:tcPr>
          <w:p w14:paraId="269832D7" w14:textId="77777777" w:rsidR="00BC3589" w:rsidRDefault="0080647A">
            <w:pPr>
              <w:pStyle w:val="TableText"/>
            </w:pPr>
            <w:r>
              <w:rPr>
                <w:b/>
              </w:rPr>
              <w:t>Right</w:t>
            </w:r>
          </w:p>
        </w:tc>
        <w:tc>
          <w:tcPr>
            <w:tcW w:w="4925" w:type="dxa"/>
            <w:tcMar>
              <w:top w:w="65" w:type="dxa"/>
              <w:left w:w="95" w:type="dxa"/>
              <w:bottom w:w="65" w:type="dxa"/>
              <w:right w:w="95" w:type="dxa"/>
            </w:tcMar>
            <w:vAlign w:val="center"/>
          </w:tcPr>
          <w:p w14:paraId="37E33846" w14:textId="77777777" w:rsidR="00BC3589" w:rsidRDefault="0080647A">
            <w:pPr>
              <w:pStyle w:val="TableText"/>
            </w:pPr>
            <w:r>
              <w:t>Headlight, Right or Left. Camera/light behavior should be inspected after manual rotation; the choice does not change data coordinates.</w:t>
            </w:r>
          </w:p>
        </w:tc>
      </w:tr>
      <w:tr w:rsidR="00BC3589" w14:paraId="4FA95DA1" w14:textId="77777777">
        <w:trPr>
          <w:cantSplit/>
        </w:trPr>
        <w:tc>
          <w:tcPr>
            <w:tcW w:w="1800" w:type="dxa"/>
            <w:tcMar>
              <w:top w:w="65" w:type="dxa"/>
              <w:left w:w="95" w:type="dxa"/>
              <w:bottom w:w="65" w:type="dxa"/>
              <w:right w:w="95" w:type="dxa"/>
            </w:tcMar>
            <w:vAlign w:val="center"/>
          </w:tcPr>
          <w:p w14:paraId="5294033D" w14:textId="77777777" w:rsidR="00BC3589" w:rsidRDefault="0080647A">
            <w:pPr>
              <w:pStyle w:val="TableText"/>
            </w:pPr>
            <w:r>
              <w:rPr>
                <w:b/>
              </w:rPr>
              <w:t>Surface Material</w:t>
            </w:r>
          </w:p>
        </w:tc>
        <w:tc>
          <w:tcPr>
            <w:tcW w:w="2952" w:type="dxa"/>
            <w:tcMar>
              <w:top w:w="65" w:type="dxa"/>
              <w:left w:w="95" w:type="dxa"/>
              <w:bottom w:w="65" w:type="dxa"/>
              <w:right w:w="95" w:type="dxa"/>
            </w:tcMar>
            <w:vAlign w:val="center"/>
          </w:tcPr>
          <w:p w14:paraId="134D1D65" w14:textId="77777777" w:rsidR="00BC3589" w:rsidRDefault="0080647A">
            <w:pPr>
              <w:pStyle w:val="TableText"/>
            </w:pPr>
            <w:r>
              <w:rPr>
                <w:b/>
              </w:rPr>
              <w:t>Dull</w:t>
            </w:r>
          </w:p>
        </w:tc>
        <w:tc>
          <w:tcPr>
            <w:tcW w:w="4925" w:type="dxa"/>
            <w:tcMar>
              <w:top w:w="65" w:type="dxa"/>
              <w:left w:w="95" w:type="dxa"/>
              <w:bottom w:w="65" w:type="dxa"/>
              <w:right w:w="95" w:type="dxa"/>
            </w:tcMar>
            <w:vAlign w:val="center"/>
          </w:tcPr>
          <w:p w14:paraId="106D6431" w14:textId="77777777" w:rsidR="00BC3589" w:rsidRDefault="0080647A">
            <w:pPr>
              <w:pStyle w:val="TableText"/>
            </w:pPr>
            <w:r>
              <w:t>Dull, Shiny, Metal or Custom. Custom enables the thr</w:t>
            </w:r>
            <w:r>
              <w:t>ee strength fields below; presets follow MATLAB's material behavior.</w:t>
            </w:r>
          </w:p>
        </w:tc>
      </w:tr>
      <w:tr w:rsidR="00BC3589" w14:paraId="717E26B1" w14:textId="77777777">
        <w:trPr>
          <w:cantSplit/>
        </w:trPr>
        <w:tc>
          <w:tcPr>
            <w:tcW w:w="1800" w:type="dxa"/>
            <w:tcMar>
              <w:top w:w="65" w:type="dxa"/>
              <w:left w:w="95" w:type="dxa"/>
              <w:bottom w:w="65" w:type="dxa"/>
              <w:right w:w="95" w:type="dxa"/>
            </w:tcMar>
            <w:vAlign w:val="center"/>
          </w:tcPr>
          <w:p w14:paraId="2F79BB50" w14:textId="77777777" w:rsidR="00BC3589" w:rsidRDefault="0080647A">
            <w:pPr>
              <w:pStyle w:val="TableText"/>
            </w:pPr>
            <w:r>
              <w:rPr>
                <w:b/>
              </w:rPr>
              <w:t>Ambient / Diffuse / Specular Strength</w:t>
            </w:r>
          </w:p>
        </w:tc>
        <w:tc>
          <w:tcPr>
            <w:tcW w:w="2952" w:type="dxa"/>
            <w:tcMar>
              <w:top w:w="65" w:type="dxa"/>
              <w:left w:w="95" w:type="dxa"/>
              <w:bottom w:w="65" w:type="dxa"/>
              <w:right w:w="95" w:type="dxa"/>
            </w:tcMar>
            <w:vAlign w:val="center"/>
          </w:tcPr>
          <w:p w14:paraId="6C13AD06" w14:textId="77777777" w:rsidR="00BC3589" w:rsidRDefault="0080647A">
            <w:pPr>
              <w:pStyle w:val="TableText"/>
            </w:pPr>
            <w:r>
              <w:rPr>
                <w:rFonts w:ascii="Consolas" w:hAnsi="Consolas"/>
                <w:sz w:val="18"/>
              </w:rPr>
              <w:t>[0.5 0.5 0.5]</w:t>
            </w:r>
            <w:r>
              <w:t xml:space="preserve"> stored</w:t>
            </w:r>
          </w:p>
        </w:tc>
        <w:tc>
          <w:tcPr>
            <w:tcW w:w="4925" w:type="dxa"/>
            <w:tcMar>
              <w:top w:w="65" w:type="dxa"/>
              <w:left w:w="95" w:type="dxa"/>
              <w:bottom w:w="65" w:type="dxa"/>
              <w:right w:w="95" w:type="dxa"/>
            </w:tcMar>
            <w:vAlign w:val="center"/>
          </w:tcPr>
          <w:p w14:paraId="49E1AB87" w14:textId="77777777" w:rsidR="00BC3589" w:rsidRDefault="0080647A">
            <w:pPr>
              <w:pStyle w:val="TableText"/>
            </w:pPr>
            <w:r>
              <w:t>Each accepts 0–1 and is editable for Custom material. Values affect lighting response, not underlying scalar data.</w:t>
            </w:r>
          </w:p>
        </w:tc>
      </w:tr>
      <w:tr w:rsidR="00BC3589" w14:paraId="7A755B31" w14:textId="77777777">
        <w:trPr>
          <w:cantSplit/>
        </w:trPr>
        <w:tc>
          <w:tcPr>
            <w:tcW w:w="1800" w:type="dxa"/>
            <w:tcMar>
              <w:top w:w="65" w:type="dxa"/>
              <w:left w:w="95" w:type="dxa"/>
              <w:bottom w:w="65" w:type="dxa"/>
              <w:right w:w="95" w:type="dxa"/>
            </w:tcMar>
            <w:vAlign w:val="center"/>
          </w:tcPr>
          <w:p w14:paraId="0F9F4D8A" w14:textId="77777777" w:rsidR="00BC3589" w:rsidRDefault="0080647A">
            <w:pPr>
              <w:pStyle w:val="TableText"/>
            </w:pPr>
            <w:r>
              <w:rPr>
                <w:b/>
              </w:rPr>
              <w:lastRenderedPageBreak/>
              <w:t>Render Detail</w:t>
            </w:r>
          </w:p>
        </w:tc>
        <w:tc>
          <w:tcPr>
            <w:tcW w:w="2952" w:type="dxa"/>
            <w:tcMar>
              <w:top w:w="65" w:type="dxa"/>
              <w:left w:w="95" w:type="dxa"/>
              <w:bottom w:w="65" w:type="dxa"/>
              <w:right w:w="95" w:type="dxa"/>
            </w:tcMar>
            <w:vAlign w:val="center"/>
          </w:tcPr>
          <w:p w14:paraId="6D6E56B6" w14:textId="77777777" w:rsidR="00BC3589" w:rsidRDefault="0080647A">
            <w:pPr>
              <w:pStyle w:val="TableText"/>
            </w:pPr>
            <w:r>
              <w:rPr>
                <w:b/>
              </w:rPr>
              <w:t>Adaptive (modern)</w:t>
            </w:r>
          </w:p>
        </w:tc>
        <w:tc>
          <w:tcPr>
            <w:tcW w:w="4925" w:type="dxa"/>
            <w:tcMar>
              <w:top w:w="65" w:type="dxa"/>
              <w:left w:w="95" w:type="dxa"/>
              <w:bottom w:w="65" w:type="dxa"/>
              <w:right w:w="95" w:type="dxa"/>
            </w:tcMar>
            <w:vAlign w:val="center"/>
          </w:tcPr>
          <w:p w14:paraId="3D016B12" w14:textId="77777777" w:rsidR="00BC3589" w:rsidRDefault="0080647A">
            <w:pPr>
              <w:pStyle w:val="TableText"/>
            </w:pPr>
            <w:r>
              <w:t>Adaptive uses load-aware renderer policy. Legacy Low/Moderate/High use node sphere detail 10/50/100 and edge-cylinder sides 5/10/20; High can be costly. The surface topology is unchanged.</w:t>
            </w:r>
          </w:p>
        </w:tc>
      </w:tr>
      <w:tr w:rsidR="00BC3589" w14:paraId="51DC32F8" w14:textId="77777777">
        <w:trPr>
          <w:cantSplit/>
        </w:trPr>
        <w:tc>
          <w:tcPr>
            <w:tcW w:w="1800" w:type="dxa"/>
            <w:tcMar>
              <w:top w:w="65" w:type="dxa"/>
              <w:left w:w="95" w:type="dxa"/>
              <w:bottom w:w="65" w:type="dxa"/>
              <w:right w:w="95" w:type="dxa"/>
            </w:tcMar>
            <w:vAlign w:val="center"/>
          </w:tcPr>
          <w:p w14:paraId="033855D9" w14:textId="77777777" w:rsidR="00BC3589" w:rsidRDefault="0080647A">
            <w:pPr>
              <w:pStyle w:val="TableText"/>
            </w:pPr>
            <w:r>
              <w:rPr>
                <w:b/>
              </w:rPr>
              <w:t>Show Orientation Labels</w:t>
            </w:r>
          </w:p>
        </w:tc>
        <w:tc>
          <w:tcPr>
            <w:tcW w:w="2952" w:type="dxa"/>
            <w:tcMar>
              <w:top w:w="65" w:type="dxa"/>
              <w:left w:w="95" w:type="dxa"/>
              <w:bottom w:w="65" w:type="dxa"/>
              <w:right w:w="95" w:type="dxa"/>
            </w:tcMar>
            <w:vAlign w:val="center"/>
          </w:tcPr>
          <w:p w14:paraId="234220CD" w14:textId="77777777" w:rsidR="00BC3589" w:rsidRDefault="0080647A">
            <w:pPr>
              <w:pStyle w:val="TableText"/>
            </w:pPr>
            <w:r>
              <w:t>off</w:t>
            </w:r>
          </w:p>
        </w:tc>
        <w:tc>
          <w:tcPr>
            <w:tcW w:w="4925" w:type="dxa"/>
            <w:tcMar>
              <w:top w:w="65" w:type="dxa"/>
              <w:left w:w="95" w:type="dxa"/>
              <w:bottom w:w="65" w:type="dxa"/>
              <w:right w:w="95" w:type="dxa"/>
            </w:tcMar>
            <w:vAlign w:val="center"/>
          </w:tcPr>
          <w:p w14:paraId="3AF13071" w14:textId="77777777" w:rsidR="00BC3589" w:rsidRDefault="0080647A">
            <w:pPr>
              <w:pStyle w:val="TableText"/>
            </w:pPr>
            <w:r>
              <w:t>Multi-v</w:t>
            </w:r>
            <w:r>
              <w:t>iew pane badges are X&lt;=0 / X&gt;0 unless the Scene has an explicit, input-bound anatomical-X declaration; only then can they say L/R. They label panes, not the screen's left/right edge. Single View and six complete-data Overview have no half-space badges.</w:t>
            </w:r>
          </w:p>
        </w:tc>
      </w:tr>
    </w:tbl>
    <w:p w14:paraId="079C3EB8" w14:textId="77777777" w:rsidR="00BC3589" w:rsidRDefault="0080647A">
      <w:pPr>
        <w:spacing w:after="0"/>
      </w:pPr>
      <w:r>
        <w:rPr>
          <w:sz w:val="6"/>
        </w:rPr>
        <w:t xml:space="preserve"> </w:t>
      </w:r>
    </w:p>
    <w:p w14:paraId="101EDE88" w14:textId="77777777" w:rsidR="00BC3589" w:rsidRDefault="0080647A">
      <w:pPr>
        <w:pStyle w:val="Heading2"/>
      </w:pPr>
      <w:r>
        <w:t>Compare appearance settings</w:t>
      </w:r>
    </w:p>
    <w:p w14:paraId="0B4BB80A" w14:textId="77777777" w:rsidR="00BC3589" w:rsidRDefault="0080647A">
      <w:r>
        <w:t xml:space="preserve">Material changes the balance of ambient, diffuse and specular reflections. </w:t>
      </w:r>
      <w:r>
        <w:rPr>
          <w:b/>
        </w:rPr>
        <w:t>Dull</w:t>
      </w:r>
      <w:r>
        <w:t xml:space="preserve"> gives a relatively subdued shape; </w:t>
      </w:r>
      <w:r>
        <w:rPr>
          <w:b/>
        </w:rPr>
        <w:t>Shiny</w:t>
      </w:r>
      <w:r>
        <w:t xml:space="preserve"> and </w:t>
      </w:r>
      <w:r>
        <w:rPr>
          <w:b/>
        </w:rPr>
        <w:t>Metal</w:t>
      </w:r>
      <w:r>
        <w:t xml:space="preserve"> emphasize highlights. A Custom material lets you adjust the three strengths rather than replacing </w:t>
      </w:r>
      <w:r>
        <w:t>the input mesh. Surface Shading controls whether neighboring vertex colors are interpolated and whether triangle boundaries are visible; use Faceted to inspect mesh edges, not to infer an anatomical boundary. The Lighting Model controls how illumination is</w:t>
      </w:r>
      <w:r>
        <w:t xml:space="preserve"> calculated, while Light Direction chooses where it comes from. These are separate decisions: an interpolated color map can still look flat under weak lighting, and changing illumination never changes a statistic in the source map.</w:t>
      </w:r>
    </w:p>
    <w:p w14:paraId="72E006AF" w14:textId="77777777" w:rsidR="00BC3589" w:rsidRDefault="0080647A">
      <w:r>
        <w:t xml:space="preserve">The appearance gallery compares material, shading and light direction on one geometry. Set the palette and statistical range first, choose lighting and material, then check legibility at the intended export size. Use Render Detail conservatively on dense networks: higher sphere and cylinder tessellation increases geometry without adding measurements or changing surface topology.</w:t>
      </w:r>
      <w:r>
        <w:t xml:space="preserve"/>
      </w:r>
      <w:r>
        <w:t xml:space="preserve"/>
      </w:r>
      <w:r>
        <w:rPr>
          <w:b/>
        </w:rPr>
        <w:t xml:space="preserve"/>
      </w:r>
      <w:r>
        <w:t xml:space="preserve"/>
      </w:r>
      <w:r>
        <w:t xml:space="preserve"/>
      </w:r>
    </w:p>
    <w:p w14:paraId="176D6A7A" w14:textId="77777777" w:rsidR="00BC3589" w:rsidRDefault="0080647A">
      <w:pPr>
        <w:keepNext/>
        <w:spacing w:before="180" w:after="60"/>
        <w:jc w:val="center"/>
      </w:pPr>
      <w:r>
        <w:rPr>
          <w:noProof/>
        </w:rPr>
        <w:drawing>
          <wp:inline distT="0" distB="0" distL="0" distR="0" wp14:anchorId="44568661" wp14:editId="466E034A">
            <wp:extent cx="5989320" cy="3604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ighting-examples.png"/>
                    <pic:cNvPicPr/>
                  </pic:nvPicPr>
                  <pic:blipFill>
                    <a:blip r:embed="rId17"/>
                    <a:stretch>
                      <a:fillRect/>
                    </a:stretch>
                  </pic:blipFill>
                  <pic:spPr>
                    <a:xfrm>
                      <a:off x="0" y="0"/>
                      <a:ext cx="5989320" cy="3604683"/>
                    </a:xfrm>
                    <a:prstGeom prst="rect">
                      <a:avLst/>
                    </a:prstGeom>
                  </pic:spPr>
                </pic:pic>
              </a:graphicData>
            </a:graphic>
          </wp:inline>
        </w:drawing>
      </w:r>
    </w:p>
    <w:p w14:paraId="5B9A8A62" w14:textId="77777777" w:rsidR="00BC3589" w:rsidRDefault="0080647A">
      <w:pPr>
        <w:pStyle w:val="FigureCaption"/>
        <w:jc w:val="center"/>
      </w:pPr>
      <w:r>
        <w:t xml:space="preserve">Figure 8. Surface material, shading and light-direction examples. MATLAB illustration.</w:t>
      </w:r>
      <w:r>
        <w:t xml:space="preserve"/>
      </w:r>
    </w:p>
    <w:p w14:paraId="52BBB70E" w14:textId="77777777" w:rsidR="00BC3589" w:rsidRDefault="0080647A">
      <w:r>
        <w:rPr>
          <w:b/>
        </w:rPr>
        <w:lastRenderedPageBreak/>
        <w:t>Theme</w:t>
      </w:r>
      <w:r>
        <w:t xml:space="preserve"> in the top bar changes UI colors only. For export, </w:t>
      </w:r>
      <w:r>
        <w:rPr>
          <w:b/>
        </w:rPr>
        <w:t>current</w:t>
      </w:r>
      <w:r>
        <w:t xml:space="preserve"> preserves the actual scientific canvas background; transparent raster requests may be rejected rather than silently flattened. See backgrounds. Lighting/material specifics and the exact legacy geometry table are in Material Settings and Render Detail.</w:t>
      </w:r>
    </w:p>
    <w:p w14:paraId="066A6BAE" w14:textId="77777777" w:rsidR="00BC3589" w:rsidRDefault="0080647A">
      <w:r>
        <w:t xml:space="preserve">MATLAB orientation labels: The App does not infer anatomy from a filename or species. To show anatomical L/R, first verify coordinate units, shared registration, the X=0 midline and positive-X direction, then attach the declaration to hashed Scene inputs using the documented Scene/API workflow. Merely ticking Show Orientation Labels without that declaration shows coordinate halves. Check label contrast on the display and in the exported figure.</w:t>
      </w:r>
      <w:r>
        <w:t xml:space="preserve"/>
      </w:r>
      <w:r>
        <w:t xml:space="preserve"/>
      </w:r>
      <w:r>
        <w:rPr>
          <w:b/>
        </w:rPr>
        <w:t/>
      </w:r>
      <w:r>
        <w:t xml:space="preserve"/>
      </w:r>
    </w:p>
    <w:p>
      <w:r>
        <w:t>Restore Defaults resets display settings while keeping the current canvas visible. Click Apply or Render Scene to redraw; export is paused until the retained preview is replaced. It does not return to the welcome page.</w:t>
      </w:r>
    </w:p>
    <w:p>
      <w:pPr>
        <w:pStyle w:val="Heading2"/>
        <w:keepNext/>
      </w:pPr>
      <w:r>
        <w:t xml:space="preserve">Edition specific appearance</w:t>
      </w:r>
    </w:p>
    <w:p>
      <w:pPr>
        <w:pStyle w:val="Normal"/>
      </w:pPr>
      <w:r>
        <w:t xml:space="preserve">Python uses the VTK graphics backend. Material and lighting options express similar display intentions but need not produce pixel-identical output to MATLAB. Python pane labels must be interpreted using the verified input coordinates; the MATLAB input-bound anatomical declaration workflow is not a general registration tool. Numerical preparation in Python uses CPU paths; do not infer MATLAB GPU support from a GPU model in the status bar.</w:t>
      </w:r>
    </w:p>
    <w:p w14:paraId="3BB1B2A6" w14:textId="77777777" w:rsidR="00BC3589" w:rsidRDefault="0080647A">
      <w:pPr>
        <w:pStyle w:val="Heading1"/>
        <w:pageBreakBefore/>
      </w:pPr>
      <w:bookmarkStart w:id="7" w:name="bnv_chapter_7"/>
      <w:r>
        <w:lastRenderedPageBreak/>
        <w:t xml:space="preserve">7 Surface appearance and maps</w:t>
      </w:r>
      <w:bookmarkEnd w:id="7"/>
    </w:p>
    <w:p w14:paraId="2B1F6C3D" w14:textId="77777777" w:rsidR="00BC3589" w:rsidRDefault="0080647A">
      <w:r>
        <w:t xml:space="preserve">Use </w:t>
      </w:r>
      <w:r>
        <w:rPr>
          <w:b/>
        </w:rPr>
        <w:t>Visualization Settings → Surface</w:t>
      </w:r>
      <w:r>
        <w:t xml:space="preserve"> to set the surface color, </w:t>
      </w:r>
      <w:r>
        <w:t xml:space="preserve">opacity, boundaries and vertex colors. </w:t>
      </w:r>
      <w:r>
        <w:rPr>
          <w:b/>
        </w:rPr>
        <w:t>Apply</w:t>
      </w:r>
      <w:r>
        <w:t xml:space="preserve"> commits and renders. A loaded Scene or preset keeps its explicit values unless you edit them.</w:t>
      </w:r>
    </w:p>
    <w:p w14:paraId="6F882325" w14:textId="77777777" w:rsidR="00BC3589" w:rsidRDefault="0080647A">
      <w:pPr>
        <w:keepNext/>
        <w:spacing w:before="180" w:after="60"/>
        <w:jc w:val="center"/>
      </w:pPr>
      <w:r>
        <w:rPr>
          <w:noProof/>
        </w:rPr>
        <w:drawing>
          <wp:inline distT="0" distB="0" distL="0" distR="0" wp14:anchorId="058115BD" wp14:editId="442B9DB2">
            <wp:extent cx="5989320" cy="3833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al-map-full-window.png"/>
                    <pic:cNvPicPr/>
                  </pic:nvPicPr>
                  <pic:blipFill>
                    <a:blip r:embed="rId18"/>
                    <a:stretch>
                      <a:fillRect/>
                    </a:stretch>
                  </pic:blipFill>
                  <pic:spPr>
                    <a:xfrm>
                      <a:off x="0" y="0"/>
                      <a:ext cx="5989320" cy="3833165"/>
                    </a:xfrm>
                    <a:prstGeom prst="rect">
                      <a:avLst/>
                    </a:prstGeom>
                  </pic:spPr>
                </pic:pic>
              </a:graphicData>
            </a:graphic>
          </wp:inline>
        </w:drawing>
      </w:r>
      <w:r>
        <w:rPr>
          <w:rStyle w:val="CommentReference"/>
        </w:rPr>
      </w:r>
    </w:p>
    <w:p w14:paraId="54B92B1E" w14:textId="77777777" w:rsidR="00BC3589" w:rsidRDefault="0080647A">
      <w:pPr>
        <w:pStyle w:val="FigureCaption"/>
        <w:jc w:val="center"/>
      </w:pPr>
      <w:r>
        <w:t xml:space="preserve">Figure 9. AAL vertex labels with automatic boundaries in four lateral and medial views.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68840BE" w14:textId="77777777">
        <w:trPr>
          <w:tblHeader/>
        </w:trPr>
        <w:tc>
          <w:tcPr>
            <w:tcW w:w="1800" w:type="dxa"/>
            <w:shd w:val="clear" w:color="auto" w:fill="E8EDF3"/>
            <w:tcMar>
              <w:top w:w="65" w:type="dxa"/>
              <w:left w:w="95" w:type="dxa"/>
              <w:bottom w:w="65" w:type="dxa"/>
              <w:right w:w="95" w:type="dxa"/>
            </w:tcMar>
            <w:vAlign w:val="center"/>
          </w:tcPr>
          <w:p w14:paraId="5EB7EE4C"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13DAFA0" w14:textId="77777777" w:rsidR="00BC3589" w:rsidRDefault="0080647A">
            <w:pPr>
              <w:pStyle w:val="TableText"/>
            </w:pPr>
            <w:r>
              <w:rPr>
                <w:b/>
              </w:rPr>
              <w:t>New-settings defau</w:t>
            </w:r>
            <w:r>
              <w:rPr>
                <w:b/>
              </w:rPr>
              <w:t>lt</w:t>
            </w:r>
          </w:p>
        </w:tc>
        <w:tc>
          <w:tcPr>
            <w:tcW w:w="4925" w:type="dxa"/>
            <w:shd w:val="clear" w:color="auto" w:fill="E8EDF3"/>
            <w:tcMar>
              <w:top w:w="65" w:type="dxa"/>
              <w:left w:w="95" w:type="dxa"/>
              <w:bottom w:w="65" w:type="dxa"/>
              <w:right w:w="95" w:type="dxa"/>
            </w:tcMar>
            <w:vAlign w:val="center"/>
          </w:tcPr>
          <w:p w14:paraId="46877B0B" w14:textId="77777777" w:rsidR="00BC3589" w:rsidRDefault="0080647A">
            <w:pPr>
              <w:pStyle w:val="TableText"/>
            </w:pPr>
            <w:r>
              <w:rPr>
                <w:b/>
              </w:rPr>
              <w:t>Meaning / enabling rule</w:t>
            </w:r>
          </w:p>
        </w:tc>
      </w:tr>
      <w:tr w:rsidR="00BC3589" w14:paraId="1643B69A" w14:textId="77777777">
        <w:trPr>
          <w:cantSplit/>
        </w:trPr>
        <w:tc>
          <w:tcPr>
            <w:tcW w:w="1800" w:type="dxa"/>
            <w:tcMar>
              <w:top w:w="65" w:type="dxa"/>
              <w:left w:w="95" w:type="dxa"/>
              <w:bottom w:w="65" w:type="dxa"/>
              <w:right w:w="95" w:type="dxa"/>
            </w:tcMar>
            <w:vAlign w:val="center"/>
          </w:tcPr>
          <w:p w14:paraId="44289A81"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4BC2CC4" w14:textId="77777777" w:rsidR="00BC3589" w:rsidRDefault="0080647A">
            <w:pPr>
              <w:pStyle w:val="TableText"/>
            </w:pPr>
            <w:r>
              <w:t>Uniform</w:t>
            </w:r>
          </w:p>
        </w:tc>
        <w:tc>
          <w:tcPr>
            <w:tcW w:w="4925" w:type="dxa"/>
            <w:tcMar>
              <w:top w:w="65" w:type="dxa"/>
              <w:left w:w="95" w:type="dxa"/>
              <w:bottom w:w="65" w:type="dxa"/>
              <w:right w:w="95" w:type="dxa"/>
            </w:tcMar>
            <w:vAlign w:val="center"/>
          </w:tcPr>
          <w:p w14:paraId="220E363E" w14:textId="77777777" w:rsidR="00BC3589" w:rsidRDefault="0080647A">
            <w:pPr>
              <w:pStyle w:val="TableText"/>
            </w:pPr>
            <w:r>
              <w:rPr>
                <w:b/>
              </w:rPr>
              <w:t>Uniform</w:t>
            </w:r>
            <w:r>
              <w:t xml:space="preserve"> uses one RGB surface color; </w:t>
            </w:r>
            <w:r>
              <w:rPr>
                <w:b/>
              </w:rPr>
              <w:t>Scalar Map</w:t>
            </w:r>
            <w:r>
              <w:t xml:space="preserve"> colors vertices from a loaded surface map or supported volume-to-surface mapping; </w:t>
            </w:r>
            <w:r>
              <w:rPr>
                <w:b/>
              </w:rPr>
              <w:t>Vertex RGB</w:t>
            </w:r>
            <w:r>
              <w:t xml:space="preserve"> uses an explicitly bound original-order RGB table. Choose the mode that matches the data, not merely a desired palette.</w:t>
            </w:r>
          </w:p>
        </w:tc>
      </w:tr>
      <w:tr w:rsidR="00BC3589" w14:paraId="325552B1" w14:textId="77777777">
        <w:trPr>
          <w:cantSplit/>
        </w:trPr>
        <w:tc>
          <w:tcPr>
            <w:tcW w:w="1800" w:type="dxa"/>
            <w:tcMar>
              <w:top w:w="65" w:type="dxa"/>
              <w:left w:w="95" w:type="dxa"/>
              <w:bottom w:w="65" w:type="dxa"/>
              <w:right w:w="95" w:type="dxa"/>
            </w:tcMar>
            <w:vAlign w:val="center"/>
          </w:tcPr>
          <w:p w14:paraId="3EC0EFC3" w14:textId="77777777" w:rsidR="00BC3589" w:rsidRDefault="0080647A">
            <w:pPr>
              <w:pStyle w:val="TableText"/>
            </w:pPr>
            <w:r>
              <w:rPr>
                <w:b/>
              </w:rPr>
              <w:t>Uniform Color</w:t>
            </w:r>
          </w:p>
        </w:tc>
        <w:tc>
          <w:tcPr>
            <w:tcW w:w="2952" w:type="dxa"/>
            <w:tcMar>
              <w:top w:w="65" w:type="dxa"/>
              <w:left w:w="95" w:type="dxa"/>
              <w:bottom w:w="65" w:type="dxa"/>
              <w:right w:w="95" w:type="dxa"/>
            </w:tcMar>
            <w:vAlign w:val="center"/>
          </w:tcPr>
          <w:p w14:paraId="0ABAE010" w14:textId="77777777" w:rsidR="00BC3589" w:rsidRDefault="0080647A">
            <w:pPr>
              <w:pStyle w:val="TableText"/>
            </w:pPr>
            <w:r>
              <w:rPr>
                <w:rFonts w:ascii="Consolas" w:hAnsi="Consolas"/>
                <w:sz w:val="18"/>
              </w:rPr>
              <w:t>[0.95 0.95 0.95]</w:t>
            </w:r>
          </w:p>
        </w:tc>
        <w:tc>
          <w:tcPr>
            <w:tcW w:w="4925" w:type="dxa"/>
            <w:tcMar>
              <w:top w:w="65" w:type="dxa"/>
              <w:left w:w="95" w:type="dxa"/>
              <w:bottom w:w="65" w:type="dxa"/>
              <w:right w:w="95" w:type="dxa"/>
            </w:tcMar>
            <w:vAlign w:val="center"/>
          </w:tcPr>
          <w:p w14:paraId="3E327F95" w14:textId="77777777" w:rsidR="00BC3589" w:rsidRDefault="0080647A">
            <w:pPr>
              <w:pStyle w:val="TableText"/>
            </w:pPr>
            <w:r>
              <w:t xml:space="preserve">Active only for Uniform; </w:t>
            </w:r>
            <w:r>
              <w:rPr>
                <w:b/>
              </w:rPr>
              <w:t>Choose Surface Color</w:t>
            </w:r>
            <w:r>
              <w:t xml:space="preserve"> changes the single color.</w:t>
            </w:r>
          </w:p>
        </w:tc>
      </w:tr>
      <w:tr w:rsidR="00BC3589" w14:paraId="7F028AA7" w14:textId="77777777">
        <w:trPr>
          <w:cantSplit/>
        </w:trPr>
        <w:tc>
          <w:tcPr>
            <w:tcW w:w="1800" w:type="dxa"/>
            <w:tcMar>
              <w:top w:w="65" w:type="dxa"/>
              <w:left w:w="95" w:type="dxa"/>
              <w:bottom w:w="65" w:type="dxa"/>
              <w:right w:w="95" w:type="dxa"/>
            </w:tcMar>
            <w:vAlign w:val="center"/>
          </w:tcPr>
          <w:p w14:paraId="0E5228CB" w14:textId="77777777" w:rsidR="00BC3589" w:rsidRDefault="0080647A">
            <w:pPr>
              <w:pStyle w:val="TableText"/>
            </w:pPr>
            <w:r>
              <w:rPr>
                <w:b/>
              </w:rPr>
              <w:t>Opacity</w:t>
            </w:r>
          </w:p>
        </w:tc>
        <w:tc>
          <w:tcPr>
            <w:tcW w:w="2952" w:type="dxa"/>
            <w:tcMar>
              <w:top w:w="65" w:type="dxa"/>
              <w:left w:w="95" w:type="dxa"/>
              <w:bottom w:w="65" w:type="dxa"/>
              <w:right w:w="95" w:type="dxa"/>
            </w:tcMar>
            <w:vAlign w:val="center"/>
          </w:tcPr>
          <w:p w14:paraId="00F3BB15" w14:textId="77777777" w:rsidR="00BC3589" w:rsidRDefault="0080647A">
            <w:pPr>
              <w:pStyle w:val="TableText"/>
            </w:pPr>
            <w:r>
              <w:t xml:space="preserve">Settings </w:t>
            </w:r>
            <w:r>
              <w:t>default 0.3</w:t>
            </w:r>
          </w:p>
        </w:tc>
        <w:tc>
          <w:tcPr>
            <w:tcW w:w="4925" w:type="dxa"/>
            <w:tcMar>
              <w:top w:w="65" w:type="dxa"/>
              <w:left w:w="95" w:type="dxa"/>
              <w:bottom w:w="65" w:type="dxa"/>
              <w:right w:w="95" w:type="dxa"/>
            </w:tcMar>
            <w:vAlign w:val="center"/>
          </w:tcPr>
          <w:p w14:paraId="215CC51C" w14:textId="77777777" w:rsidR="00BC3589" w:rsidRDefault="0080647A">
            <w:pPr>
              <w:pStyle w:val="TableText"/>
            </w:pPr>
            <w:r>
              <w:t xml:space="preserve">Slider range 0 (transparent) to 1 (opaque). A new surface-only or surface-plus-map/volume Scene instead starts at </w:t>
            </w:r>
            <w:r>
              <w:rPr>
                <w:b/>
              </w:rPr>
              <w:t>1</w:t>
            </w:r>
            <w:r>
              <w:t>; explicit Scene/preset values are preserved. This display opacity does not change input values.</w:t>
            </w:r>
          </w:p>
        </w:tc>
      </w:tr>
      <w:tr w:rsidR="00BC3589" w14:paraId="50404BB4" w14:textId="77777777">
        <w:trPr>
          <w:cantSplit/>
        </w:trPr>
        <w:tc>
          <w:tcPr>
            <w:tcW w:w="1800" w:type="dxa"/>
            <w:tcMar>
              <w:top w:w="65" w:type="dxa"/>
              <w:left w:w="95" w:type="dxa"/>
              <w:bottom w:w="65" w:type="dxa"/>
              <w:right w:w="95" w:type="dxa"/>
            </w:tcMar>
            <w:vAlign w:val="center"/>
          </w:tcPr>
          <w:p w14:paraId="1F8E18F3"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295FF048" w14:textId="77777777" w:rsidR="00BC3589" w:rsidRDefault="0080647A">
            <w:pPr>
              <w:pStyle w:val="TableText"/>
            </w:pPr>
            <w:r>
              <w:t>Parula</w:t>
            </w:r>
          </w:p>
        </w:tc>
        <w:tc>
          <w:tcPr>
            <w:tcW w:w="4925" w:type="dxa"/>
            <w:tcMar>
              <w:top w:w="65" w:type="dxa"/>
              <w:left w:w="95" w:type="dxa"/>
              <w:bottom w:w="65" w:type="dxa"/>
              <w:right w:w="95" w:type="dxa"/>
            </w:tcMar>
            <w:vAlign w:val="center"/>
          </w:tcPr>
          <w:p w14:paraId="6091B101" w14:textId="77777777" w:rsidR="00BC3589" w:rsidRDefault="0080647A">
            <w:pPr>
              <w:pStyle w:val="TableText"/>
            </w:pPr>
            <w:r>
              <w:t>Active for a lo</w:t>
            </w:r>
            <w:r>
              <w:t xml:space="preserve">aded scalar surface map. Choose a named palette or </w:t>
            </w:r>
            <w:r>
              <w:rPr>
                <w:b/>
              </w:rPr>
              <w:t>Custom (Colors...)</w:t>
            </w:r>
            <w:r>
              <w:t xml:space="preserve">. Volume-to-surface coloring uses the </w:t>
            </w:r>
            <w:r>
              <w:rPr>
                <w:b/>
              </w:rPr>
              <w:t>Volume</w:t>
            </w:r>
            <w:r>
              <w:t xml:space="preserve"> panel's separate colormap; Vertex RGB bypasses scalar palettes.</w:t>
            </w:r>
          </w:p>
        </w:tc>
      </w:tr>
      <w:tr w:rsidR="00BC3589" w14:paraId="1FD26EC6" w14:textId="77777777">
        <w:trPr>
          <w:cantSplit/>
        </w:trPr>
        <w:tc>
          <w:tcPr>
            <w:tcW w:w="1800" w:type="dxa"/>
            <w:tcMar>
              <w:top w:w="65" w:type="dxa"/>
              <w:left w:w="95" w:type="dxa"/>
              <w:bottom w:w="65" w:type="dxa"/>
              <w:right w:w="95" w:type="dxa"/>
            </w:tcMar>
            <w:vAlign w:val="center"/>
          </w:tcPr>
          <w:p w14:paraId="4DA51826" w14:textId="77777777" w:rsidR="00BC3589" w:rsidRDefault="0080647A">
            <w:pPr>
              <w:pStyle w:val="TableText"/>
            </w:pPr>
            <w:r>
              <w:rPr>
                <w:b/>
              </w:rPr>
              <w:t>Color Limits</w:t>
            </w:r>
          </w:p>
        </w:tc>
        <w:tc>
          <w:tcPr>
            <w:tcW w:w="2952" w:type="dxa"/>
            <w:tcMar>
              <w:top w:w="65" w:type="dxa"/>
              <w:left w:w="95" w:type="dxa"/>
              <w:bottom w:w="65" w:type="dxa"/>
              <w:right w:w="95" w:type="dxa"/>
            </w:tcMar>
            <w:vAlign w:val="center"/>
          </w:tcPr>
          <w:p w14:paraId="519C48E3" w14:textId="77777777" w:rsidR="00BC3589" w:rsidRDefault="0080647A">
            <w:pPr>
              <w:pStyle w:val="TableText"/>
            </w:pPr>
            <w:r>
              <w:t>Auto</w:t>
            </w:r>
          </w:p>
        </w:tc>
        <w:tc>
          <w:tcPr>
            <w:tcW w:w="4925" w:type="dxa"/>
            <w:tcMar>
              <w:top w:w="65" w:type="dxa"/>
              <w:left w:w="95" w:type="dxa"/>
              <w:bottom w:w="65" w:type="dxa"/>
              <w:right w:w="95" w:type="dxa"/>
            </w:tcMar>
            <w:vAlign w:val="center"/>
          </w:tcPr>
          <w:p w14:paraId="73A5198F" w14:textId="77777777" w:rsidR="00BC3589" w:rsidRDefault="0080647A">
            <w:pPr>
              <w:pStyle w:val="TableText"/>
            </w:pPr>
            <w:r>
              <w:t xml:space="preserve">For Scalar Map, enter </w:t>
            </w:r>
            <w:r>
              <w:rPr>
                <w:rFonts w:ascii="Consolas" w:hAnsi="Consolas"/>
                <w:sz w:val="18"/>
              </w:rPr>
              <w:t>Auto</w:t>
            </w:r>
            <w:r>
              <w:t xml:space="preserve"> or two numeric endpoints (for ex</w:t>
            </w:r>
            <w:r>
              <w:t xml:space="preserve">ample </w:t>
            </w:r>
            <w:r>
              <w:rPr>
                <w:rFonts w:ascii="Consolas" w:hAnsi="Consolas"/>
                <w:sz w:val="18"/>
              </w:rPr>
              <w:t>-2 2</w:t>
            </w:r>
            <w:r>
              <w:t>). Fixed limits control color scaling, not vertex-value filtering. Recheck them when switching datasets.</w:t>
            </w:r>
          </w:p>
        </w:tc>
      </w:tr>
      <w:tr w:rsidR="00BC3589" w14:paraId="66BD8E5F" w14:textId="77777777">
        <w:trPr>
          <w:cantSplit/>
        </w:trPr>
        <w:tc>
          <w:tcPr>
            <w:tcW w:w="1800" w:type="dxa"/>
            <w:tcMar>
              <w:top w:w="65" w:type="dxa"/>
              <w:left w:w="95" w:type="dxa"/>
              <w:bottom w:w="65" w:type="dxa"/>
              <w:right w:w="95" w:type="dxa"/>
            </w:tcMar>
            <w:vAlign w:val="center"/>
          </w:tcPr>
          <w:p w14:paraId="66F06417" w14:textId="77777777" w:rsidR="00BC3589" w:rsidRDefault="0080647A">
            <w:pPr>
              <w:pStyle w:val="TableText"/>
            </w:pPr>
            <w:r>
              <w:rPr>
                <w:b/>
              </w:rPr>
              <w:t>Show Surface Colorbar</w:t>
            </w:r>
          </w:p>
        </w:tc>
        <w:tc>
          <w:tcPr>
            <w:tcW w:w="2952" w:type="dxa"/>
            <w:tcMar>
              <w:top w:w="65" w:type="dxa"/>
              <w:left w:w="95" w:type="dxa"/>
              <w:bottom w:w="65" w:type="dxa"/>
              <w:right w:w="95" w:type="dxa"/>
            </w:tcMar>
            <w:vAlign w:val="center"/>
          </w:tcPr>
          <w:p w14:paraId="2F3CAF1B" w14:textId="77777777" w:rsidR="00BC3589" w:rsidRDefault="0080647A">
            <w:pPr>
              <w:pStyle w:val="TableText"/>
            </w:pPr>
            <w:r>
              <w:t>on</w:t>
            </w:r>
          </w:p>
        </w:tc>
        <w:tc>
          <w:tcPr>
            <w:tcW w:w="4925" w:type="dxa"/>
            <w:tcMar>
              <w:top w:w="65" w:type="dxa"/>
              <w:left w:w="95" w:type="dxa"/>
              <w:bottom w:w="65" w:type="dxa"/>
              <w:right w:w="95" w:type="dxa"/>
            </w:tcMar>
            <w:vAlign w:val="center"/>
          </w:tcPr>
          <w:p w14:paraId="4616761A" w14:textId="77777777" w:rsidR="00BC3589" w:rsidRDefault="0080647A">
            <w:pPr>
              <w:pStyle w:val="TableText"/>
            </w:pPr>
            <w:r>
              <w:t xml:space="preserve">Shows one continuous colorbar when a scalar surface map or volume-to-surface map is displayed; Uniform and </w:t>
            </w:r>
            <w:r>
              <w:t>Vertex RGB have no scalar bar. Existing Scenes/presets retain an explicit off setting. Atlas ROI ID legends are separate categorical keys.</w:t>
            </w:r>
          </w:p>
        </w:tc>
      </w:tr>
      <w:tr w:rsidR="00BC3589" w14:paraId="4A02ABDD" w14:textId="77777777">
        <w:trPr>
          <w:cantSplit/>
        </w:trPr>
        <w:tc>
          <w:tcPr>
            <w:tcW w:w="1800" w:type="dxa"/>
            <w:tcMar>
              <w:top w:w="65" w:type="dxa"/>
              <w:left w:w="95" w:type="dxa"/>
              <w:bottom w:w="65" w:type="dxa"/>
              <w:right w:w="95" w:type="dxa"/>
            </w:tcMar>
            <w:vAlign w:val="center"/>
          </w:tcPr>
          <w:p w14:paraId="110BC4EE" w14:textId="77777777" w:rsidR="00BC3589" w:rsidRDefault="0080647A">
            <w:pPr>
              <w:pStyle w:val="TableText"/>
            </w:pPr>
            <w:r>
              <w:rPr>
                <w:b/>
              </w:rPr>
              <w:lastRenderedPageBreak/>
              <w:t>Boundary</w:t>
            </w:r>
          </w:p>
        </w:tc>
        <w:tc>
          <w:tcPr>
            <w:tcW w:w="2952" w:type="dxa"/>
            <w:tcMar>
              <w:top w:w="65" w:type="dxa"/>
              <w:left w:w="95" w:type="dxa"/>
              <w:bottom w:w="65" w:type="dxa"/>
              <w:right w:w="95" w:type="dxa"/>
            </w:tcMar>
            <w:vAlign w:val="center"/>
          </w:tcPr>
          <w:p w14:paraId="0B8E9FF4" w14:textId="77777777" w:rsidR="00BC3589" w:rsidRDefault="0080647A">
            <w:pPr>
              <w:pStyle w:val="TableText"/>
            </w:pPr>
            <w:r>
              <w:t>None</w:t>
            </w:r>
          </w:p>
        </w:tc>
        <w:tc>
          <w:tcPr>
            <w:tcW w:w="4925" w:type="dxa"/>
            <w:tcMar>
              <w:top w:w="65" w:type="dxa"/>
              <w:left w:w="95" w:type="dxa"/>
              <w:bottom w:w="65" w:type="dxa"/>
              <w:right w:w="95" w:type="dxa"/>
            </w:tcMar>
            <w:vAlign w:val="center"/>
          </w:tcPr>
          <w:p w14:paraId="799AFDAC" w14:textId="77777777" w:rsidR="00BC3589" w:rsidRDefault="0080647A">
            <w:pPr>
              <w:pStyle w:val="TableText"/>
            </w:pPr>
            <w:r>
              <w:rPr>
                <w:b/>
              </w:rPr>
              <w:t>Automatic</w:t>
            </w:r>
            <w:r>
              <w:t xml:space="preserve"> draws class-transition lines; </w:t>
            </w:r>
            <w:r>
              <w:rPr>
                <w:b/>
              </w:rPr>
              <w:t>Threshold</w:t>
            </w:r>
            <w:r>
              <w:t xml:space="preserve"> marks vertices at a strict value threshold; </w:t>
            </w:r>
            <w:r>
              <w:rPr>
                <w:b/>
              </w:rPr>
              <w:t>Custom M</w:t>
            </w:r>
            <w:r>
              <w:rPr>
                <w:b/>
              </w:rPr>
              <w:t>ask</w:t>
            </w:r>
            <w:r>
              <w:t xml:space="preserve"> uses an original-order binary mask. Boundary operations need the relevant map except Custom Mask.</w:t>
            </w:r>
          </w:p>
        </w:tc>
      </w:tr>
      <w:tr w:rsidR="00BC3589" w14:paraId="1D2AA5A5" w14:textId="77777777">
        <w:trPr>
          <w:cantSplit/>
        </w:trPr>
        <w:tc>
          <w:tcPr>
            <w:tcW w:w="1800" w:type="dxa"/>
            <w:tcMar>
              <w:top w:w="65" w:type="dxa"/>
              <w:left w:w="95" w:type="dxa"/>
              <w:bottom w:w="65" w:type="dxa"/>
              <w:right w:w="95" w:type="dxa"/>
            </w:tcMar>
            <w:vAlign w:val="center"/>
          </w:tcPr>
          <w:p w14:paraId="63882B34" w14:textId="77777777" w:rsidR="00BC3589" w:rsidRDefault="0080647A">
            <w:pPr>
              <w:pStyle w:val="TableText"/>
            </w:pPr>
            <w:r>
              <w:rPr>
                <w:b/>
              </w:rPr>
              <w:t>Boundary Color</w:t>
            </w:r>
          </w:p>
        </w:tc>
        <w:tc>
          <w:tcPr>
            <w:tcW w:w="2952" w:type="dxa"/>
            <w:tcMar>
              <w:top w:w="65" w:type="dxa"/>
              <w:left w:w="95" w:type="dxa"/>
              <w:bottom w:w="65" w:type="dxa"/>
              <w:right w:w="95" w:type="dxa"/>
            </w:tcMar>
            <w:vAlign w:val="center"/>
          </w:tcPr>
          <w:p w14:paraId="79EE55A2" w14:textId="77777777" w:rsidR="00BC3589" w:rsidRDefault="0080647A">
            <w:pPr>
              <w:pStyle w:val="TableText"/>
            </w:pPr>
            <w:r>
              <w:t xml:space="preserve">black </w:t>
            </w:r>
            <w:r>
              <w:rPr>
                <w:rFonts w:ascii="Consolas" w:hAnsi="Consolas"/>
                <w:sz w:val="18"/>
              </w:rPr>
              <w:t>[0 0 0]</w:t>
            </w:r>
          </w:p>
        </w:tc>
        <w:tc>
          <w:tcPr>
            <w:tcW w:w="4925" w:type="dxa"/>
            <w:tcMar>
              <w:top w:w="65" w:type="dxa"/>
              <w:left w:w="95" w:type="dxa"/>
              <w:bottom w:w="65" w:type="dxa"/>
              <w:right w:w="95" w:type="dxa"/>
            </w:tcMar>
            <w:vAlign w:val="center"/>
          </w:tcPr>
          <w:p w14:paraId="47582FB2" w14:textId="77777777" w:rsidR="00BC3589" w:rsidRDefault="0080647A">
            <w:pPr>
              <w:pStyle w:val="TableText"/>
            </w:pPr>
            <w:r>
              <w:t>Active when a boundary mode is selected; changes display color only.</w:t>
            </w:r>
          </w:p>
        </w:tc>
      </w:tr>
      <w:tr w:rsidR="00BC3589" w14:paraId="4E46D1CA" w14:textId="77777777">
        <w:trPr>
          <w:cantSplit/>
        </w:trPr>
        <w:tc>
          <w:tcPr>
            <w:tcW w:w="1800" w:type="dxa"/>
            <w:tcMar>
              <w:top w:w="65" w:type="dxa"/>
              <w:left w:w="95" w:type="dxa"/>
              <w:bottom w:w="65" w:type="dxa"/>
              <w:right w:w="95" w:type="dxa"/>
            </w:tcMar>
            <w:vAlign w:val="center"/>
          </w:tcPr>
          <w:p w14:paraId="08216697" w14:textId="77777777" w:rsidR="00BC3589" w:rsidRDefault="0080647A">
            <w:pPr>
              <w:pStyle w:val="TableText"/>
            </w:pPr>
            <w:r>
              <w:rPr>
                <w:b/>
              </w:rPr>
              <w:t>Boundary Threshold</w:t>
            </w:r>
          </w:p>
        </w:tc>
        <w:tc>
          <w:tcPr>
            <w:tcW w:w="2952" w:type="dxa"/>
            <w:tcMar>
              <w:top w:w="65" w:type="dxa"/>
              <w:left w:w="95" w:type="dxa"/>
              <w:bottom w:w="65" w:type="dxa"/>
              <w:right w:w="95" w:type="dxa"/>
            </w:tcMar>
            <w:vAlign w:val="center"/>
          </w:tcPr>
          <w:p w14:paraId="04695273" w14:textId="77777777" w:rsidR="00BC3589" w:rsidRDefault="0080647A">
            <w:pPr>
              <w:pStyle w:val="TableText"/>
            </w:pPr>
            <w:r>
              <w:t>0</w:t>
            </w:r>
          </w:p>
        </w:tc>
        <w:tc>
          <w:tcPr>
            <w:tcW w:w="4925" w:type="dxa"/>
            <w:tcMar>
              <w:top w:w="65" w:type="dxa"/>
              <w:left w:w="95" w:type="dxa"/>
              <w:bottom w:w="65" w:type="dxa"/>
              <w:right w:w="95" w:type="dxa"/>
            </w:tcMar>
            <w:vAlign w:val="center"/>
          </w:tcPr>
          <w:p w14:paraId="578CC3F7" w14:textId="77777777" w:rsidR="00BC3589" w:rsidRDefault="0080647A">
            <w:pPr>
              <w:pStyle w:val="TableText"/>
            </w:pPr>
            <w:r>
              <w:t>Numeric field used only by Thresh</w:t>
            </w:r>
            <w:r>
              <w:t xml:space="preserve">old; its classification is </w:t>
            </w:r>
            <w:r>
              <w:rPr>
                <w:rFonts w:ascii="Consolas" w:hAnsi="Consolas"/>
                <w:sz w:val="18"/>
              </w:rPr>
              <w:t>value &gt; threshold</w:t>
            </w:r>
            <w:r>
              <w:t xml:space="preserve">, not </w:t>
            </w:r>
            <w:r>
              <w:rPr>
                <w:rFonts w:ascii="Consolas" w:hAnsi="Consolas"/>
                <w:sz w:val="18"/>
              </w:rPr>
              <w:t>&gt;=</w:t>
            </w:r>
            <w:r>
              <w:t>.</w:t>
            </w:r>
          </w:p>
        </w:tc>
      </w:tr>
      <w:tr w:rsidR="00BC3589" w14:paraId="1EFC91CE" w14:textId="77777777">
        <w:trPr>
          <w:cantSplit/>
        </w:trPr>
        <w:tc>
          <w:tcPr>
            <w:tcW w:w="1800" w:type="dxa"/>
            <w:tcMar>
              <w:top w:w="65" w:type="dxa"/>
              <w:left w:w="95" w:type="dxa"/>
              <w:bottom w:w="65" w:type="dxa"/>
              <w:right w:w="95" w:type="dxa"/>
            </w:tcMar>
            <w:vAlign w:val="center"/>
          </w:tcPr>
          <w:p w14:paraId="0DEB2447" w14:textId="77777777" w:rsidR="00BC3589" w:rsidRDefault="0080647A">
            <w:pPr>
              <w:pStyle w:val="TableText"/>
            </w:pPr>
            <w:r>
              <w:rPr>
                <w:b/>
              </w:rPr>
              <w:t>Load Mask... / Bind to Surface</w:t>
            </w:r>
          </w:p>
        </w:tc>
        <w:tc>
          <w:tcPr>
            <w:tcW w:w="2952" w:type="dxa"/>
            <w:tcMar>
              <w:top w:w="65" w:type="dxa"/>
              <w:left w:w="95" w:type="dxa"/>
              <w:bottom w:w="65" w:type="dxa"/>
              <w:right w:w="95" w:type="dxa"/>
            </w:tcMar>
            <w:vAlign w:val="center"/>
          </w:tcPr>
          <w:p w14:paraId="10DB6EDE" w14:textId="77777777" w:rsidR="00BC3589" w:rsidRDefault="0080647A">
            <w:pPr>
              <w:pStyle w:val="TableText"/>
            </w:pPr>
            <w:r>
              <w:t>no mask</w:t>
            </w:r>
          </w:p>
        </w:tc>
        <w:tc>
          <w:tcPr>
            <w:tcW w:w="4925" w:type="dxa"/>
            <w:tcMar>
              <w:top w:w="65" w:type="dxa"/>
              <w:left w:w="95" w:type="dxa"/>
              <w:bottom w:w="65" w:type="dxa"/>
              <w:right w:w="95" w:type="dxa"/>
            </w:tcMar>
            <w:vAlign w:val="center"/>
          </w:tcPr>
          <w:p w14:paraId="4D390188" w14:textId="77777777" w:rsidR="00BC3589" w:rsidRDefault="0080647A">
            <w:pPr>
              <w:pStyle w:val="TableText"/>
            </w:pPr>
            <w:r>
              <w:t>Available for Custom Mask. Import or bind a binary table only after verifying original vertex order; a matching count alone cannot prove anatomical correspondence</w:t>
            </w:r>
            <w:r>
              <w:t>. The status line reports binding state.</w:t>
            </w:r>
          </w:p>
        </w:tc>
      </w:tr>
      <w:tr w:rsidR="00BC3589" w14:paraId="6325998C" w14:textId="77777777">
        <w:trPr>
          <w:cantSplit/>
        </w:trPr>
        <w:tc>
          <w:tcPr>
            <w:tcW w:w="1800" w:type="dxa"/>
            <w:tcMar>
              <w:top w:w="65" w:type="dxa"/>
              <w:left w:w="95" w:type="dxa"/>
              <w:bottom w:w="65" w:type="dxa"/>
              <w:right w:w="95" w:type="dxa"/>
            </w:tcMar>
            <w:vAlign w:val="center"/>
          </w:tcPr>
          <w:p w14:paraId="5A7245AE" w14:textId="77777777" w:rsidR="00BC3589" w:rsidRDefault="0080647A">
            <w:pPr>
              <w:pStyle w:val="TableText"/>
            </w:pPr>
            <w:r>
              <w:rPr>
                <w:b/>
              </w:rPr>
              <w:t>Double Brain</w:t>
            </w:r>
          </w:p>
        </w:tc>
        <w:tc>
          <w:tcPr>
            <w:tcW w:w="2952" w:type="dxa"/>
            <w:tcMar>
              <w:top w:w="65" w:type="dxa"/>
              <w:left w:w="95" w:type="dxa"/>
              <w:bottom w:w="65" w:type="dxa"/>
              <w:right w:w="95" w:type="dxa"/>
            </w:tcMar>
            <w:vAlign w:val="center"/>
          </w:tcPr>
          <w:p w14:paraId="6CE806BD" w14:textId="77777777" w:rsidR="00BC3589" w:rsidRDefault="0080647A">
            <w:pPr>
              <w:pStyle w:val="TableText"/>
            </w:pPr>
            <w:r>
              <w:t>off</w:t>
            </w:r>
          </w:p>
        </w:tc>
        <w:tc>
          <w:tcPr>
            <w:tcW w:w="4925" w:type="dxa"/>
            <w:tcMar>
              <w:top w:w="65" w:type="dxa"/>
              <w:left w:w="95" w:type="dxa"/>
              <w:bottom w:w="65" w:type="dxa"/>
              <w:right w:w="95" w:type="dxa"/>
            </w:tcMar>
            <w:vAlign w:val="center"/>
          </w:tcPr>
          <w:p w14:paraId="1C577B65" w14:textId="77777777" w:rsidR="00BC3589" w:rsidRDefault="0080647A">
            <w:pPr>
              <w:pStyle w:val="TableText"/>
            </w:pPr>
            <w:r>
              <w:t xml:space="preserve">Displays a second copy of one surface in Single View, Left/Superior/Anterior only; optional node/edge data follow explicit row ordering. No surface-map/volume input. This is not arbitrary </w:t>
            </w:r>
            <w:r>
              <w:t>two-subject composition.</w:t>
            </w:r>
          </w:p>
        </w:tc>
      </w:tr>
      <w:tr w:rsidR="00BC3589" w14:paraId="784F282B" w14:textId="77777777">
        <w:trPr>
          <w:cantSplit/>
        </w:trPr>
        <w:tc>
          <w:tcPr>
            <w:tcW w:w="1800" w:type="dxa"/>
            <w:tcMar>
              <w:top w:w="65" w:type="dxa"/>
              <w:left w:w="95" w:type="dxa"/>
              <w:bottom w:w="65" w:type="dxa"/>
              <w:right w:w="95" w:type="dxa"/>
            </w:tcMar>
            <w:vAlign w:val="center"/>
          </w:tcPr>
          <w:p w14:paraId="3480711E" w14:textId="77777777" w:rsidR="00BC3589" w:rsidRDefault="0080647A">
            <w:pPr>
              <w:pStyle w:val="TableText"/>
            </w:pPr>
            <w:r>
              <w:rPr>
                <w:b/>
              </w:rPr>
              <w:t>Load RGB... / Bind RGB</w:t>
            </w:r>
          </w:p>
        </w:tc>
        <w:tc>
          <w:tcPr>
            <w:tcW w:w="2952" w:type="dxa"/>
            <w:tcMar>
              <w:top w:w="65" w:type="dxa"/>
              <w:left w:w="95" w:type="dxa"/>
              <w:bottom w:w="65" w:type="dxa"/>
              <w:right w:w="95" w:type="dxa"/>
            </w:tcMar>
            <w:vAlign w:val="center"/>
          </w:tcPr>
          <w:p w14:paraId="3E805CE5" w14:textId="77777777" w:rsidR="00BC3589" w:rsidRDefault="0080647A">
            <w:pPr>
              <w:pStyle w:val="TableText"/>
            </w:pPr>
            <w:r>
              <w:t>no RGB table</w:t>
            </w:r>
          </w:p>
        </w:tc>
        <w:tc>
          <w:tcPr>
            <w:tcW w:w="4925" w:type="dxa"/>
            <w:tcMar>
              <w:top w:w="65" w:type="dxa"/>
              <w:left w:w="95" w:type="dxa"/>
              <w:bottom w:w="65" w:type="dxa"/>
              <w:right w:w="95" w:type="dxa"/>
            </w:tcMar>
            <w:vAlign w:val="center"/>
          </w:tcPr>
          <w:p w14:paraId="5D78A497" w14:textId="77777777" w:rsidR="00BC3589" w:rsidRDefault="0080647A">
            <w:pPr>
              <w:pStyle w:val="TableText"/>
            </w:pPr>
            <w:r>
              <w:t>Text is N×3 finite RGB in [0,1] for one brain, or 2N×3 for Double Brain, in original surface vertex order. Binding is required; it does not independently verify initial correspondence. The statu</w:t>
            </w:r>
            <w:r>
              <w:t>s line reports binding state.</w:t>
            </w:r>
          </w:p>
        </w:tc>
      </w:tr>
    </w:tbl>
    <w:p w14:paraId="0FC4E85E" w14:textId="77777777" w:rsidR="00BC3589" w:rsidRDefault="0080647A">
      <w:pPr>
        <w:spacing w:after="0"/>
      </w:pPr>
      <w:r>
        <w:rPr>
          <w:sz w:val="6"/>
        </w:rPr>
        <w:t xml:space="preserve"> </w:t>
      </w:r>
    </w:p>
    <w:p w14:paraId="1013239C" w14:textId="77777777" w:rsidR="00BC3589" w:rsidRDefault="0080647A">
      <w:pPr>
        <w:pStyle w:val="Heading2"/>
      </w:pPr>
      <w:r>
        <w:t>Double Brain and boundary examples</w:t>
      </w:r>
    </w:p>
    <w:p w14:paraId="4949D9C2" w14:textId="77777777" w:rsidR="00BC3589" w:rsidRDefault="0080647A">
      <w:r>
        <w:t xml:space="preserve">Double Brain copies </w:t>
      </w:r>
      <w:r>
        <w:rPr>
          <w:b/>
        </w:rPr>
        <w:t>one</w:t>
      </w:r>
      <w:r>
        <w:t xml:space="preserve"> surface for a side-by-side network comparison. If a node file contains N rows, rows 1 through </w:t>
      </w:r>
      <w:r>
        <w:rPr>
          <w:rFonts w:ascii="Consolas" w:hAnsi="Consolas"/>
          <w:sz w:val="18"/>
        </w:rPr>
        <w:t>floor(N/2)</w:t>
      </w:r>
      <w:r>
        <w:t xml:space="preserve"> belong to the first display and the remaining rows to the second. For example, a 180-row file may place 90 matched regions in each copy. Its edge file</w:t>
      </w:r>
      <w:r>
        <w:t xml:space="preserve"> is then 180×180: the upper-left and lower-right 90×90 blocks describe within-copy connections, and the two off-diagonal blocks describe connections between copies. The program does not discover which rows correspond to the same regions or verify a longitu</w:t>
      </w:r>
      <w:r>
        <w:t>dinal, group or subject interpretation. Prepare and review the ordering before turning on Double Brain; an ordinary 90×90 edge matrix is not the paired network for a 180-row node file.</w:t>
      </w:r>
    </w:p>
    <w:p w14:paraId="3133C942" w14:textId="77777777" w:rsidR="00BC3589" w:rsidRDefault="0080647A">
      <w:r>
        <w:t xml:space="preserve">The boundary gallery compares Double Brain, categorical atlas outlines and continuous mapped color. A region outline is a display boundary, not a new ROI volume. Continuous colors require a scale and must not be interpreted as category IDs. Automatic, Threshold and Custom Mask boundaries follow the rules above. Recheck visibility when changing surface opacity, map range or export resolution.</w:t>
      </w:r>
      <w:r>
        <w:t xml:space="preserve"/>
      </w:r>
      <w:r>
        <w:t xml:space="preserve"/>
      </w:r>
    </w:p>
    <w:p w14:paraId="2ABCC464" w14:textId="77777777" w:rsidR="00BC3589" w:rsidRDefault="0080647A">
      <w:pPr>
        <w:keepNext/>
        <w:spacing w:before="180" w:after="60"/>
        <w:jc w:val="center"/>
      </w:pPr>
      <w:r>
        <w:rPr>
          <w:noProof/>
        </w:rPr>
        <w:drawing>
          <wp:inline distT="0" distB="0" distL="0" distR="0" wp14:anchorId="584D8BAE" wp14:editId="31F48022">
            <wp:extent cx="5989320" cy="15075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boundary-examples.png"/>
                    <pic:cNvPicPr/>
                  </pic:nvPicPr>
                  <pic:blipFill>
                    <a:blip r:embed="rId19"/>
                    <a:stretch>
                      <a:fillRect/>
                    </a:stretch>
                  </pic:blipFill>
                  <pic:spPr>
                    <a:xfrm>
                      <a:off x="0" y="0"/>
                      <a:ext cx="5989320" cy="1507516"/>
                    </a:xfrm>
                    <a:prstGeom prst="rect">
                      <a:avLst/>
                    </a:prstGeom>
                  </pic:spPr>
                </pic:pic>
              </a:graphicData>
            </a:graphic>
          </wp:inline>
        </w:drawing>
      </w:r>
    </w:p>
    <w:p w14:paraId="26C6FAE2" w14:textId="77777777" w:rsidR="00BC3589" w:rsidRDefault="0080647A">
      <w:pPr>
        <w:pStyle w:val="FigureCaption"/>
        <w:jc w:val="center"/>
      </w:pPr>
      <w:r>
        <w:t xml:space="preserve">Figure 10. Double Brain, atlas boundaries and continuous surface coloring. MATLAB illustration.</w:t>
      </w:r>
      <w:r>
        <w:t xml:space="preserve"/>
      </w:r>
    </w:p>
    <w:p w14:paraId="3A937FAD" w14:textId="77777777" w:rsidR="00BC3589" w:rsidRDefault="0080647A">
      <w:r>
        <w:rPr>
          <w:b/>
        </w:rPr>
        <w:lastRenderedPageBreak/>
        <w:t>Automatic</w:t>
      </w:r>
      <w:r>
        <w:t xml:space="preserve"> in the current panel is the modern line-style boundary option; an older Legacy Automatic setting can be read for compatibility but is not a separate current panel choice. Threshold and Custom Mask use vertex colors rather than geometric isolines. See boun</w:t>
      </w:r>
      <w:r>
        <w:t xml:space="preserve">dary algorithms and mask safety. </w:t>
      </w:r>
      <w:r>
        <w:rPr>
          <w:b/>
        </w:rPr>
        <w:t>Vertex RGB</w:t>
      </w:r>
      <w:r>
        <w:t xml:space="preserve"> preserves the original mesh while active and can cost more for large surfaces; it is not a scalar map or statistical threshold. See RGB format/binding and Double Brain ordering.</w:t>
      </w:r>
    </w:p>
    <w:p w14:paraId="4795E5F1" w14:textId="77777777" w:rsidR="00BC3589" w:rsidRDefault="0080647A">
      <w:r>
        <w:t xml:space="preserve">The </w:t>
      </w:r>
      <w:r>
        <w:rPr>
          <w:b/>
        </w:rPr>
        <w:t>Volume</w:t>
      </w:r>
      <w:r>
        <w:t xml:space="preserve"> section controls volume</w:t>
      </w:r>
      <w:r>
        <w:t xml:space="preserve"> mapping algorithm, sign/threshold handling and ROI drawing; these are separate from Surface's scalar palette and are described in Chapter 10. A visually plausible map is not evidence that the mesh and volume are registered. Confirm coordinate spaces before</w:t>
      </w:r>
      <w:r>
        <w:t xml:space="preserve"> anatomical interpretation.</w:t>
      </w:r>
    </w:p>
    <w:p w14:paraId="5CA31D13" w14:textId="77777777" w:rsidR="00BC3589" w:rsidRDefault="0080647A">
      <w:r>
        <w:t xml:space="preserve">For an AAL vertex-label exercise with Automatic boundaries and binary-mask export, see shared tutorial 05 in Appendix Shared tutorials. Atlas IDs are categories, not effect sizes. Follow the edition-specific mesh pairing and retain the resource credits.</w:t>
      </w:r>
      <w:r>
        <w:rPr>
          <w:b/>
        </w:rPr>
        <w:t xml:space="preserve"/>
      </w:r>
      <w:r>
        <w:t xml:space="preserve"/>
      </w:r>
      <w:r>
        <w:t xml:space="preserve"/>
      </w:r>
    </w:p>
    <w:p w14:paraId="30AE8D08" w14:textId="77777777" w:rsidR="00BC3589" w:rsidRDefault="0080647A">
      <w:pPr>
        <w:pStyle w:val="Heading2"/>
      </w:pPr>
      <w:r>
        <w:t>Inspect on the rendered canvas</w:t>
      </w:r>
      <w:r>
        <w:rPr>
          <w:rStyle w:val="CommentReference"/>
          <w:b w:val="0"/>
          <w:bCs w:val="0"/>
        </w:rPr>
      </w:r>
    </w:p>
    <w:p w14:paraId="33654659" w14:textId="77777777" w:rsidR="00BC3589" w:rsidRDefault="0080647A">
      <w:r>
        <w:t xml:space="preserve">MATLAB: Click Inspect, then pick a displayed surface vertex or node. The on-canvas label reports source index, available value/module, assumed-MNI XYZ, Brodmann Area and AAL region. Another pick replaces it; clicking Inspect again clears it. Edges, arrows, ROI meshes and fibers are not pick targets. Surface picks use the nearest displayed source vertex rather than interpolating the mouse-hit position.</w:t>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rPr>
          <w:b/>
        </w:rPr>
        <w:t xml:space="preserve"/>
      </w:r>
      <w:r>
        <w:t xml:space="preserve"/>
      </w:r>
      <w:r>
        <w:t xml:space="preserve"/>
      </w:r>
    </w:p>
    <w:p>
      <w:pPr>
        <w:pStyle w:val="Heading2"/>
        <w:keepNext/>
      </w:pPr>
      <w:r>
        <w:t xml:space="preserve">Python Inspect</w:t>
      </w:r>
    </w:p>
    <w:p>
      <w:pPr>
        <w:pStyle w:val="Normal"/>
      </w:pPr>
      <w:r>
        <w:t xml:space="preserve">Click Inspect and pick a displayed surface vertex. Python reports the source vertex/value, assumed-MNI XYZ and Brodmann Area/AAL region in a compact annotation above the canvas. Another pick replaces it; clicking Inspect again clears it. Python node, edge and ROI picking are not supplied by this surface Inspect route. Neither edition registers or affinely transforms inputs for this lookup.</w:t>
      </w:r>
    </w:p>
    <w:p w14:paraId="4F488106" w14:textId="77777777" w:rsidR="00BC3589" w:rsidRDefault="0080647A">
      <w:pPr>
        <w:keepNext/>
        <w:spacing w:before="180" w:after="60"/>
        <w:jc w:val="center"/>
      </w:pPr>
      <w:r>
        <w:rPr>
          <w:noProof/>
        </w:rPr>
        <w:lastRenderedPageBreak/>
        <w:drawing>
          <wp:inline distT="0" distB="0" distL="0" distR="0" wp14:anchorId="3375DF7A" wp14:editId="4C0B1EDD">
            <wp:extent cx="5989320" cy="37443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inspect-label-full-window.png"/>
                    <pic:cNvPicPr/>
                  </pic:nvPicPr>
                  <pic:blipFill>
                    <a:blip r:embed="rId25"/>
                    <a:stretch>
                      <a:fillRect/>
                    </a:stretch>
                  </pic:blipFill>
                  <pic:spPr>
                    <a:xfrm>
                      <a:off x="0" y="0"/>
                      <a:ext cx="5989320" cy="3744333"/>
                    </a:xfrm>
                    <a:prstGeom prst="rect">
                      <a:avLst/>
                    </a:prstGeom>
                  </pic:spPr>
                </pic:pic>
              </a:graphicData>
            </a:graphic>
          </wp:inline>
        </w:drawing>
      </w:r>
    </w:p>
    <w:p w14:paraId="2B8AA1F7" w14:textId="77777777" w:rsidR="00BC3589" w:rsidRDefault="0080647A">
      <w:pPr>
        <w:pStyle w:val="FigureCaption"/>
        <w:jc w:val="center"/>
      </w:pPr>
      <w:r>
        <w:t xml:space="preserve">Figure 11. An Inspect label on the rendered surface reports Brodmann and AAL regions. MATLAB illustration.</w:t>
      </w:r>
    </w:p>
    <w:p w14:paraId="007451F5" w14:textId="77777777" w:rsidR="00BC3589" w:rsidRDefault="0080647A">
      <w:r>
        <w:t xml:space="preserve">Inspect assumes coordinates are already in the relevant MNI space. It does not register data or apply transforms. Native-space, animal or unregistered inputs may give plausible but incorrect labels. Verify coordinates before anatomical interpretation; see Inspect limits.</w:t>
      </w:r>
      <w:r>
        <w:t xml:space="preserve"/>
      </w:r>
      <w:r>
        <w:rPr>
          <w:b/>
        </w:rPr>
        <w:t xml:space="preserve"/>
      </w:r>
      <w:r>
        <w:t xml:space="preserve"/>
      </w:r>
      <w:r>
        <w:t xml:space="preserve"/>
      </w:r>
    </w:p>
    <w:p w14:paraId="0978D396" w14:textId="77777777" w:rsidR="00BC3589" w:rsidRDefault="0080647A">
      <w:r>
        <w:t xml:space="preserve">The AAL vertex-map exercise demonstrates this lookup with the bundled AAL/Brodmann resources. A successful lookup does not prove spatial registration.</w:t>
      </w:r>
      <w:r>
        <w:rPr>
          <w:rFonts w:ascii="Consolas" w:hAnsi="Consolas"/>
          <w:sz w:val="18"/>
        </w:rPr>
        <w:t xml:space="preserve"/>
      </w:r>
      <w:r>
        <w:t xml:space="preserve"/>
      </w:r>
      <w:r>
        <w:t xml:space="preserve"/>
      </w:r>
      <w:r>
        <w:t xml:space="preserve"/>
      </w:r>
    </w:p>
    <w:p w14:paraId="789F4986" w14:textId="77777777" w:rsidR="00BC3589" w:rsidRDefault="0080647A">
      <w:pPr>
        <w:pStyle w:val="Heading1"/>
        <w:pageBreakBefore/>
      </w:pPr>
      <w:bookmarkStart w:id="8" w:name="bnv_chapter_8"/>
      <w:r>
        <w:lastRenderedPageBreak/>
        <w:t xml:space="preserve">8 Nodes</w:t>
      </w:r>
      <w:bookmarkEnd w:id="8"/>
    </w:p>
    <w:p w14:paraId="11D4A1E7" w14:textId="77777777" w:rsidR="00BC3589" w:rsidRDefault="0080647A">
      <w:r>
        <w:t xml:space="preserve">Use </w:t>
      </w:r>
      <w:r>
        <w:rPr>
          <w:b/>
        </w:rPr>
        <w:t>Visualization Settings → Nodes</w:t>
      </w:r>
      <w:r>
        <w:t xml:space="preserve"> to control marker visibility, labels, size and color. In a </w:t>
      </w:r>
      <w:r>
        <w:rPr>
          <w:rFonts w:ascii="Consolas" w:hAnsi="Consolas"/>
          <w:sz w:val="18"/>
        </w:rPr>
        <w:t>.node</w:t>
      </w:r>
      <w:r>
        <w:t xml:space="preserve"> row, c</w:t>
      </w:r>
      <w:r>
        <w:t xml:space="preserve">olumns 1–3 are XYZ coordinates, </w:t>
      </w:r>
      <w:r>
        <w:rPr>
          <w:b/>
        </w:rPr>
        <w:t>column 4 supplies module/color values</w:t>
      </w:r>
      <w:r>
        <w:t xml:space="preserve">, column 5 supplies node-size values, and column 6 is a label. Verify units and anatomical space rather than inferring them from the extension. The shared </w:t>
      </w:r>
      <w:r>
        <w:rPr>
          <w:b/>
        </w:rPr>
        <w:t>Apply</w:t>
      </w:r>
      <w:r>
        <w:t xml:space="preserve"> commits and renders; </w:t>
      </w:r>
      <w:r>
        <w:rPr>
          <w:b/>
        </w:rPr>
        <w:t>Rever</w:t>
      </w:r>
      <w:r>
        <w:rPr>
          <w:b/>
        </w:rPr>
        <w:t>t</w:t>
      </w:r>
      <w:r>
        <w:t xml:space="preserve"> discards pending edits.</w:t>
      </w:r>
    </w:p>
    <w:p w14:paraId="2553D716" w14:textId="77777777" w:rsidR="00BC3589" w:rsidRDefault="0080647A">
      <w:pPr>
        <w:keepNext/>
        <w:spacing w:before="180" w:after="60"/>
        <w:jc w:val="center"/>
      </w:pPr>
      <w:r>
        <w:rPr>
          <w:noProof/>
        </w:rPr>
        <w:drawing>
          <wp:inline distT="0" distB="0" distL="0" distR="0" wp14:anchorId="0BE45DBD" wp14:editId="52ECD6C7">
            <wp:extent cx="5989320" cy="3833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odes-all-full-window.png"/>
                    <pic:cNvPicPr/>
                  </pic:nvPicPr>
                  <pic:blipFill>
                    <a:blip r:embed="rId20"/>
                    <a:stretch>
                      <a:fillRect/>
                    </a:stretch>
                  </pic:blipFill>
                  <pic:spPr>
                    <a:xfrm>
                      <a:off x="0" y="0"/>
                      <a:ext cx="5989320" cy="3833165"/>
                    </a:xfrm>
                    <a:prstGeom prst="rect">
                      <a:avLst/>
                    </a:prstGeom>
                  </pic:spPr>
                </pic:pic>
              </a:graphicData>
            </a:graphic>
          </wp:inline>
        </w:drawing>
      </w:r>
      <w:r>
        <w:rPr>
          <w:rStyle w:val="CommentReference"/>
        </w:rPr>
      </w:r>
    </w:p>
    <w:p w14:paraId="1C6F3B5D" w14:textId="77777777" w:rsidR="00BC3589" w:rsidRDefault="0080647A">
      <w:pPr>
        <w:pStyle w:val="FigureCaption"/>
        <w:jc w:val="center"/>
      </w:pPr>
      <w:r>
        <w:t xml:space="preserve">Figure 12. The bundled AAL90 nodes on ICBM152 in four views; colors use node column 4 and mapped sizes use column 5. MATLAB illustration.</w:t>
      </w:r>
    </w:p>
    <w:p w14:paraId="7245267D" w14:textId="77777777" w:rsidR="00BC3589" w:rsidRDefault="0080647A">
      <w:pPr>
        <w:pStyle w:val="Heading2"/>
      </w:pPr>
      <w:r>
        <w:t>Visibility and labels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4945206" w14:textId="77777777">
        <w:trPr>
          <w:tblHeader/>
        </w:trPr>
        <w:tc>
          <w:tcPr>
            <w:tcW w:w="1800" w:type="dxa"/>
            <w:shd w:val="clear" w:color="auto" w:fill="E8EDF3"/>
            <w:tcMar>
              <w:top w:w="65" w:type="dxa"/>
              <w:left w:w="95" w:type="dxa"/>
              <w:bottom w:w="65" w:type="dxa"/>
              <w:right w:w="95" w:type="dxa"/>
            </w:tcMar>
            <w:vAlign w:val="center"/>
          </w:tcPr>
          <w:p w14:paraId="61E28318"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49CC08F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8085A8" w14:textId="77777777" w:rsidR="00BC3589" w:rsidRDefault="0080647A">
            <w:pPr>
              <w:pStyle w:val="TableText"/>
            </w:pPr>
            <w:r>
              <w:rPr>
                <w:b/>
              </w:rPr>
              <w:t>Current rule</w:t>
            </w:r>
          </w:p>
        </w:tc>
      </w:tr>
      <w:tr w:rsidR="00BC3589" w14:paraId="3B2925FA" w14:textId="77777777">
        <w:trPr>
          <w:cantSplit/>
        </w:trPr>
        <w:tc>
          <w:tcPr>
            <w:tcW w:w="1800" w:type="dxa"/>
            <w:tcMar>
              <w:top w:w="65" w:type="dxa"/>
              <w:left w:w="95" w:type="dxa"/>
              <w:bottom w:w="65" w:type="dxa"/>
              <w:right w:w="95" w:type="dxa"/>
            </w:tcMar>
            <w:vAlign w:val="center"/>
          </w:tcPr>
          <w:p w14:paraId="291BA1C6"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419EA7E" w14:textId="77777777" w:rsidR="00BC3589" w:rsidRDefault="0080647A">
            <w:pPr>
              <w:pStyle w:val="TableText"/>
            </w:pPr>
            <w:r>
              <w:t>All Nodes</w:t>
            </w:r>
          </w:p>
        </w:tc>
        <w:tc>
          <w:tcPr>
            <w:tcW w:w="4925" w:type="dxa"/>
            <w:tcMar>
              <w:top w:w="65" w:type="dxa"/>
              <w:left w:w="95" w:type="dxa"/>
              <w:bottom w:w="65" w:type="dxa"/>
              <w:right w:w="95" w:type="dxa"/>
            </w:tcMar>
            <w:vAlign w:val="center"/>
          </w:tcPr>
          <w:p w14:paraId="1145BB25" w14:textId="77777777" w:rsidR="00BC3589" w:rsidRDefault="0080647A">
            <w:pPr>
              <w:pStyle w:val="TableText"/>
            </w:pPr>
            <w:r>
              <w:t xml:space="preserve">Threshold keeps nodes with original </w:t>
            </w:r>
            <w:r>
              <w:rPr>
                <w:b/>
              </w:rPr>
              <w:t>Selection Basis &gt; Threshold</w:t>
            </w:r>
            <w:r>
              <w:t>; equality is excluded. Connected Nodes keeps either endpoint of an edge retained after edge filtering; no selected edges means no Connected nodes.</w:t>
            </w:r>
          </w:p>
        </w:tc>
      </w:tr>
      <w:tr w:rsidR="00BC3589" w14:paraId="7AB32B70" w14:textId="77777777">
        <w:trPr>
          <w:cantSplit/>
        </w:trPr>
        <w:tc>
          <w:tcPr>
            <w:tcW w:w="1800" w:type="dxa"/>
            <w:tcMar>
              <w:top w:w="65" w:type="dxa"/>
              <w:left w:w="95" w:type="dxa"/>
              <w:bottom w:w="65" w:type="dxa"/>
              <w:right w:w="95" w:type="dxa"/>
            </w:tcMar>
            <w:vAlign w:val="center"/>
          </w:tcPr>
          <w:p w14:paraId="34A2AFC1" w14:textId="77777777" w:rsidR="00BC3589" w:rsidRDefault="0080647A">
            <w:pPr>
              <w:pStyle w:val="TableText"/>
            </w:pPr>
            <w:r>
              <w:rPr>
                <w:b/>
              </w:rPr>
              <w:t>Selection Basis / Threshold</w:t>
            </w:r>
          </w:p>
        </w:tc>
        <w:tc>
          <w:tcPr>
            <w:tcW w:w="2952" w:type="dxa"/>
            <w:tcMar>
              <w:top w:w="65" w:type="dxa"/>
              <w:left w:w="95" w:type="dxa"/>
              <w:bottom w:w="65" w:type="dxa"/>
              <w:right w:w="95" w:type="dxa"/>
            </w:tcMar>
            <w:vAlign w:val="center"/>
          </w:tcPr>
          <w:p w14:paraId="603D40F9"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28F283B3" w14:textId="77777777" w:rsidR="00BC3589" w:rsidRDefault="0080647A">
            <w:pPr>
              <w:pStyle w:val="TableText"/>
            </w:pPr>
            <w:r>
              <w:t>E</w:t>
            </w:r>
            <w:r>
              <w:t xml:space="preserve">nabled for Threshold. Node Value reads column 5; Module reads column 4. Module still uses a numeric </w:t>
            </w:r>
            <w:r>
              <w:rPr>
                <w:rFonts w:ascii="Consolas" w:hAnsi="Consolas"/>
                <w:sz w:val="18"/>
              </w:rPr>
              <w:t>&gt;</w:t>
            </w:r>
            <w:r>
              <w:t xml:space="preserve"> comparison, not equality to a chosen ID. Mapped radii and Scale do not affect this test.</w:t>
            </w:r>
          </w:p>
        </w:tc>
      </w:tr>
      <w:tr w:rsidR="00BC3589" w14:paraId="36EAC6A6" w14:textId="77777777">
        <w:trPr>
          <w:cantSplit/>
        </w:trPr>
        <w:tc>
          <w:tcPr>
            <w:tcW w:w="1800" w:type="dxa"/>
            <w:tcMar>
              <w:top w:w="65" w:type="dxa"/>
              <w:left w:w="95" w:type="dxa"/>
              <w:bottom w:w="65" w:type="dxa"/>
              <w:right w:w="95" w:type="dxa"/>
            </w:tcMar>
            <w:vAlign w:val="center"/>
          </w:tcPr>
          <w:p w14:paraId="4696577B" w14:textId="77777777" w:rsidR="00BC3589" w:rsidRDefault="0080647A">
            <w:pPr>
              <w:pStyle w:val="TableText"/>
            </w:pPr>
            <w:r>
              <w:rPr>
                <w:b/>
              </w:rPr>
              <w:t>Label Mode</w:t>
            </w:r>
          </w:p>
        </w:tc>
        <w:tc>
          <w:tcPr>
            <w:tcW w:w="2952" w:type="dxa"/>
            <w:tcMar>
              <w:top w:w="65" w:type="dxa"/>
              <w:left w:w="95" w:type="dxa"/>
              <w:bottom w:w="65" w:type="dxa"/>
              <w:right w:w="95" w:type="dxa"/>
            </w:tcMar>
            <w:vAlign w:val="center"/>
          </w:tcPr>
          <w:p w14:paraId="10A6E3D3" w14:textId="77777777" w:rsidR="00BC3589" w:rsidRDefault="0080647A">
            <w:pPr>
              <w:pStyle w:val="TableText"/>
            </w:pPr>
            <w:r>
              <w:t>No Labels</w:t>
            </w:r>
          </w:p>
        </w:tc>
        <w:tc>
          <w:tcPr>
            <w:tcW w:w="4925" w:type="dxa"/>
            <w:tcMar>
              <w:top w:w="65" w:type="dxa"/>
              <w:left w:w="95" w:type="dxa"/>
              <w:bottom w:w="65" w:type="dxa"/>
              <w:right w:w="95" w:type="dxa"/>
            </w:tcMar>
            <w:vAlign w:val="center"/>
          </w:tcPr>
          <w:p w14:paraId="6D7EDCD5" w14:textId="77777777" w:rsidR="00BC3589" w:rsidRDefault="0080647A">
            <w:pPr>
              <w:pStyle w:val="TableText"/>
            </w:pPr>
            <w:r>
              <w:t>All Labels, No Labels, or Threshold. Labels</w:t>
            </w:r>
            <w:r>
              <w:t xml:space="preserve"> appear only on visible nodes with nonzero rendered radius; a label exactly </w:t>
            </w:r>
            <w:r>
              <w:rPr>
                <w:rFonts w:ascii="Consolas" w:hAnsi="Consolas"/>
                <w:sz w:val="18"/>
              </w:rPr>
              <w:t>-</w:t>
            </w:r>
            <w:r>
              <w:t xml:space="preserve"> is suppressed, but a hyphenated name remains valid.</w:t>
            </w:r>
          </w:p>
        </w:tc>
      </w:tr>
      <w:tr w:rsidR="00BC3589" w14:paraId="51397127" w14:textId="77777777">
        <w:trPr>
          <w:cantSplit/>
        </w:trPr>
        <w:tc>
          <w:tcPr>
            <w:tcW w:w="1800" w:type="dxa"/>
            <w:tcMar>
              <w:top w:w="65" w:type="dxa"/>
              <w:left w:w="95" w:type="dxa"/>
              <w:bottom w:w="65" w:type="dxa"/>
              <w:right w:w="95" w:type="dxa"/>
            </w:tcMar>
            <w:vAlign w:val="center"/>
          </w:tcPr>
          <w:p w14:paraId="67D39E1A" w14:textId="77777777" w:rsidR="00BC3589" w:rsidRDefault="0080647A">
            <w:pPr>
              <w:pStyle w:val="TableText"/>
            </w:pPr>
            <w:r>
              <w:rPr>
                <w:b/>
              </w:rPr>
              <w:t>Label Basis / Label Threshold</w:t>
            </w:r>
          </w:p>
        </w:tc>
        <w:tc>
          <w:tcPr>
            <w:tcW w:w="2952" w:type="dxa"/>
            <w:tcMar>
              <w:top w:w="65" w:type="dxa"/>
              <w:left w:w="95" w:type="dxa"/>
              <w:bottom w:w="65" w:type="dxa"/>
              <w:right w:w="95" w:type="dxa"/>
            </w:tcMar>
            <w:vAlign w:val="center"/>
          </w:tcPr>
          <w:p w14:paraId="3C653672"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11E67594" w14:textId="77777777" w:rsidR="00BC3589" w:rsidRDefault="0080647A">
            <w:pPr>
              <w:pStyle w:val="TableText"/>
            </w:pPr>
            <w:r>
              <w:t xml:space="preserve">Enabled for Threshold labels. Uses the original column 5 or 4 value with strict </w:t>
            </w:r>
            <w:r>
              <w:rPr>
                <w:rFonts w:ascii="Consolas" w:hAnsi="Consolas"/>
                <w:sz w:val="18"/>
              </w:rPr>
              <w:t>&gt;</w:t>
            </w:r>
            <w:r>
              <w:t>; independent of node-selection threshold.</w:t>
            </w:r>
          </w:p>
        </w:tc>
      </w:tr>
      <w:tr w:rsidR="00BC3589" w14:paraId="647BDFBE" w14:textId="77777777">
        <w:trPr>
          <w:cantSplit/>
        </w:trPr>
        <w:tc>
          <w:tcPr>
            <w:tcW w:w="1800" w:type="dxa"/>
            <w:tcMar>
              <w:top w:w="65" w:type="dxa"/>
              <w:left w:w="95" w:type="dxa"/>
              <w:bottom w:w="65" w:type="dxa"/>
              <w:right w:w="95" w:type="dxa"/>
            </w:tcMar>
            <w:vAlign w:val="center"/>
          </w:tcPr>
          <w:p w14:paraId="23B6BC76" w14:textId="77777777" w:rsidR="00BC3589" w:rsidRDefault="0080647A">
            <w:pPr>
              <w:pStyle w:val="TableText"/>
            </w:pPr>
            <w:r>
              <w:rPr>
                <w:b/>
              </w:rPr>
              <w:t>Font / Font Size</w:t>
            </w:r>
          </w:p>
        </w:tc>
        <w:tc>
          <w:tcPr>
            <w:tcW w:w="2952" w:type="dxa"/>
            <w:tcMar>
              <w:top w:w="65" w:type="dxa"/>
              <w:left w:w="95" w:type="dxa"/>
              <w:bottom w:w="65" w:type="dxa"/>
              <w:right w:w="95" w:type="dxa"/>
            </w:tcMar>
            <w:vAlign w:val="center"/>
          </w:tcPr>
          <w:p w14:paraId="3468C5CC" w14:textId="77777777" w:rsidR="00BC3589" w:rsidRDefault="0080647A">
            <w:pPr>
              <w:pStyle w:val="TableText"/>
            </w:pPr>
            <w:r>
              <w:t>Arial / 10</w:t>
            </w:r>
          </w:p>
        </w:tc>
        <w:tc>
          <w:tcPr>
            <w:tcW w:w="4925" w:type="dxa"/>
            <w:tcMar>
              <w:top w:w="65" w:type="dxa"/>
              <w:left w:w="95" w:type="dxa"/>
              <w:bottom w:w="65" w:type="dxa"/>
              <w:right w:w="95" w:type="dxa"/>
            </w:tcMar>
            <w:vAlign w:val="center"/>
          </w:tcPr>
          <w:p w14:paraId="3278EF2A" w14:textId="77777777" w:rsidR="00BC3589" w:rsidRDefault="0080647A">
            <w:pPr>
              <w:pStyle w:val="TableText"/>
            </w:pPr>
            <w:r>
              <w:t>Font name and a positive numeric size (editor limit &gt;0 to 100). Font Units defaults to Points; other offered units are Pixels, Normalized, Inches and Centimeters.</w:t>
            </w:r>
          </w:p>
        </w:tc>
      </w:tr>
      <w:tr w:rsidR="00BC3589" w14:paraId="07CA7F30" w14:textId="77777777">
        <w:trPr>
          <w:cantSplit/>
        </w:trPr>
        <w:tc>
          <w:tcPr>
            <w:tcW w:w="1800" w:type="dxa"/>
            <w:tcMar>
              <w:top w:w="65" w:type="dxa"/>
              <w:left w:w="95" w:type="dxa"/>
              <w:bottom w:w="65" w:type="dxa"/>
              <w:right w:w="95" w:type="dxa"/>
            </w:tcMar>
            <w:vAlign w:val="center"/>
          </w:tcPr>
          <w:p w14:paraId="7F4372C8" w14:textId="77777777" w:rsidR="00BC3589" w:rsidRDefault="0080647A">
            <w:pPr>
              <w:pStyle w:val="TableText"/>
            </w:pPr>
            <w:r>
              <w:rPr>
                <w:b/>
              </w:rPr>
              <w:lastRenderedPageBreak/>
              <w:t xml:space="preserve">Font Style / </w:t>
            </w:r>
            <w:r>
              <w:rPr>
                <w:b/>
              </w:rPr>
              <w:t>Label Color / Keep Labels in Front</w:t>
            </w:r>
          </w:p>
        </w:tc>
        <w:tc>
          <w:tcPr>
            <w:tcW w:w="2952" w:type="dxa"/>
            <w:tcMar>
              <w:top w:w="65" w:type="dxa"/>
              <w:left w:w="95" w:type="dxa"/>
              <w:bottom w:w="65" w:type="dxa"/>
              <w:right w:w="95" w:type="dxa"/>
            </w:tcMar>
            <w:vAlign w:val="center"/>
          </w:tcPr>
          <w:p w14:paraId="59975F09" w14:textId="77777777" w:rsidR="00BC3589" w:rsidRDefault="0080647A">
            <w:pPr>
              <w:pStyle w:val="TableText"/>
            </w:pPr>
            <w:r>
              <w:t>Normal + Normal / black / off</w:t>
            </w:r>
          </w:p>
        </w:tc>
        <w:tc>
          <w:tcPr>
            <w:tcW w:w="4925" w:type="dxa"/>
            <w:tcMar>
              <w:top w:w="65" w:type="dxa"/>
              <w:left w:w="95" w:type="dxa"/>
              <w:bottom w:w="65" w:type="dxa"/>
              <w:right w:w="95" w:type="dxa"/>
            </w:tcMar>
            <w:vAlign w:val="center"/>
          </w:tcPr>
          <w:p w14:paraId="1F25CA31" w14:textId="77777777" w:rsidR="00BC3589" w:rsidRDefault="0080647A">
            <w:pPr>
              <w:pStyle w:val="TableText"/>
            </w:pPr>
            <w:r>
              <w:t>Weight is Normal or Bold; angle Normal or Italic. The front option changes display order, not data coordinates; it cannot guarantee collision-free dense labels.</w:t>
            </w:r>
          </w:p>
        </w:tc>
      </w:tr>
    </w:tbl>
    <w:p w14:paraId="7E7E0F8D" w14:textId="77777777" w:rsidR="00BC3589" w:rsidRDefault="0080647A">
      <w:pPr>
        <w:spacing w:after="0"/>
      </w:pPr>
      <w:r>
        <w:rPr>
          <w:sz w:val="6"/>
        </w:rPr>
        <w:t xml:space="preserve"> </w:t>
      </w:r>
    </w:p>
    <w:p w14:paraId="4527A07D" w14:textId="77777777" w:rsidR="00BC3589" w:rsidRDefault="0080647A">
      <w:pPr>
        <w:pStyle w:val="Heading2"/>
      </w:pPr>
      <w:r>
        <w:t>Node size</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9A3C919" w14:textId="77777777">
        <w:trPr>
          <w:tblHeader/>
        </w:trPr>
        <w:tc>
          <w:tcPr>
            <w:tcW w:w="1800" w:type="dxa"/>
            <w:shd w:val="clear" w:color="auto" w:fill="E8EDF3"/>
            <w:tcMar>
              <w:top w:w="65" w:type="dxa"/>
              <w:left w:w="95" w:type="dxa"/>
              <w:bottom w:w="65" w:type="dxa"/>
              <w:right w:w="95" w:type="dxa"/>
            </w:tcMar>
            <w:vAlign w:val="center"/>
          </w:tcPr>
          <w:p w14:paraId="1C44B673"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31827D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0BDBA60" w14:textId="77777777" w:rsidR="00BC3589" w:rsidRDefault="0080647A">
            <w:pPr>
              <w:pStyle w:val="TableText"/>
            </w:pPr>
            <w:r>
              <w:rPr>
                <w:b/>
              </w:rPr>
              <w:t>Current rule</w:t>
            </w:r>
          </w:p>
        </w:tc>
      </w:tr>
      <w:tr w:rsidR="00BC3589" w14:paraId="707C9A7F" w14:textId="77777777">
        <w:trPr>
          <w:cantSplit/>
        </w:trPr>
        <w:tc>
          <w:tcPr>
            <w:tcW w:w="1800" w:type="dxa"/>
            <w:tcMar>
              <w:top w:w="65" w:type="dxa"/>
              <w:left w:w="95" w:type="dxa"/>
              <w:bottom w:w="65" w:type="dxa"/>
              <w:right w:w="95" w:type="dxa"/>
            </w:tcMar>
            <w:vAlign w:val="center"/>
          </w:tcPr>
          <w:p w14:paraId="0B667DDB"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75F6EFC1" w14:textId="77777777" w:rsidR="00BC3589" w:rsidRDefault="0080647A">
            <w:pPr>
              <w:pStyle w:val="TableText"/>
            </w:pPr>
            <w:r>
              <w:t>Mapped</w:t>
            </w:r>
          </w:p>
        </w:tc>
        <w:tc>
          <w:tcPr>
            <w:tcW w:w="4925" w:type="dxa"/>
            <w:tcMar>
              <w:top w:w="65" w:type="dxa"/>
              <w:left w:w="95" w:type="dxa"/>
              <w:bottom w:w="65" w:type="dxa"/>
              <w:right w:w="95" w:type="dxa"/>
            </w:tcMar>
            <w:vAlign w:val="center"/>
          </w:tcPr>
          <w:p w14:paraId="1D58BDF8" w14:textId="77777777" w:rsidR="00BC3589" w:rsidRDefault="0080647A">
            <w:pPr>
              <w:pStyle w:val="TableText"/>
            </w:pPr>
            <w:r>
              <w:t xml:space="preserve">Uniform uses Base Size; Mapped normalizes source values to radii; Raw uses unnormalized source values; Threshold uses either Mapped or Raw radius rules then replaces radii </w:t>
            </w:r>
            <w:r>
              <w:rPr>
                <w:b/>
              </w:rPr>
              <w:t>strictly below</w:t>
            </w:r>
            <w:r>
              <w:t xml:space="preserve"> Size Threshold with 1. Equality remains.</w:t>
            </w:r>
          </w:p>
        </w:tc>
      </w:tr>
      <w:tr w:rsidR="00BC3589" w14:paraId="3E8591FE" w14:textId="77777777">
        <w:trPr>
          <w:cantSplit/>
        </w:trPr>
        <w:tc>
          <w:tcPr>
            <w:tcW w:w="1800" w:type="dxa"/>
            <w:tcMar>
              <w:top w:w="65" w:type="dxa"/>
              <w:left w:w="95" w:type="dxa"/>
              <w:bottom w:w="65" w:type="dxa"/>
              <w:right w:w="95" w:type="dxa"/>
            </w:tcMar>
            <w:vAlign w:val="center"/>
          </w:tcPr>
          <w:p w14:paraId="773FFE4F" w14:textId="77777777" w:rsidR="00BC3589" w:rsidRDefault="0080647A">
            <w:pPr>
              <w:pStyle w:val="TableText"/>
            </w:pPr>
            <w:r>
              <w:rPr>
                <w:b/>
              </w:rPr>
              <w:t>Size Source</w:t>
            </w:r>
          </w:p>
        </w:tc>
        <w:tc>
          <w:tcPr>
            <w:tcW w:w="2952" w:type="dxa"/>
            <w:tcMar>
              <w:top w:w="65" w:type="dxa"/>
              <w:left w:w="95" w:type="dxa"/>
              <w:bottom w:w="65" w:type="dxa"/>
              <w:right w:w="95" w:type="dxa"/>
            </w:tcMar>
            <w:vAlign w:val="center"/>
          </w:tcPr>
          <w:p w14:paraId="6D0C066C" w14:textId="77777777" w:rsidR="00BC3589" w:rsidRDefault="0080647A">
            <w:pPr>
              <w:pStyle w:val="TableText"/>
            </w:pPr>
            <w:r>
              <w:t>Node Value</w:t>
            </w:r>
          </w:p>
        </w:tc>
        <w:tc>
          <w:tcPr>
            <w:tcW w:w="4925" w:type="dxa"/>
            <w:tcMar>
              <w:top w:w="65" w:type="dxa"/>
              <w:left w:w="95" w:type="dxa"/>
              <w:bottom w:w="65" w:type="dxa"/>
              <w:right w:w="95" w:type="dxa"/>
            </w:tcMar>
            <w:vAlign w:val="center"/>
          </w:tcPr>
          <w:p w14:paraId="015F4277" w14:textId="77777777" w:rsidR="00BC3589" w:rsidRDefault="0080647A">
            <w:pPr>
              <w:pStyle w:val="TableText"/>
            </w:pPr>
            <w:r>
              <w:t>Column 5 by default, or Module/column 4 as a modern extension. Inactive in Uniform. This choice does not alter color mode.</w:t>
            </w:r>
          </w:p>
        </w:tc>
      </w:tr>
      <w:tr w:rsidR="00BC3589" w14:paraId="3C4BC017" w14:textId="77777777">
        <w:trPr>
          <w:cantSplit/>
        </w:trPr>
        <w:tc>
          <w:tcPr>
            <w:tcW w:w="1800" w:type="dxa"/>
            <w:tcMar>
              <w:top w:w="65" w:type="dxa"/>
              <w:left w:w="95" w:type="dxa"/>
              <w:bottom w:w="65" w:type="dxa"/>
              <w:right w:w="95" w:type="dxa"/>
            </w:tcMar>
            <w:vAlign w:val="center"/>
          </w:tcPr>
          <w:p w14:paraId="253E910C" w14:textId="77777777" w:rsidR="00BC3589" w:rsidRDefault="0080647A">
            <w:pPr>
              <w:pStyle w:val="TableText"/>
            </w:pPr>
            <w:r>
              <w:rPr>
                <w:b/>
              </w:rPr>
              <w:t>Base Size / Scale</w:t>
            </w:r>
          </w:p>
        </w:tc>
        <w:tc>
          <w:tcPr>
            <w:tcW w:w="2952" w:type="dxa"/>
            <w:tcMar>
              <w:top w:w="65" w:type="dxa"/>
              <w:left w:w="95" w:type="dxa"/>
              <w:bottom w:w="65" w:type="dxa"/>
              <w:right w:w="95" w:type="dxa"/>
            </w:tcMar>
            <w:vAlign w:val="center"/>
          </w:tcPr>
          <w:p w14:paraId="6C4F3B25" w14:textId="77777777" w:rsidR="00BC3589" w:rsidRDefault="0080647A">
            <w:pPr>
              <w:pStyle w:val="TableText"/>
            </w:pPr>
            <w:r>
              <w:t>3 / 1</w:t>
            </w:r>
          </w:p>
        </w:tc>
        <w:tc>
          <w:tcPr>
            <w:tcW w:w="4925" w:type="dxa"/>
            <w:tcMar>
              <w:top w:w="65" w:type="dxa"/>
              <w:left w:w="95" w:type="dxa"/>
              <w:bottom w:w="65" w:type="dxa"/>
              <w:right w:w="95" w:type="dxa"/>
            </w:tcMar>
            <w:vAlign w:val="center"/>
          </w:tcPr>
          <w:p w14:paraId="369CE6B7" w14:textId="77777777" w:rsidR="00BC3589" w:rsidRDefault="0080647A">
            <w:pPr>
              <w:pStyle w:val="TableText"/>
            </w:pPr>
            <w:r>
              <w:t>Base Size matters in Uniform; positive Scale multiplies the resulting radius exactly once in all modes. Radi</w:t>
            </w:r>
            <w:r>
              <w:t>us is in input-coordinate units, not screen pixels.</w:t>
            </w:r>
          </w:p>
        </w:tc>
      </w:tr>
      <w:tr w:rsidR="00BC3589" w14:paraId="42467E04" w14:textId="77777777">
        <w:trPr>
          <w:cantSplit/>
        </w:trPr>
        <w:tc>
          <w:tcPr>
            <w:tcW w:w="1800" w:type="dxa"/>
            <w:tcMar>
              <w:top w:w="65" w:type="dxa"/>
              <w:left w:w="95" w:type="dxa"/>
              <w:bottom w:w="65" w:type="dxa"/>
              <w:right w:w="95" w:type="dxa"/>
            </w:tcMar>
            <w:vAlign w:val="center"/>
          </w:tcPr>
          <w:p w14:paraId="41150261" w14:textId="77777777" w:rsidR="00BC3589" w:rsidRDefault="0080647A">
            <w:pPr>
              <w:pStyle w:val="TableText"/>
            </w:pPr>
            <w:r>
              <w:rPr>
                <w:b/>
              </w:rPr>
              <w:t>Size Threshold: Mapped/Raw, value</w:t>
            </w:r>
          </w:p>
        </w:tc>
        <w:tc>
          <w:tcPr>
            <w:tcW w:w="2952" w:type="dxa"/>
            <w:tcMar>
              <w:top w:w="65" w:type="dxa"/>
              <w:left w:w="95" w:type="dxa"/>
              <w:bottom w:w="65" w:type="dxa"/>
              <w:right w:w="95" w:type="dxa"/>
            </w:tcMar>
            <w:vAlign w:val="center"/>
          </w:tcPr>
          <w:p w14:paraId="5E091CC7" w14:textId="77777777" w:rsidR="00BC3589" w:rsidRDefault="0080647A">
            <w:pPr>
              <w:pStyle w:val="TableText"/>
            </w:pPr>
            <w:r>
              <w:t>Mapped / 0</w:t>
            </w:r>
          </w:p>
        </w:tc>
        <w:tc>
          <w:tcPr>
            <w:tcW w:w="4925" w:type="dxa"/>
            <w:tcMar>
              <w:top w:w="65" w:type="dxa"/>
              <w:left w:w="95" w:type="dxa"/>
              <w:bottom w:w="65" w:type="dxa"/>
              <w:right w:w="95" w:type="dxa"/>
            </w:tcMar>
            <w:vAlign w:val="center"/>
          </w:tcPr>
          <w:p w14:paraId="1EA1DA75" w14:textId="77777777" w:rsidR="00BC3589" w:rsidRDefault="0080647A">
            <w:pPr>
              <w:pStyle w:val="TableText"/>
            </w:pPr>
            <w:r>
              <w:t>Enabled only for Threshold. Comparison occurs before Scale; a below-threshold radius becomes 1 before scaling. This threshold changes size, not visibility.</w:t>
            </w:r>
          </w:p>
        </w:tc>
      </w:tr>
    </w:tbl>
    <w:p w14:paraId="255D2C2F" w14:textId="77777777" w:rsidR="00BC3589" w:rsidRDefault="0080647A">
      <w:pPr>
        <w:spacing w:after="0"/>
      </w:pPr>
      <w:r>
        <w:rPr>
          <w:sz w:val="6"/>
        </w:rPr>
        <w:t xml:space="preserve"> </w:t>
      </w:r>
    </w:p>
    <w:p w14:paraId="0274BA8E" w14:textId="77777777" w:rsidR="00BC3589" w:rsidRDefault="0080647A">
      <w:r>
        <w:t xml:space="preserve">MATLAB numeric size rules: Mapped sizes follow the legacy normalization (including its log compression for large ranges); constant input gives radius 4 before Scale. Raw negative/invalid final radii are rejected rather than silently made positive. A zero final radius omits that sphere and its label but does not delete the input node or its edges. See numeric size rules.</w:t>
      </w:r>
      <w:r>
        <w:t/>
      </w:r>
    </w:p>
    <w:p w14:paraId="532584E5" w14:textId="77777777" w:rsidR="00BC3589" w:rsidRDefault="0080647A">
      <w:pPr>
        <w:pStyle w:val="Heading2"/>
      </w:pPr>
      <w:r>
        <w:t>Node color</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33B33220" w14:textId="77777777">
        <w:trPr>
          <w:tblHeader/>
        </w:trPr>
        <w:tc>
          <w:tcPr>
            <w:tcW w:w="1800" w:type="dxa"/>
            <w:shd w:val="clear" w:color="auto" w:fill="E8EDF3"/>
            <w:tcMar>
              <w:top w:w="65" w:type="dxa"/>
              <w:left w:w="95" w:type="dxa"/>
              <w:bottom w:w="65" w:type="dxa"/>
              <w:right w:w="95" w:type="dxa"/>
            </w:tcMar>
            <w:vAlign w:val="center"/>
          </w:tcPr>
          <w:p w14:paraId="61681E9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6A1F5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C41CF1B" w14:textId="77777777" w:rsidR="00BC3589" w:rsidRDefault="0080647A">
            <w:pPr>
              <w:pStyle w:val="TableText"/>
            </w:pPr>
            <w:r>
              <w:rPr>
                <w:b/>
              </w:rPr>
              <w:t>Current rule</w:t>
            </w:r>
          </w:p>
        </w:tc>
      </w:tr>
      <w:tr w:rsidR="00BC3589" w14:paraId="2D2651A0" w14:textId="77777777">
        <w:trPr>
          <w:cantSplit/>
        </w:trPr>
        <w:tc>
          <w:tcPr>
            <w:tcW w:w="1800" w:type="dxa"/>
            <w:tcMar>
              <w:top w:w="65" w:type="dxa"/>
              <w:left w:w="95" w:type="dxa"/>
              <w:bottom w:w="65" w:type="dxa"/>
              <w:right w:w="95" w:type="dxa"/>
            </w:tcMar>
            <w:vAlign w:val="center"/>
          </w:tcPr>
          <w:p w14:paraId="7C96BE14"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3E06F7E8" w14:textId="77777777" w:rsidR="00BC3589" w:rsidRDefault="0080647A">
            <w:pPr>
              <w:pStyle w:val="TableText"/>
            </w:pPr>
            <w:r>
              <w:t>Uniform</w:t>
            </w:r>
          </w:p>
        </w:tc>
        <w:tc>
          <w:tcPr>
            <w:tcW w:w="4925" w:type="dxa"/>
            <w:tcMar>
              <w:top w:w="65" w:type="dxa"/>
              <w:left w:w="95" w:type="dxa"/>
              <w:bottom w:w="65" w:type="dxa"/>
              <w:right w:w="95" w:type="dxa"/>
            </w:tcMar>
            <w:vAlign w:val="center"/>
          </w:tcPr>
          <w:p w14:paraId="2C6155D3" w14:textId="77777777" w:rsidR="00BC3589" w:rsidRDefault="0080647A">
            <w:pPr>
              <w:pStyle w:val="TableText"/>
            </w:pPr>
            <w:r>
              <w:t xml:space="preserve">Uniform uses one Color; Mapped samples a palette from </w:t>
            </w:r>
            <w:r>
              <w:rPr>
                <w:b/>
              </w:rPr>
              <w:t>column 4</w:t>
            </w:r>
            <w:r>
              <w:t>; Modules assigns colors by sorted unique column-4 module IDs; Threshold uses two colors split by column 4. Column 5 is not the default color source.</w:t>
            </w:r>
          </w:p>
        </w:tc>
      </w:tr>
      <w:tr w:rsidR="00BC3589" w14:paraId="716CBAD1" w14:textId="77777777">
        <w:trPr>
          <w:cantSplit/>
        </w:trPr>
        <w:tc>
          <w:tcPr>
            <w:tcW w:w="1800" w:type="dxa"/>
            <w:tcMar>
              <w:top w:w="65" w:type="dxa"/>
              <w:left w:w="95" w:type="dxa"/>
              <w:bottom w:w="65" w:type="dxa"/>
              <w:right w:w="95" w:type="dxa"/>
            </w:tcMar>
            <w:vAlign w:val="center"/>
          </w:tcPr>
          <w:p w14:paraId="32163607"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9236849" w14:textId="77777777" w:rsidR="00BC3589" w:rsidRDefault="0080647A">
            <w:pPr>
              <w:pStyle w:val="TableText"/>
            </w:pPr>
            <w:r>
              <w:t xml:space="preserve">RGB </w:t>
            </w:r>
            <w:r>
              <w:rPr>
                <w:rFonts w:ascii="Consolas" w:hAnsi="Consolas"/>
                <w:sz w:val="18"/>
              </w:rPr>
              <w:t xml:space="preserve">[37 </w:t>
            </w:r>
            <w:r>
              <w:rPr>
                <w:rFonts w:ascii="Consolas" w:hAnsi="Consolas"/>
                <w:sz w:val="18"/>
              </w:rPr>
              <w:t>89 152]/255</w:t>
            </w:r>
            <w:r>
              <w:t xml:space="preserve"> / Jet / Auto</w:t>
            </w:r>
          </w:p>
        </w:tc>
        <w:tc>
          <w:tcPr>
            <w:tcW w:w="4925" w:type="dxa"/>
            <w:tcMar>
              <w:top w:w="65" w:type="dxa"/>
              <w:left w:w="95" w:type="dxa"/>
              <w:bottom w:w="65" w:type="dxa"/>
              <w:right w:w="95" w:type="dxa"/>
            </w:tcMar>
            <w:vAlign w:val="center"/>
          </w:tcPr>
          <w:p w14:paraId="7E6485C4" w14:textId="77777777" w:rsidR="00BC3589" w:rsidRDefault="0080647A">
            <w:pPr>
              <w:pStyle w:val="TableText"/>
            </w:pPr>
            <w:r>
              <w:t xml:space="preserve">Color button is active in Uniform. Palette is active for Mapped or Modules and can be custom through Colors...; fixed </w:t>
            </w:r>
            <w:r>
              <w:rPr>
                <w:rFonts w:ascii="Consolas" w:hAnsi="Consolas"/>
                <w:sz w:val="18"/>
              </w:rPr>
              <w:t>low high</w:t>
            </w:r>
            <w:r>
              <w:t xml:space="preserve"> limits apply to Mapped, clamping outside values. Auto uses the full input column-4 range, not just visib</w:t>
            </w:r>
            <w:r>
              <w:t>le nodes.</w:t>
            </w:r>
          </w:p>
        </w:tc>
      </w:tr>
      <w:tr w:rsidR="00BC3589" w14:paraId="04410611" w14:textId="77777777">
        <w:trPr>
          <w:cantSplit/>
        </w:trPr>
        <w:tc>
          <w:tcPr>
            <w:tcW w:w="1800" w:type="dxa"/>
            <w:tcMar>
              <w:top w:w="65" w:type="dxa"/>
              <w:left w:w="95" w:type="dxa"/>
              <w:bottom w:w="65" w:type="dxa"/>
              <w:right w:w="95" w:type="dxa"/>
            </w:tcMar>
            <w:vAlign w:val="center"/>
          </w:tcPr>
          <w:p w14:paraId="7347E5A0" w14:textId="77777777" w:rsidR="00BC3589" w:rsidRDefault="0080647A">
            <w:pPr>
              <w:pStyle w:val="TableText"/>
            </w:pPr>
            <w:r>
              <w:rPr>
                <w:b/>
              </w:rPr>
              <w:t>Color Threshold / Low (&lt;=) / High (&gt;)</w:t>
            </w:r>
          </w:p>
        </w:tc>
        <w:tc>
          <w:tcPr>
            <w:tcW w:w="2952" w:type="dxa"/>
            <w:tcMar>
              <w:top w:w="65" w:type="dxa"/>
              <w:left w:w="95" w:type="dxa"/>
              <w:bottom w:w="65" w:type="dxa"/>
              <w:right w:w="95" w:type="dxa"/>
            </w:tcMar>
            <w:vAlign w:val="center"/>
          </w:tcPr>
          <w:p w14:paraId="28411526" w14:textId="77777777" w:rsidR="00BC3589" w:rsidRDefault="0080647A">
            <w:pPr>
              <w:pStyle w:val="TableText"/>
            </w:pPr>
            <w:r>
              <w:t xml:space="preserve">0 / </w:t>
            </w:r>
            <w:r>
              <w:rPr>
                <w:rFonts w:ascii="Consolas" w:hAnsi="Consolas"/>
                <w:sz w:val="18"/>
              </w:rPr>
              <w:t>[37 89 152]/255</w:t>
            </w:r>
            <w:r>
              <w:t xml:space="preserve"> / red</w:t>
            </w:r>
          </w:p>
        </w:tc>
        <w:tc>
          <w:tcPr>
            <w:tcW w:w="4925" w:type="dxa"/>
            <w:tcMar>
              <w:top w:w="65" w:type="dxa"/>
              <w:left w:w="95" w:type="dxa"/>
              <w:bottom w:w="65" w:type="dxa"/>
              <w:right w:w="95" w:type="dxa"/>
            </w:tcMar>
            <w:vAlign w:val="center"/>
          </w:tcPr>
          <w:p w14:paraId="63D52D8A" w14:textId="77777777" w:rsidR="00BC3589" w:rsidRDefault="0080647A">
            <w:pPr>
              <w:pStyle w:val="TableText"/>
            </w:pPr>
            <w:r>
              <w:t xml:space="preserve">In Threshold, column-4 values </w:t>
            </w:r>
            <w:r>
              <w:rPr>
                <w:rFonts w:ascii="Consolas" w:hAnsi="Consolas"/>
                <w:sz w:val="18"/>
              </w:rPr>
              <w:t>&lt;=</w:t>
            </w:r>
            <w:r>
              <w:t xml:space="preserve"> threshold use Low, values </w:t>
            </w:r>
            <w:r>
              <w:rPr>
                <w:rFonts w:ascii="Consolas" w:hAnsi="Consolas"/>
                <w:sz w:val="18"/>
              </w:rPr>
              <w:t>&gt;</w:t>
            </w:r>
            <w:r>
              <w:t xml:space="preserve"> use High. Mapped limits/palette do not change these two fixed colors.</w:t>
            </w:r>
          </w:p>
        </w:tc>
      </w:tr>
    </w:tbl>
    <w:p w14:paraId="4D92621D" w14:textId="77777777" w:rsidR="00BC3589" w:rsidRDefault="0080647A">
      <w:pPr>
        <w:spacing w:after="0"/>
      </w:pPr>
      <w:r>
        <w:rPr>
          <w:sz w:val="6"/>
        </w:rPr>
        <w:t xml:space="preserve"> </w:t>
      </w:r>
    </w:p>
    <w:p w14:paraId="03CAC543" w14:textId="77777777" w:rsidR="00BC3589" w:rsidRDefault="0080647A">
      <w:r>
        <w:t xml:space="preserve">For Modules, the palette comes from the </w:t>
      </w:r>
      <w:r>
        <w:rPr>
          <w:b/>
        </w:rPr>
        <w:t>Nodes</w:t>
      </w:r>
      <w:r>
        <w:t xml:space="preserve"> c</w:t>
      </w:r>
      <w:r>
        <w:t>olormap; same-module edge coloring can inherit it when Edges → Node Module is selected. A custom palette is not the same as the explicit, geometry-bound Vertex RGB surface table. See node color semantics, selection/labels and label placement.</w:t>
      </w:r>
    </w:p>
    <w:p w14:paraId="14FE3CD6" w14:textId="77777777" w:rsidR="00BC3589" w:rsidRDefault="0080647A">
      <w:r>
        <w:t xml:space="preserve">Dense labels </w:t>
      </w:r>
      <w:r>
        <w:t xml:space="preserve">can overlap even when </w:t>
      </w:r>
      <w:r>
        <w:rPr>
          <w:b/>
        </w:rPr>
        <w:t>Keep Labels in Front</w:t>
      </w:r>
      <w:r>
        <w:t xml:space="preserve"> is enabled. Inspect their placement at the intended export size and simplify labels or the view when necessary.</w:t>
      </w:r>
    </w:p>
    <w:p w14:paraId="787098A2" w14:textId="77777777" w:rsidR="00BC3589" w:rsidRDefault="0080647A">
      <w:pPr>
        <w:pStyle w:val="Heading1"/>
        <w:pageBreakBefore/>
      </w:pPr>
      <w:bookmarkStart w:id="9" w:name="bnv_chapter_9"/>
      <w:r>
        <w:lastRenderedPageBreak/>
        <w:t xml:space="preserve">9 Edges</w:t>
      </w:r>
      <w:bookmarkEnd w:id="9"/>
    </w:p>
    <w:p w14:paraId="129C7637" w14:textId="77777777" w:rsidR="00BC3589" w:rsidRDefault="0080647A">
      <w:r>
        <w:t xml:space="preserve">Use </w:t>
      </w:r>
      <w:r>
        <w:rPr>
          <w:b/>
        </w:rPr>
        <w:t>Visualization Settings → Edges</w:t>
      </w:r>
      <w:r>
        <w:t xml:space="preserve"> to control connectivity selection, direction, size, color and opacity. An </w:t>
      </w:r>
      <w:r>
        <w:rPr>
          <w:rFonts w:ascii="Consolas" w:hAnsi="Consolas"/>
          <w:sz w:val="18"/>
        </w:rPr>
        <w:t>.edge</w:t>
      </w:r>
      <w:r>
        <w:t xml:space="preserve"> matrix must follow the loaded </w:t>
      </w:r>
      <w:r>
        <w:rPr>
          <w:rFonts w:ascii="Consolas" w:hAnsi="Consolas"/>
          <w:sz w:val="18"/>
        </w:rPr>
        <w:t>.node</w:t>
      </w:r>
      <w:r>
        <w:t xml:space="preserve"> row order. Values, coordinate distances and directed relationships have meaning only in that input's declared scientific context; neither e</w:t>
      </w:r>
      <w:r>
        <w:t xml:space="preserve">dge lengths nor arrowheads imply white-matter tracts. The shared </w:t>
      </w:r>
      <w:r>
        <w:rPr>
          <w:b/>
        </w:rPr>
        <w:t>Apply</w:t>
      </w:r>
      <w:r>
        <w:t xml:space="preserve"> commits and renders; </w:t>
      </w:r>
      <w:r>
        <w:rPr>
          <w:b/>
        </w:rPr>
        <w:t>Revert</w:t>
      </w:r>
      <w:r>
        <w:t xml:space="preserve"> discards pending edits.</w:t>
      </w:r>
    </w:p>
    <w:p w14:paraId="176FDD19" w14:textId="77777777" w:rsidR="00BC3589" w:rsidRDefault="0080647A">
      <w:pPr>
        <w:keepNext/>
        <w:spacing w:before="180" w:after="60"/>
        <w:jc w:val="center"/>
      </w:pPr>
      <w:r>
        <w:rPr>
          <w:noProof/>
        </w:rPr>
        <w:drawing>
          <wp:inline distT="0" distB="0" distL="0" distR="0" wp14:anchorId="62F87632" wp14:editId="70DB3733">
            <wp:extent cx="5989320" cy="3833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irected-all-full-window.png"/>
                    <pic:cNvPicPr/>
                  </pic:nvPicPr>
                  <pic:blipFill>
                    <a:blip r:embed="rId21"/>
                    <a:stretch>
                      <a:fillRect/>
                    </a:stretch>
                  </pic:blipFill>
                  <pic:spPr>
                    <a:xfrm>
                      <a:off x="0" y="0"/>
                      <a:ext cx="5989320" cy="3833165"/>
                    </a:xfrm>
                    <a:prstGeom prst="rect">
                      <a:avLst/>
                    </a:prstGeom>
                  </pic:spPr>
                </pic:pic>
              </a:graphicData>
            </a:graphic>
          </wp:inline>
        </w:drawing>
      </w:r>
      <w:r>
        <w:rPr>
          <w:rStyle w:val="CommentReference"/>
        </w:rPr>
      </w:r>
    </w:p>
    <w:p w14:paraId="3981B5A4" w14:textId="77777777" w:rsidR="00BC3589" w:rsidRDefault="0080647A">
      <w:pPr>
        <w:pStyle w:val="FigureCaption"/>
        <w:jc w:val="center"/>
      </w:pPr>
      <w:r>
        <w:t xml:space="preserve">Figure 13. The bundled AAL90 weighted network in four views, showing undirected connections at threshold 0.5. MATLAB illustration.</w:t>
      </w:r>
    </w:p>
    <w:p w14:paraId="402218D7" w14:textId="77777777" w:rsidR="00BC3589" w:rsidRDefault="0080647A">
      <w:pPr>
        <w:pStyle w:val="Heading2"/>
      </w:pPr>
      <w:r>
        <w:t>Visibility and direction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2D9D6A7" w14:textId="77777777">
        <w:trPr>
          <w:tblHeader/>
        </w:trPr>
        <w:tc>
          <w:tcPr>
            <w:tcW w:w="1800" w:type="dxa"/>
            <w:shd w:val="clear" w:color="auto" w:fill="E8EDF3"/>
            <w:tcMar>
              <w:top w:w="65" w:type="dxa"/>
              <w:left w:w="95" w:type="dxa"/>
              <w:bottom w:w="65" w:type="dxa"/>
              <w:right w:w="95" w:type="dxa"/>
            </w:tcMar>
            <w:vAlign w:val="center"/>
          </w:tcPr>
          <w:p w14:paraId="771FB5C9"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68DDD6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B72815E" w14:textId="77777777" w:rsidR="00BC3589" w:rsidRDefault="0080647A">
            <w:pPr>
              <w:pStyle w:val="TableText"/>
            </w:pPr>
            <w:r>
              <w:rPr>
                <w:b/>
              </w:rPr>
              <w:t>Current rule</w:t>
            </w:r>
          </w:p>
        </w:tc>
      </w:tr>
      <w:tr w:rsidR="00BC3589" w14:paraId="12CAFADA" w14:textId="77777777">
        <w:trPr>
          <w:cantSplit/>
        </w:trPr>
        <w:tc>
          <w:tcPr>
            <w:tcW w:w="1800" w:type="dxa"/>
            <w:tcMar>
              <w:top w:w="65" w:type="dxa"/>
              <w:left w:w="95" w:type="dxa"/>
              <w:bottom w:w="65" w:type="dxa"/>
              <w:right w:w="95" w:type="dxa"/>
            </w:tcMar>
            <w:vAlign w:val="center"/>
          </w:tcPr>
          <w:p w14:paraId="0A0CA6E7"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26BA46B" w14:textId="77777777" w:rsidR="00BC3589" w:rsidRDefault="0080647A">
            <w:pPr>
              <w:pStyle w:val="TableText"/>
            </w:pPr>
            <w:r>
              <w:t>All Edges</w:t>
            </w:r>
          </w:p>
        </w:tc>
        <w:tc>
          <w:tcPr>
            <w:tcW w:w="4925" w:type="dxa"/>
            <w:tcMar>
              <w:top w:w="65" w:type="dxa"/>
              <w:left w:w="95" w:type="dxa"/>
              <w:bottom w:w="65" w:type="dxa"/>
              <w:right w:w="95" w:type="dxa"/>
            </w:tcMar>
            <w:vAlign w:val="center"/>
          </w:tcPr>
          <w:p w14:paraId="168F4EB4" w14:textId="77777777" w:rsidR="00BC3589" w:rsidRDefault="0080647A">
            <w:pPr>
              <w:pStyle w:val="TableText"/>
            </w:pPr>
            <w:r>
              <w:t xml:space="preserve">All keeps nonzero eligible off-diagonal edges. Threshold keeps selection values &gt;= Threshold. Sparsity (Top Count) ranks nonzero eligible candidates and retains a deterministic count. Legacy Threshold is not a current UI choice.</w:t>
            </w:r>
            <w:r>
              <w:rPr>
                <w:rFonts w:ascii="Consolas" w:hAnsi="Consolas"/>
                <w:sz w:val="18"/>
              </w:rPr>
              <w:t/>
            </w:r>
            <w:r>
              <w:t xml:space="preserve"/>
            </w:r>
            <w:r>
              <w:t xml:space="preserve"/>
            </w:r>
            <w:r>
              <w:rPr>
                <w:b/>
              </w:rPr>
              <w:t/>
            </w:r>
            <w:r>
              <w:t xml:space="preserve"/>
            </w:r>
          </w:p>
        </w:tc>
      </w:tr>
      <w:tr w:rsidR="00BC3589" w14:paraId="7BBEF374" w14:textId="77777777">
        <w:trPr>
          <w:cantSplit/>
        </w:trPr>
        <w:tc>
          <w:tcPr>
            <w:tcW w:w="1800" w:type="dxa"/>
            <w:tcMar>
              <w:top w:w="65" w:type="dxa"/>
              <w:left w:w="95" w:type="dxa"/>
              <w:bottom w:w="65" w:type="dxa"/>
              <w:right w:w="95" w:type="dxa"/>
            </w:tcMar>
            <w:vAlign w:val="center"/>
          </w:tcPr>
          <w:p w14:paraId="10063E29" w14:textId="77777777" w:rsidR="00BC3589" w:rsidRDefault="0080647A">
            <w:pPr>
              <w:pStyle w:val="TableText"/>
            </w:pPr>
            <w:r>
              <w:rPr>
                <w:b/>
              </w:rPr>
              <w:t>Threshold / Sparsity</w:t>
            </w:r>
          </w:p>
        </w:tc>
        <w:tc>
          <w:tcPr>
            <w:tcW w:w="2952" w:type="dxa"/>
            <w:tcMar>
              <w:top w:w="65" w:type="dxa"/>
              <w:left w:w="95" w:type="dxa"/>
              <w:bottom w:w="65" w:type="dxa"/>
              <w:right w:w="95" w:type="dxa"/>
            </w:tcMar>
            <w:vAlign w:val="center"/>
          </w:tcPr>
          <w:p w14:paraId="5A8B70E0" w14:textId="77777777" w:rsidR="00BC3589" w:rsidRDefault="0080647A">
            <w:pPr>
              <w:pStyle w:val="TableText"/>
            </w:pPr>
            <w:r>
              <w:t>0 / 0.1</w:t>
            </w:r>
          </w:p>
        </w:tc>
        <w:tc>
          <w:tcPr>
            <w:tcW w:w="4925" w:type="dxa"/>
            <w:tcMar>
              <w:top w:w="65" w:type="dxa"/>
              <w:left w:w="95" w:type="dxa"/>
              <w:bottom w:w="65" w:type="dxa"/>
              <w:right w:w="95" w:type="dxa"/>
            </w:tcMar>
            <w:vAlign w:val="center"/>
          </w:tcPr>
          <w:p w14:paraId="3276343E" w14:textId="77777777" w:rsidR="00BC3589" w:rsidRDefault="0080647A">
            <w:pPr>
              <w:pStyle w:val="TableText"/>
            </w:pPr>
            <w:r>
              <w:t xml:space="preserve">Threshold is used only in Threshold mode. Sparsity fraction is 0–1 for Top Count; 0 selects no edges. Selection does not rewrite source weights.</w:t>
            </w:r>
            <w:r>
              <w:t/>
            </w:r>
          </w:p>
        </w:tc>
      </w:tr>
      <w:tr w:rsidR="00BC3589" w14:paraId="2AC33F91" w14:textId="77777777">
        <w:trPr>
          <w:cantSplit/>
        </w:trPr>
        <w:tc>
          <w:tcPr>
            <w:tcW w:w="1800" w:type="dxa"/>
            <w:tcMar>
              <w:top w:w="65" w:type="dxa"/>
              <w:left w:w="95" w:type="dxa"/>
              <w:bottom w:w="65" w:type="dxa"/>
              <w:right w:w="95" w:type="dxa"/>
            </w:tcMar>
            <w:vAlign w:val="center"/>
          </w:tcPr>
          <w:p w14:paraId="678EAD89" w14:textId="77777777" w:rsidR="00BC3589" w:rsidRDefault="0080647A">
            <w:pPr>
              <w:pStyle w:val="TableText"/>
            </w:pPr>
            <w:r>
              <w:rPr>
                <w:b/>
              </w:rPr>
              <w:t>Selection Values</w:t>
            </w:r>
          </w:p>
        </w:tc>
        <w:tc>
          <w:tcPr>
            <w:tcW w:w="2952" w:type="dxa"/>
            <w:tcMar>
              <w:top w:w="65" w:type="dxa"/>
              <w:left w:w="95" w:type="dxa"/>
              <w:bottom w:w="65" w:type="dxa"/>
              <w:right w:w="95" w:type="dxa"/>
            </w:tcMar>
            <w:vAlign w:val="center"/>
          </w:tcPr>
          <w:p w14:paraId="67A45F79" w14:textId="77777777" w:rsidR="00BC3589" w:rsidRDefault="0080647A">
            <w:pPr>
              <w:pStyle w:val="TableText"/>
            </w:pPr>
            <w:r>
              <w:t>Absolute</w:t>
            </w:r>
          </w:p>
        </w:tc>
        <w:tc>
          <w:tcPr>
            <w:tcW w:w="4925" w:type="dxa"/>
            <w:tcMar>
              <w:top w:w="65" w:type="dxa"/>
              <w:left w:w="95" w:type="dxa"/>
              <w:bottom w:w="65" w:type="dxa"/>
              <w:right w:w="95" w:type="dxa"/>
            </w:tcMar>
            <w:vAlign w:val="center"/>
          </w:tcPr>
          <w:p w14:paraId="27EF84B8" w14:textId="77777777" w:rsidR="00BC3589" w:rsidRDefault="0080647A">
            <w:pPr>
              <w:pStyle w:val="TableText"/>
            </w:pPr>
            <w:r>
              <w:t>Signed or Absolute changes</w:t>
            </w:r>
            <w:r>
              <w:t xml:space="preserve"> ranking/thresholding only; source weights are not rewritten. Other size/color/opacity signs have separate controls.</w:t>
            </w:r>
          </w:p>
        </w:tc>
      </w:tr>
      <w:tr w:rsidR="00BC3589" w14:paraId="0968CD7A" w14:textId="77777777">
        <w:trPr>
          <w:cantSplit/>
        </w:trPr>
        <w:tc>
          <w:tcPr>
            <w:tcW w:w="1800" w:type="dxa"/>
            <w:tcMar>
              <w:top w:w="65" w:type="dxa"/>
              <w:left w:w="95" w:type="dxa"/>
              <w:bottom w:w="65" w:type="dxa"/>
              <w:right w:w="95" w:type="dxa"/>
            </w:tcMar>
            <w:vAlign w:val="center"/>
          </w:tcPr>
          <w:p w14:paraId="1F6A6469" w14:textId="77777777" w:rsidR="00BC3589" w:rsidRDefault="0080647A">
            <w:pPr>
              <w:pStyle w:val="TableText"/>
            </w:pPr>
            <w:r>
              <w:rPr>
                <w:b/>
              </w:rPr>
              <w:t>Directed Edges</w:t>
            </w:r>
          </w:p>
        </w:tc>
        <w:tc>
          <w:tcPr>
            <w:tcW w:w="2952" w:type="dxa"/>
            <w:tcMar>
              <w:top w:w="65" w:type="dxa"/>
              <w:left w:w="95" w:type="dxa"/>
              <w:bottom w:w="65" w:type="dxa"/>
              <w:right w:w="95" w:type="dxa"/>
            </w:tcMar>
            <w:vAlign w:val="center"/>
          </w:tcPr>
          <w:p w14:paraId="4F9AD59A" w14:textId="77777777" w:rsidR="00BC3589" w:rsidRDefault="0080647A">
            <w:pPr>
              <w:pStyle w:val="TableText"/>
            </w:pPr>
            <w:r>
              <w:t>off</w:t>
            </w:r>
          </w:p>
        </w:tc>
        <w:tc>
          <w:tcPr>
            <w:tcW w:w="4925" w:type="dxa"/>
            <w:tcMar>
              <w:top w:w="65" w:type="dxa"/>
              <w:left w:w="95" w:type="dxa"/>
              <w:bottom w:w="65" w:type="dxa"/>
              <w:right w:w="95" w:type="dxa"/>
            </w:tcMar>
            <w:vAlign w:val="center"/>
          </w:tcPr>
          <w:p w14:paraId="02015D66" w14:textId="77777777" w:rsidR="00BC3589" w:rsidRDefault="0080647A">
            <w:pPr>
              <w:pStyle w:val="TableText"/>
            </w:pPr>
            <w:r>
              <w:t>Off uses nonzero upper-triangle candidates; on uses nonzero off-diagonal ordered pairs and draws arrowheads. The matrix</w:t>
            </w:r>
            <w:r>
              <w:t xml:space="preserve"> is not automatically symmetrized.</w:t>
            </w:r>
          </w:p>
        </w:tc>
      </w:tr>
      <w:tr w:rsidR="00BC3589" w14:paraId="1A9902FD" w14:textId="77777777">
        <w:trPr>
          <w:cantSplit/>
        </w:trPr>
        <w:tc>
          <w:tcPr>
            <w:tcW w:w="1800" w:type="dxa"/>
            <w:tcMar>
              <w:top w:w="65" w:type="dxa"/>
              <w:left w:w="95" w:type="dxa"/>
              <w:bottom w:w="65" w:type="dxa"/>
              <w:right w:w="95" w:type="dxa"/>
            </w:tcMar>
            <w:vAlign w:val="center"/>
          </w:tcPr>
          <w:p w14:paraId="149F7660" w14:textId="77777777" w:rsidR="00BC3589" w:rsidRDefault="0080647A">
            <w:pPr>
              <w:pStyle w:val="TableText"/>
            </w:pPr>
            <w:r>
              <w:rPr>
                <w:b/>
              </w:rPr>
              <w:lastRenderedPageBreak/>
              <w:t>Inter Hemi Only</w:t>
            </w:r>
          </w:p>
        </w:tc>
        <w:tc>
          <w:tcPr>
            <w:tcW w:w="2952" w:type="dxa"/>
            <w:tcMar>
              <w:top w:w="65" w:type="dxa"/>
              <w:left w:w="95" w:type="dxa"/>
              <w:bottom w:w="65" w:type="dxa"/>
              <w:right w:w="95" w:type="dxa"/>
            </w:tcMar>
            <w:vAlign w:val="center"/>
          </w:tcPr>
          <w:p w14:paraId="448CFC0F" w14:textId="77777777" w:rsidR="00BC3589" w:rsidRDefault="0080647A">
            <w:pPr>
              <w:pStyle w:val="TableText"/>
            </w:pPr>
            <w:r>
              <w:t>off</w:t>
            </w:r>
          </w:p>
        </w:tc>
        <w:tc>
          <w:tcPr>
            <w:tcW w:w="4925" w:type="dxa"/>
            <w:tcMar>
              <w:top w:w="65" w:type="dxa"/>
              <w:left w:w="95" w:type="dxa"/>
              <w:bottom w:w="65" w:type="dxa"/>
              <w:right w:w="95" w:type="dxa"/>
            </w:tcMar>
            <w:vAlign w:val="center"/>
          </w:tcPr>
          <w:p w14:paraId="6FAEA912" w14:textId="77777777" w:rsidR="00BC3589" w:rsidRDefault="0080647A">
            <w:pPr>
              <w:pStyle w:val="TableText"/>
            </w:pPr>
            <w:r>
              <w:t>After selection, retains opposite-X-side or midline endpoints by node X=0. This is a coordinate rule, not anatomical hemisphere detection.</w:t>
            </w:r>
          </w:p>
        </w:tc>
      </w:tr>
    </w:tbl>
    <w:p w14:paraId="7B1469AA" w14:textId="77777777" w:rsidR="00BC3589" w:rsidRDefault="0080647A">
      <w:pPr>
        <w:spacing w:after="0"/>
      </w:pPr>
      <w:r>
        <w:rPr>
          <w:sz w:val="6"/>
        </w:rPr>
        <w:t xml:space="preserve"> </w:t>
      </w:r>
    </w:p>
    <w:p w14:paraId="5926A314" w14:textId="77777777" w:rsidR="00BC3589" w:rsidRDefault="0080647A">
      <w:r>
        <w:t xml:space="preserve">Sparsity (Top Count) selects a deterministic count of eligible nonzero edges. The current UI provides All, Threshold and Sparsity (Top Count), not a separate Legacy Threshold mode. Connected Nodes in Chapter 8 follows the finally selected edge pairs. Review tie handling when comparing editions.</w:t>
      </w:r>
      <w:r>
        <w:t/>
      </w:r>
    </w:p>
    <w:p w14:paraId="3A4B2E14" w14:textId="77777777" w:rsidR="00BC3589" w:rsidRDefault="0080647A">
      <w:pPr>
        <w:pStyle w:val="Heading2"/>
      </w:pPr>
      <w:r>
        <w:t>Size and arrowheads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F4AB535" w14:textId="77777777">
        <w:trPr>
          <w:tblHeader/>
        </w:trPr>
        <w:tc>
          <w:tcPr>
            <w:tcW w:w="1800" w:type="dxa"/>
            <w:shd w:val="clear" w:color="auto" w:fill="E8EDF3"/>
            <w:tcMar>
              <w:top w:w="65" w:type="dxa"/>
              <w:left w:w="95" w:type="dxa"/>
              <w:bottom w:w="65" w:type="dxa"/>
              <w:right w:w="95" w:type="dxa"/>
            </w:tcMar>
            <w:vAlign w:val="center"/>
          </w:tcPr>
          <w:p w14:paraId="713379BF"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ED2955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4FB7F54F" w14:textId="77777777" w:rsidR="00BC3589" w:rsidRDefault="0080647A">
            <w:pPr>
              <w:pStyle w:val="TableText"/>
            </w:pPr>
            <w:r>
              <w:rPr>
                <w:b/>
              </w:rPr>
              <w:t>Current rule</w:t>
            </w:r>
          </w:p>
        </w:tc>
      </w:tr>
      <w:tr w:rsidR="00BC3589" w14:paraId="24C6FF72" w14:textId="77777777">
        <w:trPr>
          <w:cantSplit/>
        </w:trPr>
        <w:tc>
          <w:tcPr>
            <w:tcW w:w="1800" w:type="dxa"/>
            <w:tcMar>
              <w:top w:w="65" w:type="dxa"/>
              <w:left w:w="95" w:type="dxa"/>
              <w:bottom w:w="65" w:type="dxa"/>
              <w:right w:w="95" w:type="dxa"/>
            </w:tcMar>
            <w:vAlign w:val="center"/>
          </w:tcPr>
          <w:p w14:paraId="5016A678"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0FFD18DF" w14:textId="77777777" w:rsidR="00BC3589" w:rsidRDefault="0080647A">
            <w:pPr>
              <w:pStyle w:val="TableText"/>
            </w:pPr>
            <w:r>
              <w:t>Mapped</w:t>
            </w:r>
          </w:p>
        </w:tc>
        <w:tc>
          <w:tcPr>
            <w:tcW w:w="4925" w:type="dxa"/>
            <w:tcMar>
              <w:top w:w="65" w:type="dxa"/>
              <w:left w:w="95" w:type="dxa"/>
              <w:bottom w:w="65" w:type="dxa"/>
              <w:right w:w="95" w:type="dxa"/>
            </w:tcMar>
            <w:vAlign w:val="center"/>
          </w:tcPr>
          <w:p w14:paraId="7BAFDD3A" w14:textId="77777777" w:rsidR="00BC3589" w:rsidRDefault="0080647A">
            <w:pPr>
              <w:pStyle w:val="TableText"/>
            </w:pPr>
            <w:r>
              <w:t>Uniform uses Base Size; Mapped maps retained weights to radii 0.4–6 (constant set: 2); Raw clamps to 0.2–6; Threshold first tests original</w:t>
            </w:r>
            <w:r>
              <w:t xml:space="preserve"> sign-adjusted weights </w:t>
            </w:r>
            <w:r>
              <w:rPr>
                <w:rFonts w:ascii="Consolas" w:hAnsi="Consolas"/>
                <w:sz w:val="18"/>
              </w:rPr>
              <w:t>&gt;= Size Threshold</w:t>
            </w:r>
            <w:r>
              <w:t>, then sizes qualifying edges by Mapped or Raw basis. Below threshold uses radius 0.4, not removal.</w:t>
            </w:r>
          </w:p>
        </w:tc>
      </w:tr>
      <w:tr w:rsidR="00BC3589" w14:paraId="7A92E3EB" w14:textId="77777777">
        <w:trPr>
          <w:cantSplit/>
        </w:trPr>
        <w:tc>
          <w:tcPr>
            <w:tcW w:w="1800" w:type="dxa"/>
            <w:tcMar>
              <w:top w:w="65" w:type="dxa"/>
              <w:left w:w="95" w:type="dxa"/>
              <w:bottom w:w="65" w:type="dxa"/>
              <w:right w:w="95" w:type="dxa"/>
            </w:tcMar>
            <w:vAlign w:val="center"/>
          </w:tcPr>
          <w:p w14:paraId="0142782F" w14:textId="77777777" w:rsidR="00BC3589" w:rsidRDefault="0080647A">
            <w:pPr>
              <w:pStyle w:val="TableText"/>
            </w:pPr>
            <w:r>
              <w:rPr>
                <w:b/>
              </w:rPr>
              <w:t>Base Size / Size Scale</w:t>
            </w:r>
          </w:p>
        </w:tc>
        <w:tc>
          <w:tcPr>
            <w:tcW w:w="2952" w:type="dxa"/>
            <w:tcMar>
              <w:top w:w="65" w:type="dxa"/>
              <w:left w:w="95" w:type="dxa"/>
              <w:bottom w:w="65" w:type="dxa"/>
              <w:right w:w="95" w:type="dxa"/>
            </w:tcMar>
            <w:vAlign w:val="center"/>
          </w:tcPr>
          <w:p w14:paraId="6E09464A" w14:textId="77777777" w:rsidR="00BC3589" w:rsidRDefault="0080647A">
            <w:pPr>
              <w:pStyle w:val="TableText"/>
            </w:pPr>
            <w:r>
              <w:t>1 / 1</w:t>
            </w:r>
          </w:p>
        </w:tc>
        <w:tc>
          <w:tcPr>
            <w:tcW w:w="4925" w:type="dxa"/>
            <w:tcMar>
              <w:top w:w="65" w:type="dxa"/>
              <w:left w:w="95" w:type="dxa"/>
              <w:bottom w:w="65" w:type="dxa"/>
              <w:right w:w="95" w:type="dxa"/>
            </w:tcMar>
            <w:vAlign w:val="center"/>
          </w:tcPr>
          <w:p w14:paraId="74DA6CF5" w14:textId="77777777" w:rsidR="00BC3589" w:rsidRDefault="0080647A">
            <w:pPr>
              <w:pStyle w:val="TableText"/>
            </w:pPr>
            <w:r>
              <w:t xml:space="preserve">Base Size is used in Uniform. Positive Size Scale multiplies radii once in all </w:t>
            </w:r>
            <w:r>
              <w:t>modes. These are radii in input-coordinate units, not pixel widths.</w:t>
            </w:r>
          </w:p>
        </w:tc>
      </w:tr>
      <w:tr w:rsidR="00BC3589" w14:paraId="74B12AA7" w14:textId="77777777">
        <w:trPr>
          <w:cantSplit/>
        </w:trPr>
        <w:tc>
          <w:tcPr>
            <w:tcW w:w="1800" w:type="dxa"/>
            <w:tcMar>
              <w:top w:w="65" w:type="dxa"/>
              <w:left w:w="95" w:type="dxa"/>
              <w:bottom w:w="65" w:type="dxa"/>
              <w:right w:w="95" w:type="dxa"/>
            </w:tcMar>
            <w:vAlign w:val="center"/>
          </w:tcPr>
          <w:p w14:paraId="703EA461" w14:textId="77777777" w:rsidR="00BC3589" w:rsidRDefault="0080647A">
            <w:pPr>
              <w:pStyle w:val="TableText"/>
            </w:pPr>
            <w:r>
              <w:rPr>
                <w:b/>
              </w:rPr>
              <w:t>Size Threshold / Threshold Basis</w:t>
            </w:r>
          </w:p>
        </w:tc>
        <w:tc>
          <w:tcPr>
            <w:tcW w:w="2952" w:type="dxa"/>
            <w:tcMar>
              <w:top w:w="65" w:type="dxa"/>
              <w:left w:w="95" w:type="dxa"/>
              <w:bottom w:w="65" w:type="dxa"/>
              <w:right w:w="95" w:type="dxa"/>
            </w:tcMar>
            <w:vAlign w:val="center"/>
          </w:tcPr>
          <w:p w14:paraId="2E3520BD" w14:textId="77777777" w:rsidR="00BC3589" w:rsidRDefault="0080647A">
            <w:pPr>
              <w:pStyle w:val="TableText"/>
            </w:pPr>
            <w:r>
              <w:t>0 / Mapped</w:t>
            </w:r>
          </w:p>
        </w:tc>
        <w:tc>
          <w:tcPr>
            <w:tcW w:w="4925" w:type="dxa"/>
            <w:tcMar>
              <w:top w:w="65" w:type="dxa"/>
              <w:left w:w="95" w:type="dxa"/>
              <w:bottom w:w="65" w:type="dxa"/>
              <w:right w:w="95" w:type="dxa"/>
            </w:tcMar>
            <w:vAlign w:val="center"/>
          </w:tcPr>
          <w:p w14:paraId="4735C41B" w14:textId="77777777" w:rsidR="00BC3589" w:rsidRDefault="0080647A">
            <w:pPr>
              <w:pStyle w:val="TableText"/>
            </w:pPr>
            <w:r>
              <w:t>Enabled only in Threshold. Basis is Mapped or Raw; the threshold comparison precedes normalization and scaling.</w:t>
            </w:r>
          </w:p>
        </w:tc>
      </w:tr>
      <w:tr w:rsidR="00BC3589" w14:paraId="0CE16BE1" w14:textId="77777777">
        <w:trPr>
          <w:cantSplit/>
        </w:trPr>
        <w:tc>
          <w:tcPr>
            <w:tcW w:w="1800" w:type="dxa"/>
            <w:tcMar>
              <w:top w:w="65" w:type="dxa"/>
              <w:left w:w="95" w:type="dxa"/>
              <w:bottom w:w="65" w:type="dxa"/>
              <w:right w:w="95" w:type="dxa"/>
            </w:tcMar>
            <w:vAlign w:val="center"/>
          </w:tcPr>
          <w:p w14:paraId="4BBE499F" w14:textId="77777777" w:rsidR="00BC3589" w:rsidRDefault="0080647A">
            <w:pPr>
              <w:pStyle w:val="TableText"/>
            </w:pPr>
            <w:r>
              <w:rPr>
                <w:b/>
              </w:rPr>
              <w:t>Size Values</w:t>
            </w:r>
          </w:p>
        </w:tc>
        <w:tc>
          <w:tcPr>
            <w:tcW w:w="2952" w:type="dxa"/>
            <w:tcMar>
              <w:top w:w="65" w:type="dxa"/>
              <w:left w:w="95" w:type="dxa"/>
              <w:bottom w:w="65" w:type="dxa"/>
              <w:right w:w="95" w:type="dxa"/>
            </w:tcMar>
            <w:vAlign w:val="center"/>
          </w:tcPr>
          <w:p w14:paraId="5E1B2377" w14:textId="77777777" w:rsidR="00BC3589" w:rsidRDefault="0080647A">
            <w:pPr>
              <w:pStyle w:val="TableText"/>
            </w:pPr>
            <w:r>
              <w:t>Absolute</w:t>
            </w:r>
          </w:p>
        </w:tc>
        <w:tc>
          <w:tcPr>
            <w:tcW w:w="4925" w:type="dxa"/>
            <w:tcMar>
              <w:top w:w="65" w:type="dxa"/>
              <w:left w:w="95" w:type="dxa"/>
              <w:bottom w:w="65" w:type="dxa"/>
              <w:right w:w="95" w:type="dxa"/>
            </w:tcMar>
            <w:vAlign w:val="center"/>
          </w:tcPr>
          <w:p w14:paraId="522C69BD" w14:textId="77777777" w:rsidR="00BC3589" w:rsidRDefault="0080647A">
            <w:pPr>
              <w:pStyle w:val="TableText"/>
            </w:pPr>
            <w:r>
              <w:t>Signed or Absolute is independent of Selection Values and color/opacity signs. Negative invalid final radii are rejected rather than silently made positive.</w:t>
            </w:r>
          </w:p>
        </w:tc>
      </w:tr>
      <w:tr w:rsidR="00BC3589" w14:paraId="593A7A15" w14:textId="77777777">
        <w:trPr>
          <w:cantSplit/>
        </w:trPr>
        <w:tc>
          <w:tcPr>
            <w:tcW w:w="1800" w:type="dxa"/>
            <w:tcMar>
              <w:top w:w="65" w:type="dxa"/>
              <w:left w:w="95" w:type="dxa"/>
              <w:bottom w:w="65" w:type="dxa"/>
              <w:right w:w="95" w:type="dxa"/>
            </w:tcMar>
            <w:vAlign w:val="center"/>
          </w:tcPr>
          <w:p w14:paraId="3EF43FA6" w14:textId="77777777" w:rsidR="00BC3589" w:rsidRDefault="0080647A">
            <w:pPr>
              <w:pStyle w:val="TableText"/>
            </w:pPr>
            <w:r>
              <w:rPr>
                <w:b/>
              </w:rPr>
              <w:t>Arrowhead Shape: Length / Width</w:t>
            </w:r>
          </w:p>
        </w:tc>
        <w:tc>
          <w:tcPr>
            <w:tcW w:w="2952" w:type="dxa"/>
            <w:tcMar>
              <w:top w:w="65" w:type="dxa"/>
              <w:left w:w="95" w:type="dxa"/>
              <w:bottom w:w="65" w:type="dxa"/>
              <w:right w:w="95" w:type="dxa"/>
            </w:tcMar>
            <w:vAlign w:val="center"/>
          </w:tcPr>
          <w:p w14:paraId="3B3AA3E3" w14:textId="77777777" w:rsidR="00BC3589" w:rsidRDefault="0080647A">
            <w:pPr>
              <w:pStyle w:val="TableText"/>
            </w:pPr>
            <w:r>
              <w:t>1 / 0.7</w:t>
            </w:r>
          </w:p>
        </w:tc>
        <w:tc>
          <w:tcPr>
            <w:tcW w:w="4925" w:type="dxa"/>
            <w:tcMar>
              <w:top w:w="65" w:type="dxa"/>
              <w:left w:w="95" w:type="dxa"/>
              <w:bottom w:w="65" w:type="dxa"/>
              <w:right w:w="95" w:type="dxa"/>
            </w:tcMar>
            <w:vAlign w:val="center"/>
          </w:tcPr>
          <w:p w14:paraId="53AE1A79" w14:textId="77777777" w:rsidR="00BC3589" w:rsidRDefault="0080647A">
            <w:pPr>
              <w:pStyle w:val="TableText"/>
            </w:pPr>
            <w:r>
              <w:t>Enabled for Directed Edges. Multipliers are 0.25–3; length</w:t>
            </w:r>
            <w:r>
              <w:t xml:space="preserve"> is capped at 35% of edge length. The edge tube ends at the arrowhead base to avoid overlap. These settings change geometry, not matrix direction or weight.</w:t>
            </w:r>
          </w:p>
        </w:tc>
      </w:tr>
    </w:tbl>
    <w:p w14:paraId="336A6793" w14:textId="77777777" w:rsidR="00BC3589" w:rsidRDefault="0080647A">
      <w:pPr>
        <w:spacing w:after="0"/>
      </w:pPr>
      <w:r>
        <w:rPr>
          <w:sz w:val="6"/>
        </w:rPr>
        <w:t xml:space="preserve"> </w:t>
      </w:r>
    </w:p>
    <w:p w14:paraId="1414341E" w14:textId="77777777" w:rsidR="00BC3589" w:rsidRDefault="0080647A">
      <w:r>
        <w:t>Threshold+Raw has a different lower-radius rule from ordinary Raw; see full radius calculation. A zero-radius edge may be absent from geometry without changing its selection/Connected semantics.</w:t>
      </w:r>
    </w:p>
    <w:p w14:paraId="662021D6" w14:textId="77777777" w:rsidR="00BC3589" w:rsidRDefault="0080647A">
      <w:pPr>
        <w:pStyle w:val="Heading2"/>
        <w:pageBreakBefore/>
      </w:pPr>
      <w:r>
        <w:lastRenderedPageBreak/>
        <w:t>Color and opacity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BADAA45" w14:textId="77777777">
        <w:trPr>
          <w:tblHeader/>
        </w:trPr>
        <w:tc>
          <w:tcPr>
            <w:tcW w:w="1800" w:type="dxa"/>
            <w:shd w:val="clear" w:color="auto" w:fill="E8EDF3"/>
            <w:tcMar>
              <w:top w:w="65" w:type="dxa"/>
              <w:left w:w="95" w:type="dxa"/>
              <w:bottom w:w="65" w:type="dxa"/>
              <w:right w:w="95" w:type="dxa"/>
            </w:tcMar>
            <w:vAlign w:val="center"/>
          </w:tcPr>
          <w:p w14:paraId="79BEFEC2"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F40478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0049AA6" w14:textId="77777777" w:rsidR="00BC3589" w:rsidRDefault="0080647A">
            <w:pPr>
              <w:pStyle w:val="TableText"/>
            </w:pPr>
            <w:r>
              <w:rPr>
                <w:b/>
              </w:rPr>
              <w:t>Current rule</w:t>
            </w:r>
          </w:p>
        </w:tc>
      </w:tr>
      <w:tr w:rsidR="00BC3589" w14:paraId="42CBB3C1" w14:textId="77777777">
        <w:trPr>
          <w:cantSplit/>
        </w:trPr>
        <w:tc>
          <w:tcPr>
            <w:tcW w:w="1800" w:type="dxa"/>
            <w:tcMar>
              <w:top w:w="65" w:type="dxa"/>
              <w:left w:w="95" w:type="dxa"/>
              <w:bottom w:w="65" w:type="dxa"/>
              <w:right w:w="95" w:type="dxa"/>
            </w:tcMar>
            <w:vAlign w:val="center"/>
          </w:tcPr>
          <w:p w14:paraId="3069FC59"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D02AFA8" w14:textId="77777777" w:rsidR="00BC3589" w:rsidRDefault="0080647A">
            <w:pPr>
              <w:pStyle w:val="TableText"/>
            </w:pPr>
            <w:r>
              <w:t>Uniform</w:t>
            </w:r>
          </w:p>
        </w:tc>
        <w:tc>
          <w:tcPr>
            <w:tcW w:w="4925" w:type="dxa"/>
            <w:tcMar>
              <w:top w:w="65" w:type="dxa"/>
              <w:left w:w="95" w:type="dxa"/>
              <w:bottom w:w="65" w:type="dxa"/>
              <w:right w:w="95" w:type="dxa"/>
            </w:tcMar>
            <w:vAlign w:val="center"/>
          </w:tcPr>
          <w:p w14:paraId="1B19AB42" w14:textId="77777777" w:rsidR="00BC3589" w:rsidRDefault="0080647A">
            <w:pPr>
              <w:pStyle w:val="TableText"/>
            </w:pPr>
            <w:r>
              <w:t xml:space="preserve">Uniform uses one Color. Mapped uses a 64-entry palette. Threshold uses Low when value </w:t>
            </w:r>
            <w:r>
              <w:rPr>
                <w:rFonts w:ascii="Consolas" w:hAnsi="Consolas"/>
                <w:sz w:val="18"/>
              </w:rPr>
              <w:t>&lt;=</w:t>
            </w:r>
            <w:r>
              <w:t xml:space="preserve"> Color Threshold and High when </w:t>
            </w:r>
            <w:r>
              <w:rPr>
                <w:rFonts w:ascii="Consolas" w:hAnsi="Consolas"/>
                <w:sz w:val="18"/>
              </w:rPr>
              <w:t>&gt;</w:t>
            </w:r>
            <w:r>
              <w:t xml:space="preserve">; Length uses Short when original-node Euclidean distance </w:t>
            </w:r>
            <w:r>
              <w:rPr>
                <w:rFonts w:ascii="Consolas" w:hAnsi="Consolas"/>
                <w:sz w:val="18"/>
              </w:rPr>
              <w:t>&lt;</w:t>
            </w:r>
            <w:r>
              <w:t xml:space="preserve"> Length Threshold and Long at </w:t>
            </w:r>
            <w:r>
              <w:rPr>
                <w:rFonts w:ascii="Consolas" w:hAnsi="Consolas"/>
                <w:sz w:val="18"/>
              </w:rPr>
              <w:t>&gt;=</w:t>
            </w:r>
            <w:r>
              <w:t>. Node Module compares bot</w:t>
            </w:r>
            <w:r>
              <w:t>h endpoints; Custom Matrix uses an explicitly bound node-order color-index matrix.</w:t>
            </w:r>
          </w:p>
        </w:tc>
      </w:tr>
      <w:tr w:rsidR="00BC3589" w14:paraId="18EEA61F" w14:textId="77777777">
        <w:trPr>
          <w:cantSplit/>
        </w:trPr>
        <w:tc>
          <w:tcPr>
            <w:tcW w:w="1800" w:type="dxa"/>
            <w:tcMar>
              <w:top w:w="65" w:type="dxa"/>
              <w:left w:w="95" w:type="dxa"/>
              <w:bottom w:w="65" w:type="dxa"/>
              <w:right w:w="95" w:type="dxa"/>
            </w:tcMar>
            <w:vAlign w:val="center"/>
          </w:tcPr>
          <w:p w14:paraId="1BBBD679"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01F8DE4" w14:textId="77777777" w:rsidR="00BC3589" w:rsidRDefault="0080647A">
            <w:pPr>
              <w:pStyle w:val="TableText"/>
            </w:pPr>
            <w:r>
              <w:rPr>
                <w:rFonts w:ascii="Consolas" w:hAnsi="Consolas"/>
                <w:sz w:val="18"/>
              </w:rPr>
              <w:t>[1 0.9 0.73]</w:t>
            </w:r>
            <w:r>
              <w:t xml:space="preserve"> / Jet / Auto</w:t>
            </w:r>
          </w:p>
        </w:tc>
        <w:tc>
          <w:tcPr>
            <w:tcW w:w="4925" w:type="dxa"/>
            <w:tcMar>
              <w:top w:w="65" w:type="dxa"/>
              <w:left w:w="95" w:type="dxa"/>
              <w:bottom w:w="65" w:type="dxa"/>
              <w:right w:w="95" w:type="dxa"/>
            </w:tcMar>
            <w:vAlign w:val="center"/>
          </w:tcPr>
          <w:p w14:paraId="25932491" w14:textId="77777777" w:rsidR="00BC3589" w:rsidRDefault="0080647A">
            <w:pPr>
              <w:pStyle w:val="TableText"/>
            </w:pPr>
            <w:r>
              <w:t xml:space="preserve">The Color button is for Uniform. Mapped/Custom Matrix use the selected named colormap or Custom (Colors...); fixed </w:t>
            </w:r>
            <w:r>
              <w:rPr>
                <w:rFonts w:ascii="Consolas" w:hAnsi="Consolas"/>
                <w:sz w:val="18"/>
              </w:rPr>
              <w:t>low high</w:t>
            </w:r>
            <w:r>
              <w:t xml:space="preserve"> limits apply only to Mapped. Auto uses retained color weights after selected sign handling. Equal limits use the last palette color.</w:t>
            </w:r>
          </w:p>
        </w:tc>
      </w:tr>
      <w:tr w:rsidR="00BC3589" w14:paraId="5F5E12A7" w14:textId="77777777">
        <w:trPr>
          <w:cantSplit/>
        </w:trPr>
        <w:tc>
          <w:tcPr>
            <w:tcW w:w="1800" w:type="dxa"/>
            <w:tcMar>
              <w:top w:w="65" w:type="dxa"/>
              <w:left w:w="95" w:type="dxa"/>
              <w:bottom w:w="65" w:type="dxa"/>
              <w:right w:w="95" w:type="dxa"/>
            </w:tcMar>
            <w:vAlign w:val="center"/>
          </w:tcPr>
          <w:p w14:paraId="1667A5C4" w14:textId="77777777" w:rsidR="00BC3589" w:rsidRDefault="0080647A">
            <w:pPr>
              <w:pStyle w:val="TableText"/>
            </w:pPr>
            <w:r>
              <w:rPr>
                <w:b/>
              </w:rPr>
              <w:t>Color Threshold / Length Threshold</w:t>
            </w:r>
          </w:p>
        </w:tc>
        <w:tc>
          <w:tcPr>
            <w:tcW w:w="2952" w:type="dxa"/>
            <w:tcMar>
              <w:top w:w="65" w:type="dxa"/>
              <w:left w:w="95" w:type="dxa"/>
              <w:bottom w:w="65" w:type="dxa"/>
              <w:right w:w="95" w:type="dxa"/>
            </w:tcMar>
            <w:vAlign w:val="center"/>
          </w:tcPr>
          <w:p w14:paraId="214F1404" w14:textId="77777777" w:rsidR="00BC3589" w:rsidRDefault="0080647A">
            <w:pPr>
              <w:pStyle w:val="TableText"/>
            </w:pPr>
            <w:r>
              <w:t xml:space="preserve">0 / 75</w:t>
            </w:r>
          </w:p>
        </w:tc>
        <w:tc>
          <w:tcPr>
            <w:tcW w:w="4925" w:type="dxa"/>
            <w:tcMar>
              <w:top w:w="65" w:type="dxa"/>
              <w:left w:w="95" w:type="dxa"/>
              <w:bottom w:w="65" w:type="dxa"/>
              <w:right w:w="95" w:type="dxa"/>
            </w:tcMar>
            <w:vAlign w:val="center"/>
          </w:tcPr>
          <w:p w14:paraId="71BF9FB0" w14:textId="77777777" w:rsidR="00BC3589" w:rsidRDefault="0080647A">
            <w:pPr>
              <w:pStyle w:val="TableText"/>
            </w:pPr>
            <w:r>
              <w:t>Threshold coloring uses original edge weights with its own sign choice; equality is Low. Length uses input XYZ coordinate units, not tract/geodesic length; equality is Long.</w:t>
            </w:r>
          </w:p>
        </w:tc>
      </w:tr>
      <w:tr w:rsidR="00BC3589" w14:paraId="03E5B61E" w14:textId="77777777">
        <w:trPr>
          <w:cantSplit/>
        </w:trPr>
        <w:tc>
          <w:tcPr>
            <w:tcW w:w="1800" w:type="dxa"/>
            <w:tcMar>
              <w:top w:w="65" w:type="dxa"/>
              <w:left w:w="95" w:type="dxa"/>
              <w:bottom w:w="65" w:type="dxa"/>
              <w:right w:w="95" w:type="dxa"/>
            </w:tcMar>
            <w:vAlign w:val="center"/>
          </w:tcPr>
          <w:p w14:paraId="36FE8A47" w14:textId="77777777" w:rsidR="00BC3589" w:rsidRDefault="0080647A">
            <w:pPr>
              <w:pStyle w:val="TableText"/>
            </w:pPr>
            <w:r>
              <w:rPr>
                <w:b/>
              </w:rPr>
              <w:t>Threshold Values / Mapped Values</w:t>
            </w:r>
          </w:p>
        </w:tc>
        <w:tc>
          <w:tcPr>
            <w:tcW w:w="2952" w:type="dxa"/>
            <w:tcMar>
              <w:top w:w="65" w:type="dxa"/>
              <w:left w:w="95" w:type="dxa"/>
              <w:bottom w:w="65" w:type="dxa"/>
              <w:right w:w="95" w:type="dxa"/>
            </w:tcMar>
            <w:vAlign w:val="center"/>
          </w:tcPr>
          <w:p w14:paraId="5E0B9810" w14:textId="77777777" w:rsidR="00BC3589" w:rsidRDefault="0080647A">
            <w:pPr>
              <w:pStyle w:val="TableText"/>
            </w:pPr>
            <w:r>
              <w:t>Absol</w:t>
            </w:r>
            <w:r>
              <w:t>ute / Absolute</w:t>
            </w:r>
          </w:p>
        </w:tc>
        <w:tc>
          <w:tcPr>
            <w:tcW w:w="4925" w:type="dxa"/>
            <w:tcMar>
              <w:top w:w="65" w:type="dxa"/>
              <w:left w:w="95" w:type="dxa"/>
              <w:bottom w:w="65" w:type="dxa"/>
              <w:right w:w="95" w:type="dxa"/>
            </w:tcMar>
            <w:vAlign w:val="center"/>
          </w:tcPr>
          <w:p w14:paraId="7DD58895" w14:textId="77777777" w:rsidR="00BC3589" w:rsidRDefault="0080647A">
            <w:pPr>
              <w:pStyle w:val="TableText"/>
            </w:pPr>
            <w:r>
              <w:t>Separate Signed/Absolute choices for their respective color modes. They do not change Selection Values, radii or opacity.</w:t>
            </w:r>
          </w:p>
        </w:tc>
      </w:tr>
      <w:tr w:rsidR="00BC3589" w14:paraId="44A36F8A" w14:textId="77777777">
        <w:trPr>
          <w:cantSplit/>
        </w:trPr>
        <w:tc>
          <w:tcPr>
            <w:tcW w:w="1800" w:type="dxa"/>
            <w:tcMar>
              <w:top w:w="65" w:type="dxa"/>
              <w:left w:w="95" w:type="dxa"/>
              <w:bottom w:w="65" w:type="dxa"/>
              <w:right w:w="95" w:type="dxa"/>
            </w:tcMar>
            <w:vAlign w:val="center"/>
          </w:tcPr>
          <w:p w14:paraId="1E88454A" w14:textId="77777777" w:rsidR="00BC3589" w:rsidRDefault="0080647A">
            <w:pPr>
              <w:pStyle w:val="TableText"/>
            </w:pPr>
            <w:r>
              <w:rPr>
                <w:b/>
              </w:rPr>
              <w:t>Low / High colors; Inter-module Color</w:t>
            </w:r>
          </w:p>
        </w:tc>
        <w:tc>
          <w:tcPr>
            <w:tcW w:w="2952" w:type="dxa"/>
            <w:tcMar>
              <w:top w:w="65" w:type="dxa"/>
              <w:left w:w="95" w:type="dxa"/>
              <w:bottom w:w="65" w:type="dxa"/>
              <w:right w:w="95" w:type="dxa"/>
            </w:tcMar>
            <w:vAlign w:val="center"/>
          </w:tcPr>
          <w:p w14:paraId="6CD6D7AF" w14:textId="77777777" w:rsidR="00BC3589" w:rsidRDefault="0080647A">
            <w:pPr>
              <w:pStyle w:val="TableText"/>
            </w:pPr>
            <w:r>
              <w:t xml:space="preserve">gray </w:t>
            </w:r>
            <w:r>
              <w:rPr>
                <w:rFonts w:ascii="Consolas" w:hAnsi="Consolas"/>
                <w:sz w:val="18"/>
              </w:rPr>
              <w:t>[.38 .38 .38]</w:t>
            </w:r>
            <w:r>
              <w:t xml:space="preserve"> / </w:t>
            </w:r>
            <w:r>
              <w:rPr>
                <w:rFonts w:ascii="Consolas" w:hAnsi="Consolas"/>
                <w:sz w:val="18"/>
              </w:rPr>
              <w:t>[1 .9 .73]</w:t>
            </w:r>
            <w:r>
              <w:t xml:space="preserve">; gray </w:t>
            </w:r>
            <w:r>
              <w:rPr>
                <w:rFonts w:ascii="Consolas" w:hAnsi="Consolas"/>
                <w:sz w:val="18"/>
              </w:rPr>
              <w:t>[.5 .5 .5]</w:t>
            </w:r>
          </w:p>
        </w:tc>
        <w:tc>
          <w:tcPr>
            <w:tcW w:w="4925" w:type="dxa"/>
            <w:tcMar>
              <w:top w:w="65" w:type="dxa"/>
              <w:left w:w="95" w:type="dxa"/>
              <w:bottom w:w="65" w:type="dxa"/>
              <w:right w:w="95" w:type="dxa"/>
            </w:tcMar>
            <w:vAlign w:val="center"/>
          </w:tcPr>
          <w:p w14:paraId="091D506F" w14:textId="77777777" w:rsidR="00BC3589" w:rsidRDefault="0080647A">
            <w:pPr>
              <w:pStyle w:val="TableText"/>
            </w:pPr>
            <w:r>
              <w:t>Low/High are used for Threshold</w:t>
            </w:r>
            <w:r>
              <w:t xml:space="preserve"> or Length (buttons become Short/Long). Node Module uses the Nodes module palette for same-module edges and Inter-module Color for different modules. Select Nodes → Modules to make visible node colors match.</w:t>
            </w:r>
          </w:p>
        </w:tc>
      </w:tr>
      <w:tr w:rsidR="00BC3589" w14:paraId="1D7D4408" w14:textId="77777777">
        <w:trPr>
          <w:cantSplit/>
        </w:trPr>
        <w:tc>
          <w:tcPr>
            <w:tcW w:w="1800" w:type="dxa"/>
            <w:tcMar>
              <w:top w:w="65" w:type="dxa"/>
              <w:left w:w="95" w:type="dxa"/>
              <w:bottom w:w="65" w:type="dxa"/>
              <w:right w:w="95" w:type="dxa"/>
            </w:tcMar>
            <w:vAlign w:val="center"/>
          </w:tcPr>
          <w:p w14:paraId="4CFAEA55" w14:textId="77777777" w:rsidR="00BC3589" w:rsidRDefault="0080647A">
            <w:pPr>
              <w:pStyle w:val="TableText"/>
            </w:pPr>
            <w:r>
              <w:rPr>
                <w:b/>
              </w:rPr>
              <w:t>Load Colors... / Bind to Nodes</w:t>
            </w:r>
          </w:p>
        </w:tc>
        <w:tc>
          <w:tcPr>
            <w:tcW w:w="2952" w:type="dxa"/>
            <w:tcMar>
              <w:top w:w="65" w:type="dxa"/>
              <w:left w:w="95" w:type="dxa"/>
              <w:bottom w:w="65" w:type="dxa"/>
              <w:right w:w="95" w:type="dxa"/>
            </w:tcMar>
            <w:vAlign w:val="center"/>
          </w:tcPr>
          <w:p w14:paraId="50FC999E" w14:textId="77777777" w:rsidR="00BC3589" w:rsidRDefault="0080647A">
            <w:pPr>
              <w:pStyle w:val="TableText"/>
            </w:pPr>
            <w:r>
              <w:t>no matrix</w:t>
            </w:r>
          </w:p>
        </w:tc>
        <w:tc>
          <w:tcPr>
            <w:tcW w:w="4925" w:type="dxa"/>
            <w:tcMar>
              <w:top w:w="65" w:type="dxa"/>
              <w:left w:w="95" w:type="dxa"/>
              <w:bottom w:w="65" w:type="dxa"/>
              <w:right w:w="95" w:type="dxa"/>
            </w:tcMar>
            <w:vAlign w:val="center"/>
          </w:tcPr>
          <w:p w14:paraId="059E1AF8" w14:textId="77777777" w:rsidR="00BC3589" w:rsidRDefault="0080647A">
            <w:pPr>
              <w:pStyle w:val="TableText"/>
            </w:pPr>
            <w:r>
              <w:t>Custom Matrix only. Confirm matrix dimensions and original node order; the binding cannot independently establish scientific correspondence.</w:t>
            </w:r>
          </w:p>
        </w:tc>
      </w:tr>
      <w:tr w:rsidR="00BC3589" w14:paraId="0D247412" w14:textId="77777777">
        <w:trPr>
          <w:cantSplit/>
        </w:trPr>
        <w:tc>
          <w:tcPr>
            <w:tcW w:w="1800" w:type="dxa"/>
            <w:tcMar>
              <w:top w:w="65" w:type="dxa"/>
              <w:left w:w="95" w:type="dxa"/>
              <w:bottom w:w="65" w:type="dxa"/>
              <w:right w:w="95" w:type="dxa"/>
            </w:tcMar>
            <w:vAlign w:val="center"/>
          </w:tcPr>
          <w:p w14:paraId="69A7B9A0" w14:textId="77777777" w:rsidR="00BC3589" w:rsidRDefault="0080647A">
            <w:pPr>
              <w:pStyle w:val="TableText"/>
            </w:pPr>
            <w:r>
              <w:rPr>
                <w:b/>
              </w:rPr>
              <w:t>Opacity Mode / Value / Range</w:t>
            </w:r>
          </w:p>
        </w:tc>
        <w:tc>
          <w:tcPr>
            <w:tcW w:w="2952" w:type="dxa"/>
            <w:tcMar>
              <w:top w:w="65" w:type="dxa"/>
              <w:left w:w="95" w:type="dxa"/>
              <w:bottom w:w="65" w:type="dxa"/>
              <w:right w:w="95" w:type="dxa"/>
            </w:tcMar>
            <w:vAlign w:val="center"/>
          </w:tcPr>
          <w:p w14:paraId="62891D58" w14:textId="77777777" w:rsidR="00BC3589" w:rsidRDefault="0080647A">
            <w:pPr>
              <w:pStyle w:val="TableText"/>
            </w:pPr>
            <w:r>
              <w:t xml:space="preserve">Uniform / 0.7 / </w:t>
            </w:r>
            <w:r>
              <w:rPr>
                <w:rFonts w:ascii="Consolas" w:hAnsi="Consolas"/>
                <w:sz w:val="18"/>
              </w:rPr>
              <w:t>[0.1 0.9]</w:t>
            </w:r>
          </w:p>
        </w:tc>
        <w:tc>
          <w:tcPr>
            <w:tcW w:w="4925" w:type="dxa"/>
            <w:tcMar>
              <w:top w:w="65" w:type="dxa"/>
              <w:left w:w="95" w:type="dxa"/>
              <w:bottom w:w="65" w:type="dxa"/>
              <w:right w:w="95" w:type="dxa"/>
            </w:tcMar>
            <w:vAlign w:val="center"/>
          </w:tcPr>
          <w:p w14:paraId="41379A3A" w14:textId="77777777" w:rsidR="00BC3589" w:rsidRDefault="0080647A">
            <w:pPr>
              <w:pStyle w:val="TableText"/>
            </w:pPr>
            <w:r>
              <w:t xml:space="preserve">Uniform uses one 0–1 opacity. Mapped maps selected weights </w:t>
            </w:r>
            <w:r>
              <w:t xml:space="preserve">to two </w:t>
            </w:r>
            <w:r>
              <w:rPr>
                <w:b/>
              </w:rPr>
              <w:t>output</w:t>
            </w:r>
            <w:r>
              <w:t xml:space="preserve"> opacity endpoints in [0,1]; constant weights use the upper endpoint. A transparent edge is not deselected.</w:t>
            </w:r>
          </w:p>
        </w:tc>
      </w:tr>
      <w:tr w:rsidR="00BC3589" w14:paraId="64DCC261" w14:textId="77777777">
        <w:trPr>
          <w:cantSplit/>
        </w:trPr>
        <w:tc>
          <w:tcPr>
            <w:tcW w:w="1800" w:type="dxa"/>
            <w:tcMar>
              <w:top w:w="65" w:type="dxa"/>
              <w:left w:w="95" w:type="dxa"/>
              <w:bottom w:w="65" w:type="dxa"/>
              <w:right w:w="95" w:type="dxa"/>
            </w:tcMar>
            <w:vAlign w:val="center"/>
          </w:tcPr>
          <w:p w14:paraId="4A859794" w14:textId="77777777" w:rsidR="00BC3589" w:rsidRDefault="0080647A">
            <w:pPr>
              <w:pStyle w:val="TableText"/>
            </w:pPr>
            <w:r>
              <w:rPr>
                <w:b/>
              </w:rPr>
              <w:t>Opacity Values</w:t>
            </w:r>
          </w:p>
        </w:tc>
        <w:tc>
          <w:tcPr>
            <w:tcW w:w="2952" w:type="dxa"/>
            <w:tcMar>
              <w:top w:w="65" w:type="dxa"/>
              <w:left w:w="95" w:type="dxa"/>
              <w:bottom w:w="65" w:type="dxa"/>
              <w:right w:w="95" w:type="dxa"/>
            </w:tcMar>
            <w:vAlign w:val="center"/>
          </w:tcPr>
          <w:p w14:paraId="0214D5B9" w14:textId="77777777" w:rsidR="00BC3589" w:rsidRDefault="0080647A">
            <w:pPr>
              <w:pStyle w:val="TableText"/>
            </w:pPr>
            <w:r>
              <w:t>Absolute</w:t>
            </w:r>
          </w:p>
        </w:tc>
        <w:tc>
          <w:tcPr>
            <w:tcW w:w="4925" w:type="dxa"/>
            <w:tcMar>
              <w:top w:w="65" w:type="dxa"/>
              <w:left w:w="95" w:type="dxa"/>
              <w:bottom w:w="65" w:type="dxa"/>
              <w:right w:w="95" w:type="dxa"/>
            </w:tcMar>
            <w:vAlign w:val="center"/>
          </w:tcPr>
          <w:p w14:paraId="7457BC39" w14:textId="77777777" w:rsidR="00BC3589" w:rsidRDefault="0080647A">
            <w:pPr>
              <w:pStyle w:val="TableText"/>
            </w:pPr>
            <w:r>
              <w:t>Signed/Absolute for Mapped opacity only, independent of selection, size and color.</w:t>
            </w:r>
          </w:p>
        </w:tc>
      </w:tr>
    </w:tbl>
    <w:p w14:paraId="0419F4C2" w14:textId="77777777" w:rsidR="00BC3589" w:rsidRDefault="0080647A">
      <w:pPr>
        <w:spacing w:after="0"/>
      </w:pPr>
      <w:r>
        <w:rPr>
          <w:sz w:val="6"/>
        </w:rPr>
        <w:t xml:space="preserve"> </w:t>
      </w:r>
    </w:p>
    <w:p w14:paraId="72CF7111" w14:textId="77777777" w:rsidR="00BC3589" w:rsidRDefault="0080647A">
      <w:r>
        <w:t xml:space="preserve">The Node Module palette is derived from the Nodes colormap; the Edges colormap selector does not override it. In MATLAB, this mode supports at most 20 distinct modules and rejects excess categories rather than recycling colors. Custom Matrix colors require explicit binding and file-format review. Color threshold/length endpoints are detailed in Edge Colors; mapped opacity in Edge Opacity. Changing a visual option does not rewrite the .edge file or establish registration.</w:t>
      </w:r>
      <w:r>
        <w:rPr>
          <w:b/>
        </w:rPr>
        <w:t/>
      </w:r>
      <w:r>
        <w:t xml:space="preserve"/>
      </w:r>
      <w:r>
        <w:t xml:space="preserve"/>
      </w:r>
      <w:r>
        <w:rPr>
          <w:rFonts w:ascii="Consolas" w:hAnsi="Consolas"/>
          <w:sz w:val="18"/>
        </w:rPr>
        <w:t/>
      </w:r>
      <w:r>
        <w:t xml:space="preserve"/>
      </w:r>
    </w:p>
    <w:p w14:paraId="1B319B07" w14:textId="77777777" w:rsidR="00BC3589" w:rsidRDefault="0080647A">
      <w:r>
        <w:t xml:space="preserve">Before publishing, check dense or directed networks at the intended export size; an edge that is selected may still be hard to see because of its radius, opacity or overlap. Graphics backends need not produce identical pixels.</w:t>
      </w:r>
      <w:r>
        <w:t/>
      </w:r>
    </w:p>
    <w:p w14:paraId="59152D24" w14:textId="77777777" w:rsidR="00BC3589" w:rsidRDefault="0080647A">
      <w:pPr>
        <w:pStyle w:val="Heading1"/>
        <w:pageBreakBefore/>
      </w:pPr>
      <w:bookmarkStart w:id="10" w:name="bnv_chapter_10"/>
      <w:r>
        <w:lastRenderedPageBreak/>
        <w:t xml:space="preserve">10 Volume mapping and statistics</w:t>
      </w:r>
      <w:bookmarkEnd w:id="10"/>
    </w:p>
    <w:p w14:paraId="1C719080" w14:textId="77777777" w:rsidR="00BC3589" w:rsidRDefault="0080647A">
      <w:r>
        <w:t xml:space="preserve">Use </w:t>
      </w:r>
      <w:r>
        <w:rPr>
          <w:b/>
        </w:rPr>
        <w:t>Visualization Settings → Volume</w:t>
      </w:r>
      <w:r>
        <w:t xml:space="preserve"> to</w:t>
      </w:r>
      <w:r>
        <w:t xml:space="preserve"> map a 3-D NIfTI onto a surface. A readable NIfTI is not automatically aligned with a separately loaded surface. Mapping transforms surface coordinates by the volume affine to sample voxels; it does </w:t>
      </w:r>
      <w:r>
        <w:rPr>
          <w:b/>
        </w:rPr>
        <w:t>not</w:t>
      </w:r>
      <w:r>
        <w:t xml:space="preserve"> perform image registration. Verify the surface/volume</w:t>
      </w:r>
      <w:r>
        <w:t xml:space="preserve"> coordinate spaces and units before interpreting locations. </w:t>
      </w:r>
      <w:r>
        <w:rPr>
          <w:b/>
        </w:rPr>
        <w:t>Apply</w:t>
      </w:r>
      <w:r>
        <w:t xml:space="preserve"> commits settings and renders; </w:t>
      </w:r>
      <w:r>
        <w:rPr>
          <w:b/>
        </w:rPr>
        <w:t>Revert</w:t>
      </w:r>
      <w:r>
        <w:t xml:space="preserve"> discards pending changes.</w:t>
      </w:r>
    </w:p>
    <w:p w14:paraId="4BC150D9" w14:textId="77777777" w:rsidR="00BC3589" w:rsidRDefault="0080647A">
      <w:r>
        <w:t xml:space="preserve">In the Volume panel, </w:t>
      </w:r>
      <w:r>
        <w:rPr>
          <w:b/>
        </w:rPr>
        <w:t>Threshold Mode</w:t>
      </w:r>
      <w:r>
        <w:t xml:space="preserve">, </w:t>
      </w:r>
      <w:r>
        <w:rPr>
          <w:b/>
        </w:rPr>
        <w:t>Statistical Threshold</w:t>
      </w:r>
      <w:r>
        <w:t xml:space="preserve">, </w:t>
      </w:r>
      <w:r>
        <w:rPr>
          <w:b/>
        </w:rPr>
        <w:t>P Value</w:t>
      </w:r>
      <w:r>
        <w:t xml:space="preserve">, </w:t>
      </w:r>
      <w:r>
        <w:rPr>
          <w:b/>
        </w:rPr>
        <w:t>Cluster Size</w:t>
      </w:r>
      <w:r>
        <w:t xml:space="preserve"> and </w:t>
      </w:r>
      <w:r>
        <w:rPr>
          <w:b/>
        </w:rPr>
        <w:t>Voxel Connectivity</w:t>
      </w:r>
      <w:r>
        <w:t xml:space="preserve"> appear above the </w:t>
      </w:r>
      <w:r>
        <w:rPr>
          <w:b/>
        </w:rPr>
        <w:t>Surfa</w:t>
      </w:r>
      <w:r>
        <w:rPr>
          <w:b/>
        </w:rPr>
        <w:t>ce Mapping</w:t>
      </w:r>
      <w:r>
        <w:t xml:space="preserve"> section because they also govern statistical ROIs. Controls enable according to Volume Type and Threshold Mode; ROI P Value uses Cluster Size, while Surface Map P Value does not.</w:t>
      </w:r>
    </w:p>
    <w:p w14:paraId="52476036" w14:textId="77777777" w:rsidR="00BC3589" w:rsidRDefault="0080647A">
      <w:pPr>
        <w:keepNext/>
        <w:spacing w:before="180" w:after="60"/>
        <w:jc w:val="center"/>
      </w:pPr>
      <w:r>
        <w:rPr>
          <w:noProof/>
        </w:rPr>
        <w:drawing>
          <wp:inline distT="0" distB="0" distL="0" distR="0" wp14:anchorId="24E193F8" wp14:editId="7CF64F0E">
            <wp:extent cx="5989320" cy="3744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olume-p-value-full-window.png"/>
                    <pic:cNvPicPr/>
                  </pic:nvPicPr>
                  <pic:blipFill>
                    <a:blip r:embed="rId22"/>
                    <a:stretch>
                      <a:fillRect/>
                    </a:stretch>
                  </pic:blipFill>
                  <pic:spPr>
                    <a:xfrm>
                      <a:off x="0" y="0"/>
                      <a:ext cx="5989320" cy="3744333"/>
                    </a:xfrm>
                    <a:prstGeom prst="rect">
                      <a:avLst/>
                    </a:prstGeom>
                  </pic:spPr>
                </pic:pic>
              </a:graphicData>
            </a:graphic>
          </wp:inline>
        </w:drawing>
      </w:r>
    </w:p>
    <w:p w14:paraId="1742C71E" w14:textId="77777777" w:rsidR="00BC3589" w:rsidRDefault="0080647A">
      <w:pPr>
        <w:pStyle w:val="FigureCaption"/>
        <w:jc w:val="center"/>
      </w:pPr>
      <w:r>
        <w:t xml:space="preserve">Figure 14. A signed statistical map displayed on four surface views with the P-value controls visible. MATLAB illustration.</w:t>
      </w:r>
      <w:r>
        <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E96292B" w14:textId="77777777">
        <w:trPr>
          <w:tblHeader/>
        </w:trPr>
        <w:tc>
          <w:tcPr>
            <w:tcW w:w="1800" w:type="dxa"/>
            <w:shd w:val="clear" w:color="auto" w:fill="E8EDF3"/>
            <w:tcMar>
              <w:top w:w="65" w:type="dxa"/>
              <w:left w:w="95" w:type="dxa"/>
              <w:bottom w:w="65" w:type="dxa"/>
              <w:right w:w="95" w:type="dxa"/>
            </w:tcMar>
            <w:vAlign w:val="center"/>
          </w:tcPr>
          <w:p w14:paraId="77DD990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0B444DD4"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66A7EFA" w14:textId="77777777" w:rsidR="00BC3589" w:rsidRDefault="0080647A">
            <w:pPr>
              <w:pStyle w:val="TableText"/>
            </w:pPr>
            <w:r>
              <w:rPr>
                <w:b/>
              </w:rPr>
              <w:t>Current rule</w:t>
            </w:r>
          </w:p>
        </w:tc>
      </w:tr>
      <w:tr w:rsidR="00BC3589" w14:paraId="12CA99E4" w14:textId="77777777">
        <w:trPr>
          <w:cantSplit/>
        </w:trPr>
        <w:tc>
          <w:tcPr>
            <w:tcW w:w="1800" w:type="dxa"/>
            <w:tcMar>
              <w:top w:w="65" w:type="dxa"/>
              <w:left w:w="95" w:type="dxa"/>
              <w:bottom w:w="65" w:type="dxa"/>
              <w:right w:w="95" w:type="dxa"/>
            </w:tcMar>
            <w:vAlign w:val="center"/>
          </w:tcPr>
          <w:p w14:paraId="71B6231F" w14:textId="77777777" w:rsidR="00BC3589" w:rsidRDefault="0080647A">
            <w:pPr>
              <w:pStyle w:val="TableText"/>
            </w:pPr>
            <w:r>
              <w:rPr>
                <w:b/>
              </w:rPr>
              <w:t>Display Volume</w:t>
            </w:r>
          </w:p>
        </w:tc>
        <w:tc>
          <w:tcPr>
            <w:tcW w:w="2952" w:type="dxa"/>
            <w:tcMar>
              <w:top w:w="65" w:type="dxa"/>
              <w:left w:w="95" w:type="dxa"/>
              <w:bottom w:w="65" w:type="dxa"/>
              <w:right w:w="95" w:type="dxa"/>
            </w:tcMar>
            <w:vAlign w:val="center"/>
          </w:tcPr>
          <w:p w14:paraId="736E478E" w14:textId="77777777" w:rsidR="00BC3589" w:rsidRDefault="0080647A">
            <w:pPr>
              <w:pStyle w:val="TableText"/>
            </w:pPr>
            <w:r>
              <w:t>off</w:t>
            </w:r>
          </w:p>
        </w:tc>
        <w:tc>
          <w:tcPr>
            <w:tcW w:w="4925" w:type="dxa"/>
            <w:tcMar>
              <w:top w:w="65" w:type="dxa"/>
              <w:left w:w="95" w:type="dxa"/>
              <w:bottom w:w="65" w:type="dxa"/>
              <w:right w:w="95" w:type="dxa"/>
            </w:tcMar>
            <w:vAlign w:val="center"/>
          </w:tcPr>
          <w:p w14:paraId="68BC16FB" w14:textId="77777777" w:rsidR="00BC3589" w:rsidRDefault="0080647A">
            <w:pPr>
              <w:pStyle w:val="TableText"/>
            </w:pPr>
            <w:r>
              <w:t>Enables the chosen Volume Type. A newly loaded file does not by itself establish scientific suitability.</w:t>
            </w:r>
          </w:p>
        </w:tc>
      </w:tr>
      <w:tr w:rsidR="00BC3589" w14:paraId="5D9137AE" w14:textId="77777777">
        <w:trPr>
          <w:cantSplit/>
        </w:trPr>
        <w:tc>
          <w:tcPr>
            <w:tcW w:w="1800" w:type="dxa"/>
            <w:tcMar>
              <w:top w:w="65" w:type="dxa"/>
              <w:left w:w="95" w:type="dxa"/>
              <w:bottom w:w="65" w:type="dxa"/>
              <w:right w:w="95" w:type="dxa"/>
            </w:tcMar>
            <w:vAlign w:val="center"/>
          </w:tcPr>
          <w:p w14:paraId="017E793A" w14:textId="77777777" w:rsidR="00BC3589" w:rsidRDefault="0080647A">
            <w:pPr>
              <w:pStyle w:val="TableText"/>
            </w:pPr>
            <w:r>
              <w:rPr>
                <w:b/>
              </w:rPr>
              <w:t>Volume Type</w:t>
            </w:r>
          </w:p>
        </w:tc>
        <w:tc>
          <w:tcPr>
            <w:tcW w:w="2952" w:type="dxa"/>
            <w:tcMar>
              <w:top w:w="65" w:type="dxa"/>
              <w:left w:w="95" w:type="dxa"/>
              <w:bottom w:w="65" w:type="dxa"/>
              <w:right w:w="95" w:type="dxa"/>
            </w:tcMar>
            <w:vAlign w:val="center"/>
          </w:tcPr>
          <w:p w14:paraId="6BFD5ECA" w14:textId="77777777" w:rsidR="00BC3589" w:rsidRDefault="0080647A">
            <w:pPr>
              <w:pStyle w:val="TableText"/>
            </w:pPr>
            <w:r>
              <w:t>Surface Map</w:t>
            </w:r>
          </w:p>
        </w:tc>
        <w:tc>
          <w:tcPr>
            <w:tcW w:w="4925" w:type="dxa"/>
            <w:tcMar>
              <w:top w:w="65" w:type="dxa"/>
              <w:left w:w="95" w:type="dxa"/>
              <w:bottom w:w="65" w:type="dxa"/>
              <w:right w:w="95" w:type="dxa"/>
            </w:tcMar>
            <w:vAlign w:val="center"/>
          </w:tcPr>
          <w:p w14:paraId="722A587A" w14:textId="77777777" w:rsidR="00BC3589" w:rsidRDefault="0080647A">
            <w:pPr>
              <w:pStyle w:val="TableText"/>
            </w:pPr>
            <w:r>
              <w:t xml:space="preserve">Surface Map maps a 3-D volume onto a loaded surface; </w:t>
            </w:r>
            <w:r>
              <w:rPr>
                <w:b/>
              </w:rPr>
              <w:t>ROIs (Atlas / Statistical)</w:t>
            </w:r>
            <w:r>
              <w:t xml:space="preserve"> extracts labelled meshes and uses the Chapter 11 controls.</w:t>
            </w:r>
          </w:p>
        </w:tc>
      </w:tr>
      <w:tr w:rsidR="00BC3589" w14:paraId="4DC8F0D5" w14:textId="77777777">
        <w:trPr>
          <w:cantSplit/>
        </w:trPr>
        <w:tc>
          <w:tcPr>
            <w:tcW w:w="1800" w:type="dxa"/>
            <w:tcMar>
              <w:top w:w="65" w:type="dxa"/>
              <w:left w:w="95" w:type="dxa"/>
              <w:bottom w:w="65" w:type="dxa"/>
              <w:right w:w="95" w:type="dxa"/>
            </w:tcMar>
            <w:vAlign w:val="center"/>
          </w:tcPr>
          <w:p w14:paraId="2711F5B0" w14:textId="77777777" w:rsidR="00BC3589" w:rsidRDefault="0080647A">
            <w:pPr>
              <w:pStyle w:val="TableText"/>
            </w:pPr>
            <w:r>
              <w:rPr>
                <w:b/>
              </w:rPr>
              <w:t>Mapping Algorithm</w:t>
            </w:r>
          </w:p>
        </w:tc>
        <w:tc>
          <w:tcPr>
            <w:tcW w:w="2952" w:type="dxa"/>
            <w:tcMar>
              <w:top w:w="65" w:type="dxa"/>
              <w:left w:w="95" w:type="dxa"/>
              <w:bottom w:w="65" w:type="dxa"/>
              <w:right w:w="95" w:type="dxa"/>
            </w:tcMar>
            <w:vAlign w:val="center"/>
          </w:tcPr>
          <w:p w14:paraId="770B34DB" w14:textId="77777777" w:rsidR="00BC3589" w:rsidRDefault="0080647A">
            <w:pPr>
              <w:pStyle w:val="TableText"/>
            </w:pPr>
            <w:r>
              <w:t>2</w:t>
            </w:r>
          </w:p>
        </w:tc>
        <w:tc>
          <w:tcPr>
            <w:tcW w:w="4925" w:type="dxa"/>
            <w:tcMar>
              <w:top w:w="65" w:type="dxa"/>
              <w:left w:w="95" w:type="dxa"/>
              <w:bottom w:w="65" w:type="dxa"/>
              <w:right w:w="95" w:type="dxa"/>
            </w:tcMar>
            <w:vAlign w:val="center"/>
          </w:tcPr>
          <w:p w14:paraId="03F7A030" w14:textId="77777777" w:rsidR="00BC3589" w:rsidRDefault="0080647A">
            <w:pPr>
              <w:pStyle w:val="TableText"/>
            </w:pPr>
            <w:r>
              <w:t>Used for Surface Map only. The eight algorithms below have different numerical meanings, not a s</w:t>
            </w:r>
            <w:r>
              <w:t>imple low/high-quality order.</w:t>
            </w:r>
          </w:p>
        </w:tc>
      </w:tr>
      <w:tr w:rsidR="00BC3589" w14:paraId="144A00D9" w14:textId="77777777">
        <w:trPr>
          <w:cantSplit/>
        </w:trPr>
        <w:tc>
          <w:tcPr>
            <w:tcW w:w="1800" w:type="dxa"/>
            <w:tcMar>
              <w:top w:w="65" w:type="dxa"/>
              <w:left w:w="95" w:type="dxa"/>
              <w:bottom w:w="65" w:type="dxa"/>
              <w:right w:w="95" w:type="dxa"/>
            </w:tcMar>
            <w:vAlign w:val="center"/>
          </w:tcPr>
          <w:p w14:paraId="30CBF957"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1C294FE8" w14:textId="77777777" w:rsidR="00BC3589" w:rsidRDefault="0080647A">
            <w:pPr>
              <w:pStyle w:val="TableText"/>
            </w:pPr>
            <w:r>
              <w:t>None</w:t>
            </w:r>
          </w:p>
        </w:tc>
        <w:tc>
          <w:tcPr>
            <w:tcW w:w="4925" w:type="dxa"/>
            <w:tcMar>
              <w:top w:w="65" w:type="dxa"/>
              <w:left w:w="95" w:type="dxa"/>
              <w:bottom w:w="65" w:type="dxa"/>
              <w:right w:w="95" w:type="dxa"/>
            </w:tcMar>
            <w:vAlign w:val="center"/>
          </w:tcPr>
          <w:p w14:paraId="77EB2DD3" w14:textId="77777777" w:rsidR="00BC3589" w:rsidRDefault="0080647A">
            <w:pPr>
              <w:pStyle w:val="TableText"/>
            </w:pPr>
            <w:r>
              <w:t xml:space="preserve">None keeps values; Value keeps finite values with </w:t>
            </w:r>
            <w:r>
              <w:rPr>
                <w:rFonts w:ascii="Consolas" w:hAnsi="Consolas"/>
                <w:sz w:val="18"/>
              </w:rPr>
              <w:t>abs(value) &gt;= abs(Statistical Threshold)</w:t>
            </w:r>
            <w:r>
              <w:t>; Cluster adds a minimum connected-component size. P Value converts supported NIfTI statistical metadata into a vox</w:t>
            </w:r>
            <w:r>
              <w:t>elwise cutoff. In ROI mode it also applies Cluster Size; see Chapter 11.</w:t>
            </w:r>
          </w:p>
        </w:tc>
      </w:tr>
      <w:tr w:rsidR="00BC3589" w14:paraId="0307C9B8" w14:textId="77777777">
        <w:trPr>
          <w:cantSplit/>
        </w:trPr>
        <w:tc>
          <w:tcPr>
            <w:tcW w:w="1800" w:type="dxa"/>
            <w:tcMar>
              <w:top w:w="65" w:type="dxa"/>
              <w:left w:w="95" w:type="dxa"/>
              <w:bottom w:w="65" w:type="dxa"/>
              <w:right w:w="95" w:type="dxa"/>
            </w:tcMar>
            <w:vAlign w:val="center"/>
          </w:tcPr>
          <w:p w14:paraId="760F4EC9" w14:textId="77777777" w:rsidR="00BC3589" w:rsidRDefault="0080647A">
            <w:pPr>
              <w:pStyle w:val="TableText"/>
            </w:pPr>
            <w:r>
              <w:rPr>
                <w:b/>
              </w:rPr>
              <w:lastRenderedPageBreak/>
              <w:t>Statistical Threshold / P Value / Cluster Size / Voxel Connectivity</w:t>
            </w:r>
          </w:p>
        </w:tc>
        <w:tc>
          <w:tcPr>
            <w:tcW w:w="2952" w:type="dxa"/>
            <w:tcMar>
              <w:top w:w="65" w:type="dxa"/>
              <w:left w:w="95" w:type="dxa"/>
              <w:bottom w:w="65" w:type="dxa"/>
              <w:right w:w="95" w:type="dxa"/>
            </w:tcMar>
            <w:vAlign w:val="center"/>
          </w:tcPr>
          <w:p w14:paraId="444E5993"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0CCF2D41" w14:textId="77777777" w:rsidR="00BC3589" w:rsidRDefault="0080647A">
            <w:pPr>
              <w:pStyle w:val="TableText"/>
            </w:pPr>
            <w:r>
              <w:t>Value and Cluster use the numeric threshold; Cluster also uses voxel count and 6/18/26</w:t>
            </w:r>
            <w:r>
              <w:t xml:space="preserve"> connectivity. P Value requires </w:t>
            </w:r>
            <w:r>
              <w:rPr>
                <w:rFonts w:ascii="Consolas" w:hAnsi="Consolas"/>
                <w:sz w:val="18"/>
              </w:rPr>
              <w:t>0 &lt; P &lt; 1</w:t>
            </w:r>
            <w:r>
              <w:t xml:space="preserve"> and valid statistic metadata. The original volume is not rewritten.</w:t>
            </w:r>
          </w:p>
        </w:tc>
      </w:tr>
    </w:tbl>
    <w:p w14:paraId="5CD246AC" w14:textId="77777777" w:rsidR="00BC3589" w:rsidRDefault="0080647A">
      <w:pPr>
        <w:spacing w:after="0"/>
      </w:pPr>
      <w:r>
        <w:rPr>
          <w:sz w:val="6"/>
        </w:rPr>
        <w:t xml:space="preserve"> </w:t>
      </w:r>
    </w:p>
    <w:p w14:paraId="09EE227C" w14:textId="77777777" w:rsidR="00BC3589" w:rsidRDefault="0080647A">
      <w:r>
        <w:t xml:space="preserve">For Value/Cluster, zero is background, nonfinite voxels are excluded, equality at the absolute-value threshold is retained, and Cluster removes components </w:t>
      </w:r>
      <w:r>
        <w:rPr>
          <w:b/>
        </w:rPr>
        <w:t>smaller</w:t>
      </w:r>
      <w:r>
        <w:t xml:space="preserve"> than Cluster Size. The 6/18/26 selection defines statistical connectivity; it is not the sepa</w:t>
      </w:r>
      <w:r>
        <w:t>rate 26-connected safety check used in ROI smoothing. Cluster filtering can change the values available for later mapping and the resulting color range. See statistical ROI rules.</w:t>
      </w:r>
    </w:p>
    <w:p w14:paraId="0FADAC0B" w14:textId="77777777" w:rsidR="00BC3589" w:rsidRDefault="0080647A">
      <w:r>
        <w:t>For P Value, the reader uses the NIfTI description from SPM, REST or DPABI (</w:t>
      </w:r>
      <w:r>
        <w:rPr>
          <w:rFonts w:ascii="Consolas" w:hAnsi="Consolas"/>
          <w:sz w:val="18"/>
        </w:rPr>
        <w:t>SPM{T_[20]}</w:t>
      </w:r>
      <w:r>
        <w:t xml:space="preserve">, </w:t>
      </w:r>
      <w:r>
        <w:rPr>
          <w:rFonts w:ascii="Consolas" w:hAnsi="Consolas"/>
          <w:sz w:val="18"/>
        </w:rPr>
        <w:t>REST{F_[3,20]}</w:t>
      </w:r>
      <w:r>
        <w:t xml:space="preserve">, </w:t>
      </w:r>
      <w:r>
        <w:rPr>
          <w:rFonts w:ascii="Consolas" w:hAnsi="Consolas"/>
          <w:sz w:val="18"/>
        </w:rPr>
        <w:t>DPABI{R_[20]}</w:t>
      </w:r>
      <w:r>
        <w:t xml:space="preserve">, or a Z token); a standard NIfTI CORREL/TTEST/FTEST/ZSCORE intent and its parameters are a fallback. Missing or invalid degrees of freedom cause an error, never a silent numeric-threshold fallback. T, R and Z use </w:t>
      </w:r>
      <w:r>
        <w:rPr>
          <w:b/>
        </w:rPr>
        <w:t>two-sided</w:t>
      </w:r>
      <w:r>
        <w:t xml:space="preserve"> uncorrected P; F uses the </w:t>
      </w:r>
      <w:r>
        <w:rPr>
          <w:b/>
        </w:rPr>
        <w:t>upper tail</w:t>
      </w:r>
      <w:r>
        <w:t xml:space="preserve"> and excludes negative F values. The resulting statistic cutoff, degrees of freedom, tail and metadata source are recorded in render preparation/provenance. P filtering occurs </w:t>
      </w:r>
      <w:r>
        <w:rPr>
          <w:b/>
        </w:rPr>
        <w:t>before</w:t>
      </w:r>
      <w:r>
        <w:t xml:space="preserve"> mapping; interpolation or n</w:t>
      </w:r>
      <w:r>
        <w:t>eighborhood smoothing can subsequently change vertex values, so a displayed vertex value is not itself a voxelwise P-value test. There is no family-wise/FDR correction or spatial registration.</w:t>
      </w:r>
    </w:p>
    <w:p w14:paraId="14ADCFEE" w14:textId="77777777" w:rsidR="00BC3589" w:rsidRDefault="0080647A">
      <w:pPr>
        <w:pStyle w:val="Heading2"/>
      </w:pPr>
      <w:r>
        <w:t>Mapping algorithm (Surface Map)</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704C009" w14:textId="77777777">
        <w:trPr>
          <w:tblHeader/>
        </w:trPr>
        <w:tc>
          <w:tcPr>
            <w:tcW w:w="4910" w:type="dxa"/>
            <w:shd w:val="clear" w:color="auto" w:fill="E8EDF3"/>
            <w:tcMar>
              <w:top w:w="65" w:type="dxa"/>
              <w:left w:w="95" w:type="dxa"/>
              <w:bottom w:w="65" w:type="dxa"/>
              <w:right w:w="95" w:type="dxa"/>
            </w:tcMar>
            <w:vAlign w:val="center"/>
          </w:tcPr>
          <w:p w14:paraId="6B0E9E32" w14:textId="77777777" w:rsidR="00BC3589" w:rsidRDefault="0080647A">
            <w:pPr>
              <w:pStyle w:val="TableText"/>
            </w:pPr>
            <w:r>
              <w:rPr>
                <w:b/>
              </w:rPr>
              <w:t>No. / menu label</w:t>
            </w:r>
          </w:p>
        </w:tc>
        <w:tc>
          <w:tcPr>
            <w:tcW w:w="4910" w:type="dxa"/>
            <w:shd w:val="clear" w:color="auto" w:fill="E8EDF3"/>
            <w:tcMar>
              <w:top w:w="65" w:type="dxa"/>
              <w:left w:w="95" w:type="dxa"/>
              <w:bottom w:w="65" w:type="dxa"/>
              <w:right w:w="95" w:type="dxa"/>
            </w:tcMar>
            <w:vAlign w:val="center"/>
          </w:tcPr>
          <w:p w14:paraId="2AD7E1F8" w14:textId="77777777" w:rsidR="00BC3589" w:rsidRDefault="0080647A">
            <w:pPr>
              <w:pStyle w:val="TableText"/>
            </w:pPr>
            <w:r>
              <w:rPr>
                <w:b/>
              </w:rPr>
              <w:t>Calculation an</w:t>
            </w:r>
            <w:r>
              <w:rPr>
                <w:b/>
              </w:rPr>
              <w:t>d boundary caution</w:t>
            </w:r>
          </w:p>
        </w:tc>
      </w:tr>
      <w:tr w:rsidR="00BC3589" w14:paraId="3168F5D6" w14:textId="77777777">
        <w:trPr>
          <w:cantSplit/>
        </w:trPr>
        <w:tc>
          <w:tcPr>
            <w:tcW w:w="4910" w:type="dxa"/>
            <w:tcMar>
              <w:top w:w="65" w:type="dxa"/>
              <w:left w:w="95" w:type="dxa"/>
              <w:bottom w:w="65" w:type="dxa"/>
              <w:right w:w="95" w:type="dxa"/>
            </w:tcMar>
            <w:vAlign w:val="center"/>
          </w:tcPr>
          <w:p w14:paraId="4C47E40C" w14:textId="77777777" w:rsidR="00BC3589" w:rsidRDefault="0080647A">
            <w:pPr>
              <w:pStyle w:val="TableText"/>
            </w:pPr>
            <w:r>
              <w:rPr>
                <w:b/>
              </w:rPr>
              <w:t>1 · Nearest Voxel</w:t>
            </w:r>
          </w:p>
        </w:tc>
        <w:tc>
          <w:tcPr>
            <w:tcW w:w="4910" w:type="dxa"/>
            <w:tcMar>
              <w:top w:w="65" w:type="dxa"/>
              <w:left w:w="95" w:type="dxa"/>
              <w:bottom w:w="65" w:type="dxa"/>
              <w:right w:w="95" w:type="dxa"/>
            </w:tcMar>
            <w:vAlign w:val="center"/>
          </w:tcPr>
          <w:p w14:paraId="7D0484D6" w14:textId="77777777" w:rsidR="00BC3589" w:rsidRDefault="0080647A">
            <w:pPr>
              <w:pStyle w:val="TableText"/>
            </w:pPr>
            <w:r>
              <w:t>Round the transformed surface position and sample that voxel. Invalid/out-of-volume positions receive zero.</w:t>
            </w:r>
          </w:p>
        </w:tc>
      </w:tr>
      <w:tr w:rsidR="00BC3589" w14:paraId="533E0DBB" w14:textId="77777777">
        <w:trPr>
          <w:cantSplit/>
        </w:trPr>
        <w:tc>
          <w:tcPr>
            <w:tcW w:w="4910" w:type="dxa"/>
            <w:tcMar>
              <w:top w:w="65" w:type="dxa"/>
              <w:left w:w="95" w:type="dxa"/>
              <w:bottom w:w="65" w:type="dxa"/>
              <w:right w:w="95" w:type="dxa"/>
            </w:tcMar>
            <w:vAlign w:val="center"/>
          </w:tcPr>
          <w:p w14:paraId="22ABE265" w14:textId="77777777" w:rsidR="00BC3589" w:rsidRDefault="0080647A">
            <w:pPr>
              <w:pStyle w:val="TableText"/>
            </w:pPr>
            <w:r>
              <w:rPr>
                <w:b/>
              </w:rPr>
              <w:t>2 · Average Surface Neighbors</w:t>
            </w:r>
          </w:p>
        </w:tc>
        <w:tc>
          <w:tcPr>
            <w:tcW w:w="4910" w:type="dxa"/>
            <w:tcMar>
              <w:top w:w="65" w:type="dxa"/>
              <w:left w:w="95" w:type="dxa"/>
              <w:bottom w:w="65" w:type="dxa"/>
              <w:right w:w="95" w:type="dxa"/>
            </w:tcMar>
            <w:vAlign w:val="center"/>
          </w:tcPr>
          <w:p w14:paraId="3718F364" w14:textId="77777777" w:rsidR="00BC3589" w:rsidRDefault="0080647A">
            <w:pPr>
              <w:pStyle w:val="TableText"/>
            </w:pPr>
            <w:r>
              <w:t xml:space="preserve">Take algorithm 1 values first, then average each vertex with its surface-mesh neighbors and itself. This is a surface-adjacency average, </w:t>
            </w:r>
            <w:r>
              <w:rPr>
                <w:b/>
              </w:rPr>
              <w:t>not</w:t>
            </w:r>
            <w:r>
              <w:t xml:space="preserve"> a 3×3×3 voxel mean; mesh topology affects the result.</w:t>
            </w:r>
          </w:p>
        </w:tc>
      </w:tr>
      <w:tr w:rsidR="00BC3589" w14:paraId="6435DBAB" w14:textId="77777777">
        <w:trPr>
          <w:cantSplit/>
        </w:trPr>
        <w:tc>
          <w:tcPr>
            <w:tcW w:w="4910" w:type="dxa"/>
            <w:tcMar>
              <w:top w:w="65" w:type="dxa"/>
              <w:left w:w="95" w:type="dxa"/>
              <w:bottom w:w="65" w:type="dxa"/>
              <w:right w:w="95" w:type="dxa"/>
            </w:tcMar>
            <w:vAlign w:val="center"/>
          </w:tcPr>
          <w:p w14:paraId="0EA1A6F0" w14:textId="77777777" w:rsidR="00BC3589" w:rsidRDefault="0080647A">
            <w:pPr>
              <w:pStyle w:val="TableText"/>
            </w:pPr>
            <w:r>
              <w:rPr>
                <w:b/>
              </w:rPr>
              <w:t>3 · Average 3-by-3 Voxel Neighborhood</w:t>
            </w:r>
          </w:p>
        </w:tc>
        <w:tc>
          <w:tcPr>
            <w:tcW w:w="4910" w:type="dxa"/>
            <w:tcMar>
              <w:top w:w="65" w:type="dxa"/>
              <w:left w:w="95" w:type="dxa"/>
              <w:bottom w:w="65" w:type="dxa"/>
              <w:right w:w="95" w:type="dxa"/>
            </w:tcMar>
            <w:vAlign w:val="center"/>
          </w:tcPr>
          <w:p w14:paraId="6A8DFD28" w14:textId="77777777" w:rsidR="00BC3589" w:rsidRDefault="0080647A">
            <w:pPr>
              <w:pStyle w:val="TableText"/>
            </w:pPr>
            <w:r>
              <w:t>Apply a 3×3×3 mean fil</w:t>
            </w:r>
            <w:r>
              <w:t>ter to the volume, then nearest-voxel sample it. Volume boundary handling follows the filter implementation.</w:t>
            </w:r>
          </w:p>
        </w:tc>
      </w:tr>
      <w:tr w:rsidR="00BC3589" w14:paraId="253B31A1" w14:textId="77777777">
        <w:trPr>
          <w:cantSplit/>
        </w:trPr>
        <w:tc>
          <w:tcPr>
            <w:tcW w:w="4910" w:type="dxa"/>
            <w:tcMar>
              <w:top w:w="65" w:type="dxa"/>
              <w:left w:w="95" w:type="dxa"/>
              <w:bottom w:w="65" w:type="dxa"/>
              <w:right w:w="95" w:type="dxa"/>
            </w:tcMar>
            <w:vAlign w:val="center"/>
          </w:tcPr>
          <w:p w14:paraId="01391DCB" w14:textId="77777777" w:rsidR="00BC3589" w:rsidRDefault="0080647A">
            <w:pPr>
              <w:pStyle w:val="TableText"/>
            </w:pPr>
            <w:r>
              <w:rPr>
                <w:b/>
              </w:rPr>
              <w:t>4 · Gaussian Voxel Smoothing</w:t>
            </w:r>
          </w:p>
        </w:tc>
        <w:tc>
          <w:tcPr>
            <w:tcW w:w="4910" w:type="dxa"/>
            <w:tcMar>
              <w:top w:w="65" w:type="dxa"/>
              <w:left w:w="95" w:type="dxa"/>
              <w:bottom w:w="65" w:type="dxa"/>
              <w:right w:w="95" w:type="dxa"/>
            </w:tcMar>
            <w:vAlign w:val="center"/>
          </w:tcPr>
          <w:p w14:paraId="0738B317" w14:textId="77777777" w:rsidR="00BC3589" w:rsidRDefault="0080647A">
            <w:pPr>
              <w:pStyle w:val="TableText"/>
            </w:pPr>
            <w:r>
              <w:t xml:space="preserve">Smooth the volume with a Gaussian kernel, then nearest-voxel sample it. MATLAB uses smooth3; Python uses its numerical implementation. Kernel/boundary details are edition-specific, and nearby labels or signs can mix.</w:t>
            </w:r>
            <w:r>
              <w:rPr>
                <w:rFonts w:ascii="Consolas" w:hAnsi="Consolas"/>
                <w:sz w:val="18"/>
              </w:rPr>
              <w:t/>
            </w:r>
            <w:r>
              <w:t xml:space="preserve"/>
            </w:r>
            <w:r>
              <w:t/>
            </w:r>
          </w:p>
        </w:tc>
      </w:tr>
      <w:tr w:rsidR="00BC3589" w14:paraId="2D370F11" w14:textId="77777777">
        <w:trPr>
          <w:cantSplit/>
        </w:trPr>
        <w:tc>
          <w:tcPr>
            <w:tcW w:w="4910" w:type="dxa"/>
            <w:tcMar>
              <w:top w:w="65" w:type="dxa"/>
              <w:left w:w="95" w:type="dxa"/>
              <w:bottom w:w="65" w:type="dxa"/>
              <w:right w:w="95" w:type="dxa"/>
            </w:tcMar>
            <w:vAlign w:val="center"/>
          </w:tcPr>
          <w:p w14:paraId="6AEBBC46" w14:textId="77777777" w:rsidR="00BC3589" w:rsidRDefault="0080647A">
            <w:pPr>
              <w:pStyle w:val="TableText"/>
            </w:pPr>
            <w:r>
              <w:rPr>
                <w:b/>
              </w:rPr>
              <w:t>5 · Trilinear Interpolation</w:t>
            </w:r>
          </w:p>
        </w:tc>
        <w:tc>
          <w:tcPr>
            <w:tcW w:w="4910" w:type="dxa"/>
            <w:tcMar>
              <w:top w:w="65" w:type="dxa"/>
              <w:left w:w="95" w:type="dxa"/>
              <w:bottom w:w="65" w:type="dxa"/>
              <w:right w:w="95" w:type="dxa"/>
            </w:tcMar>
            <w:vAlign w:val="center"/>
          </w:tcPr>
          <w:p w14:paraId="70A2B643" w14:textId="77777777" w:rsidR="00BC3589" w:rsidRDefault="0080647A">
            <w:pPr>
              <w:pStyle w:val="TableText"/>
            </w:pPr>
            <w:r>
              <w:t>Interpolate the eight enclosing voxel values at an interior position; outside the supported interior returns zero.</w:t>
            </w:r>
          </w:p>
        </w:tc>
      </w:tr>
      <w:tr w:rsidR="00BC3589" w14:paraId="4B6A8344" w14:textId="77777777">
        <w:trPr>
          <w:cantSplit/>
        </w:trPr>
        <w:tc>
          <w:tcPr>
            <w:tcW w:w="4910" w:type="dxa"/>
            <w:tcMar>
              <w:top w:w="65" w:type="dxa"/>
              <w:left w:w="95" w:type="dxa"/>
              <w:bottom w:w="65" w:type="dxa"/>
              <w:right w:w="95" w:type="dxa"/>
            </w:tcMar>
            <w:vAlign w:val="center"/>
          </w:tcPr>
          <w:p w14:paraId="3449DA37" w14:textId="77777777" w:rsidR="00BC3589" w:rsidRDefault="0080647A">
            <w:pPr>
              <w:pStyle w:val="TableText"/>
            </w:pPr>
            <w:r>
              <w:rPr>
                <w:b/>
              </w:rPr>
              <w:t>6 · Maximum 3-by-3 Voxel Neighborhood</w:t>
            </w:r>
          </w:p>
        </w:tc>
        <w:tc>
          <w:tcPr>
            <w:tcW w:w="4910" w:type="dxa"/>
            <w:tcMar>
              <w:top w:w="65" w:type="dxa"/>
              <w:left w:w="95" w:type="dxa"/>
              <w:bottom w:w="65" w:type="dxa"/>
              <w:right w:w="95" w:type="dxa"/>
            </w:tcMar>
            <w:vAlign w:val="center"/>
          </w:tcPr>
          <w:p w14:paraId="10453E0F" w14:textId="77777777" w:rsidR="00BC3589" w:rsidRDefault="0080647A">
            <w:pPr>
              <w:pStyle w:val="TableText"/>
            </w:pPr>
            <w:r>
              <w:t>At a valid interior rounded position, take the m</w:t>
            </w:r>
            <w:r>
              <w:t>aximum of 27 voxels.</w:t>
            </w:r>
          </w:p>
        </w:tc>
      </w:tr>
      <w:tr w:rsidR="00BC3589" w14:paraId="0C34FC37" w14:textId="77777777">
        <w:trPr>
          <w:cantSplit/>
        </w:trPr>
        <w:tc>
          <w:tcPr>
            <w:tcW w:w="4910" w:type="dxa"/>
            <w:tcMar>
              <w:top w:w="65" w:type="dxa"/>
              <w:left w:w="95" w:type="dxa"/>
              <w:bottom w:w="65" w:type="dxa"/>
              <w:right w:w="95" w:type="dxa"/>
            </w:tcMar>
            <w:vAlign w:val="center"/>
          </w:tcPr>
          <w:p w14:paraId="503A9BEC" w14:textId="77777777" w:rsidR="00BC3589" w:rsidRDefault="0080647A">
            <w:pPr>
              <w:pStyle w:val="TableText"/>
            </w:pPr>
            <w:r>
              <w:rPr>
                <w:b/>
              </w:rPr>
              <w:t>7 · Minimum 3-by-3 Voxel Neighborhood</w:t>
            </w:r>
          </w:p>
        </w:tc>
        <w:tc>
          <w:tcPr>
            <w:tcW w:w="4910" w:type="dxa"/>
            <w:tcMar>
              <w:top w:w="65" w:type="dxa"/>
              <w:left w:w="95" w:type="dxa"/>
              <w:bottom w:w="65" w:type="dxa"/>
              <w:right w:w="95" w:type="dxa"/>
            </w:tcMar>
            <w:vAlign w:val="center"/>
          </w:tcPr>
          <w:p w14:paraId="737C8CDD" w14:textId="77777777" w:rsidR="00BC3589" w:rsidRDefault="0080647A">
            <w:pPr>
              <w:pStyle w:val="TableText"/>
            </w:pPr>
            <w:r>
              <w:t>At a valid interior rounded position, take the minimum of 27 voxels.</w:t>
            </w:r>
          </w:p>
        </w:tc>
      </w:tr>
      <w:tr w:rsidR="00BC3589" w14:paraId="7056D07C" w14:textId="77777777">
        <w:trPr>
          <w:cantSplit/>
        </w:trPr>
        <w:tc>
          <w:tcPr>
            <w:tcW w:w="4910" w:type="dxa"/>
            <w:tcMar>
              <w:top w:w="65" w:type="dxa"/>
              <w:left w:w="95" w:type="dxa"/>
              <w:bottom w:w="65" w:type="dxa"/>
              <w:right w:w="95" w:type="dxa"/>
            </w:tcMar>
            <w:vAlign w:val="center"/>
          </w:tcPr>
          <w:p w14:paraId="67BC7C41" w14:textId="77777777" w:rsidR="00BC3589" w:rsidRDefault="0080647A">
            <w:pPr>
              <w:pStyle w:val="TableText"/>
            </w:pPr>
            <w:r>
              <w:rPr>
                <w:b/>
              </w:rPr>
              <w:t>8 · Extremum 3-by-3 Voxel Neighborhood</w:t>
            </w:r>
          </w:p>
        </w:tc>
        <w:tc>
          <w:tcPr>
            <w:tcW w:w="4910" w:type="dxa"/>
            <w:tcMar>
              <w:top w:w="65" w:type="dxa"/>
              <w:left w:w="95" w:type="dxa"/>
              <w:bottom w:w="65" w:type="dxa"/>
              <w:right w:w="95" w:type="dxa"/>
            </w:tcMar>
            <w:vAlign w:val="center"/>
          </w:tcPr>
          <w:p w14:paraId="44F7C53F" w14:textId="77777777" w:rsidR="00BC3589" w:rsidRDefault="0080647A">
            <w:pPr>
              <w:pStyle w:val="TableText"/>
            </w:pPr>
            <w:r>
              <w:t xml:space="preserve">Choose the 27-voxel sample with greatest absolute magnitude and </w:t>
            </w:r>
            <w:r>
              <w:rPr>
                <w:b/>
              </w:rPr>
              <w:t>retain its original sig</w:t>
            </w:r>
            <w:r>
              <w:rPr>
                <w:b/>
              </w:rPr>
              <w:t>n</w:t>
            </w:r>
            <w:r>
              <w:t>.</w:t>
            </w:r>
          </w:p>
        </w:tc>
      </w:tr>
    </w:tbl>
    <w:p w14:paraId="4D8913A4" w14:textId="77777777" w:rsidR="00BC3589" w:rsidRDefault="0080647A">
      <w:pPr>
        <w:spacing w:after="0"/>
      </w:pPr>
      <w:r>
        <w:rPr>
          <w:sz w:val="6"/>
        </w:rPr>
        <w:t xml:space="preserve"> </w:t>
      </w:r>
    </w:p>
    <w:p w14:paraId="1EC35851" w14:textId="77777777" w:rsidR="00BC3589" w:rsidRDefault="0080647A">
      <w:r>
        <w:t xml:space="preserve">The mapping gallery illustrates how the eight algorithms display the same input. It is not an accuracy ranking. For a discrete atlas, start with Nearest Voxel: averaging and interpolation can create values that are not source labels. For continuous statistics, algorithms 2 and 5 can give smoother displays; they respectively average sampled mesh neighbors and interpolate the volume at each vertex. Record the chosen method and compare the result with the source map before interpreting a location.</w:t>
      </w:r>
      <w:r>
        <w:t xml:space="preserve"/>
      </w:r>
      <w:r>
        <w:t xml:space="preserve"/>
      </w:r>
    </w:p>
    <w:p w14:paraId="471FD7D1" w14:textId="77777777" w:rsidR="00BC3589" w:rsidRDefault="0080647A">
      <w:pPr>
        <w:keepNext/>
        <w:spacing w:before="180" w:after="60"/>
        <w:jc w:val="center"/>
      </w:pPr>
      <w:r>
        <w:rPr>
          <w:noProof/>
        </w:rPr>
        <w:lastRenderedPageBreak/>
        <w:drawing>
          <wp:inline distT="0" distB="0" distL="0" distR="0" wp14:anchorId="1043D49C" wp14:editId="1540165A">
            <wp:extent cx="5989320" cy="24031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mapping-examples.png"/>
                    <pic:cNvPicPr/>
                  </pic:nvPicPr>
                  <pic:blipFill>
                    <a:blip r:embed="rId23"/>
                    <a:stretch>
                      <a:fillRect/>
                    </a:stretch>
                  </pic:blipFill>
                  <pic:spPr>
                    <a:xfrm>
                      <a:off x="0" y="0"/>
                      <a:ext cx="5989320" cy="2403122"/>
                    </a:xfrm>
                    <a:prstGeom prst="rect">
                      <a:avLst/>
                    </a:prstGeom>
                  </pic:spPr>
                </pic:pic>
              </a:graphicData>
            </a:graphic>
          </wp:inline>
        </w:drawing>
      </w:r>
    </w:p>
    <w:p w14:paraId="2BA75634" w14:textId="77777777" w:rsidR="00BC3589" w:rsidRDefault="0080647A">
      <w:pPr>
        <w:pStyle w:val="FigureCaption"/>
        <w:jc w:val="center"/>
      </w:pPr>
      <w:r>
        <w:t xml:space="preserve">Figure 15. Eight volume-to-surface mapping algorithms applied to the same input. MATLAB illustration.</w:t>
      </w:r>
      <w:r>
        <w:t xml:space="preserve"/>
      </w:r>
    </w:p>
    <w:p w14:paraId="4DA2C43C" w14:textId="77777777" w:rsidR="00BC3589" w:rsidRDefault="0080647A">
      <w:r>
        <w:t xml:space="preserve">For sign and color-range choices, </w:t>
      </w:r>
      <w:r>
        <w:rPr>
          <w:b/>
        </w:rPr>
        <w:t>Display Values</w:t>
      </w:r>
      <w:r>
        <w:t xml:space="preserve"> changes the signed color axis but does not remove negative or positive ve</w:t>
      </w:r>
      <w:r>
        <w:t>rtex values. If a map contains values from −3 to +6, Both mode uses a symmetric −6 to +6 axis; a +3 and a −3 therefore have comparable distance from the center even though +6 is the observed positive maximum. Positive Only or Negative Only uses the corresp</w:t>
      </w:r>
      <w:r>
        <w:t>onding half of the palette. Change the relevant bounds only after checking the actual sampled value distribution and the displayed colorbar; do not interpret white/null color as a formal nonsignificant voxel unless the thresholding and adjustment rules war</w:t>
      </w:r>
      <w:r>
        <w:t>rant that interpretation.</w:t>
      </w:r>
    </w:p>
    <w:p w14:paraId="784F063D" w14:textId="77777777" w:rsidR="00BC3589" w:rsidRDefault="0080647A">
      <w:r>
        <w:t xml:space="preserve">MATLAB: CPU supports all eight. The current GPU mapping path supports algorithms 1 and 5 only; an explicit GPU request for the other algorithms falls back to CPU with a recorded reason. Auto chooses GPU for algorithm 5 on sufficiently large surfaces when a supported GPU is available; otherwise it uses CPU. This is an execution policy, not a guarantee of speedup on every dataset. Python numerical mapping uses CPU implementations; graphics display uses VTK. Corresponding algorithm names do not guarantee identical smoothing kernels, boundary handling or sampled values between editions.</w:t>
      </w:r>
      <w:r>
        <w:t/>
      </w:r>
    </w:p>
    <w:p w14:paraId="0AAF4734" w14:textId="77777777" w:rsidR="00BC3589" w:rsidRDefault="0080647A">
      <w:pPr>
        <w:pStyle w:val="Heading2"/>
      </w:pPr>
      <w:r>
        <w:t>Ranges and sign display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0B54983" w14:textId="77777777">
        <w:trPr>
          <w:tblHeader/>
        </w:trPr>
        <w:tc>
          <w:tcPr>
            <w:tcW w:w="1800" w:type="dxa"/>
            <w:shd w:val="clear" w:color="auto" w:fill="E8EDF3"/>
            <w:tcMar>
              <w:top w:w="65" w:type="dxa"/>
              <w:left w:w="95" w:type="dxa"/>
              <w:bottom w:w="65" w:type="dxa"/>
              <w:right w:w="95" w:type="dxa"/>
            </w:tcMar>
            <w:vAlign w:val="center"/>
          </w:tcPr>
          <w:p w14:paraId="014B3EE1"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3EB7FEED"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BBA4FD" w14:textId="77777777" w:rsidR="00BC3589" w:rsidRDefault="0080647A">
            <w:pPr>
              <w:pStyle w:val="TableText"/>
            </w:pPr>
            <w:r>
              <w:rPr>
                <w:b/>
              </w:rPr>
              <w:t>Current rule</w:t>
            </w:r>
          </w:p>
        </w:tc>
      </w:tr>
      <w:tr w:rsidR="00BC3589" w14:paraId="574F5A56" w14:textId="77777777">
        <w:trPr>
          <w:cantSplit/>
        </w:trPr>
        <w:tc>
          <w:tcPr>
            <w:tcW w:w="1800" w:type="dxa"/>
            <w:tcMar>
              <w:top w:w="65" w:type="dxa"/>
              <w:left w:w="95" w:type="dxa"/>
              <w:bottom w:w="65" w:type="dxa"/>
              <w:right w:w="95" w:type="dxa"/>
            </w:tcMar>
            <w:vAlign w:val="center"/>
          </w:tcPr>
          <w:p w14:paraId="05D20AFF" w14:textId="77777777" w:rsidR="00BC3589" w:rsidRDefault="0080647A">
            <w:pPr>
              <w:pStyle w:val="TableText"/>
            </w:pPr>
            <w:r>
              <w:rPr>
                <w:b/>
              </w:rPr>
              <w:t>Positive Range / Negative Range</w:t>
            </w:r>
          </w:p>
        </w:tc>
        <w:tc>
          <w:tcPr>
            <w:tcW w:w="2952" w:type="dxa"/>
            <w:tcMar>
              <w:top w:w="65" w:type="dxa"/>
              <w:left w:w="95" w:type="dxa"/>
              <w:bottom w:w="65" w:type="dxa"/>
              <w:right w:w="95" w:type="dxa"/>
            </w:tcMar>
            <w:vAlign w:val="center"/>
          </w:tcPr>
          <w:p w14:paraId="65FC9B65" w14:textId="77777777" w:rsidR="00BC3589" w:rsidRDefault="0080647A">
            <w:pPr>
              <w:pStyle w:val="TableText"/>
            </w:pPr>
            <w:r>
              <w:t>Auto / Auto</w:t>
            </w:r>
          </w:p>
        </w:tc>
        <w:tc>
          <w:tcPr>
            <w:tcW w:w="4925" w:type="dxa"/>
            <w:tcMar>
              <w:top w:w="65" w:type="dxa"/>
              <w:left w:w="95" w:type="dxa"/>
              <w:bottom w:w="65" w:type="dxa"/>
              <w:right w:w="95" w:type="dxa"/>
            </w:tcMar>
            <w:vAlign w:val="center"/>
          </w:tcPr>
          <w:p w14:paraId="26E26BD4" w14:textId="77777777" w:rsidR="00BC3589" w:rsidRDefault="0080647A">
            <w:pPr>
              <w:pStyle w:val="TableText"/>
            </w:pPr>
            <w:r>
              <w:t>E</w:t>
            </w:r>
            <w:r>
              <w:t xml:space="preserve">nter </w:t>
            </w:r>
            <w:r>
              <w:rPr>
                <w:rFonts w:ascii="Consolas" w:hAnsi="Consolas"/>
                <w:sz w:val="18"/>
              </w:rPr>
              <w:t>Auto</w:t>
            </w:r>
            <w:r>
              <w:t xml:space="preserve"> or minimum and maximum (either endpoint may be Auto). Manual bounds persist when the volume file changes and are identified in Scene Summary; recheck them for each new dataset. </w:t>
            </w:r>
            <w:r>
              <w:rPr>
                <w:b/>
              </w:rPr>
              <w:t>Auto Ranges</w:t>
            </w:r>
            <w:r>
              <w:t xml:space="preserve"> only resets the pending fields—click </w:t>
            </w:r>
            <w:r>
              <w:rPr>
                <w:b/>
              </w:rPr>
              <w:t>Apply</w:t>
            </w:r>
            <w:r>
              <w:t xml:space="preserve"> to commit and </w:t>
            </w:r>
            <w:r>
              <w:t>render.</w:t>
            </w:r>
          </w:p>
        </w:tc>
      </w:tr>
      <w:tr w:rsidR="00BC3589" w14:paraId="4EEE6696" w14:textId="77777777">
        <w:trPr>
          <w:cantSplit/>
        </w:trPr>
        <w:tc>
          <w:tcPr>
            <w:tcW w:w="1800" w:type="dxa"/>
            <w:tcMar>
              <w:top w:w="65" w:type="dxa"/>
              <w:left w:w="95" w:type="dxa"/>
              <w:bottom w:w="65" w:type="dxa"/>
              <w:right w:w="95" w:type="dxa"/>
            </w:tcMar>
            <w:vAlign w:val="center"/>
          </w:tcPr>
          <w:p w14:paraId="1A498989"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122DFCA7" w14:textId="77777777" w:rsidR="00BC3589" w:rsidRDefault="0080647A">
            <w:pPr>
              <w:pStyle w:val="TableText"/>
            </w:pPr>
            <w:r>
              <w:t>Blue-White-Red</w:t>
            </w:r>
          </w:p>
        </w:tc>
        <w:tc>
          <w:tcPr>
            <w:tcW w:w="4925" w:type="dxa"/>
            <w:tcMar>
              <w:top w:w="65" w:type="dxa"/>
              <w:left w:w="95" w:type="dxa"/>
              <w:bottom w:w="65" w:type="dxa"/>
              <w:right w:w="95" w:type="dxa"/>
            </w:tcMar>
            <w:vAlign w:val="center"/>
          </w:tcPr>
          <w:p w14:paraId="094248C5" w14:textId="77777777" w:rsidR="00BC3589" w:rsidRDefault="0080647A">
            <w:pPr>
              <w:pStyle w:val="TableText"/>
            </w:pPr>
            <w:r>
              <w:t>One 256-entry palette: its lower half represents negative values and upper half positive values. A custom RGB palette can be set with Colors.... The Surface panel's scalar-map palette is separate.</w:t>
            </w:r>
          </w:p>
        </w:tc>
      </w:tr>
      <w:tr w:rsidR="00BC3589" w14:paraId="135B36FD" w14:textId="77777777">
        <w:trPr>
          <w:cantSplit/>
        </w:trPr>
        <w:tc>
          <w:tcPr>
            <w:tcW w:w="1800" w:type="dxa"/>
            <w:tcMar>
              <w:top w:w="65" w:type="dxa"/>
              <w:left w:w="95" w:type="dxa"/>
              <w:bottom w:w="65" w:type="dxa"/>
              <w:right w:w="95" w:type="dxa"/>
            </w:tcMar>
            <w:vAlign w:val="center"/>
          </w:tcPr>
          <w:p w14:paraId="2AE26B19" w14:textId="77777777" w:rsidR="00BC3589" w:rsidRDefault="0080647A">
            <w:pPr>
              <w:pStyle w:val="TableText"/>
            </w:pPr>
            <w:r>
              <w:rPr>
                <w:b/>
              </w:rPr>
              <w:t>Display Values</w:t>
            </w:r>
          </w:p>
        </w:tc>
        <w:tc>
          <w:tcPr>
            <w:tcW w:w="2952" w:type="dxa"/>
            <w:tcMar>
              <w:top w:w="65" w:type="dxa"/>
              <w:left w:w="95" w:type="dxa"/>
              <w:bottom w:w="65" w:type="dxa"/>
              <w:right w:w="95" w:type="dxa"/>
            </w:tcMar>
            <w:vAlign w:val="center"/>
          </w:tcPr>
          <w:p w14:paraId="4B33796B" w14:textId="77777777" w:rsidR="00BC3589" w:rsidRDefault="0080647A">
            <w:pPr>
              <w:pStyle w:val="TableText"/>
            </w:pPr>
            <w:r>
              <w:t>Positive &amp; Negative</w:t>
            </w:r>
          </w:p>
        </w:tc>
        <w:tc>
          <w:tcPr>
            <w:tcW w:w="4925" w:type="dxa"/>
            <w:tcMar>
              <w:top w:w="65" w:type="dxa"/>
              <w:left w:w="95" w:type="dxa"/>
              <w:bottom w:w="65" w:type="dxa"/>
              <w:right w:w="95" w:type="dxa"/>
            </w:tcMar>
            <w:vAlign w:val="center"/>
          </w:tcPr>
          <w:p w14:paraId="10C5E7D3" w14:textId="77777777" w:rsidR="00BC3589" w:rsidRDefault="0080647A">
            <w:pPr>
              <w:pStyle w:val="TableText"/>
            </w:pPr>
            <w:r>
              <w:t xml:space="preserve">Both, Positive Only or Negative Only changes the </w:t>
            </w:r>
            <w:r>
              <w:rPr>
                <w:b/>
              </w:rPr>
              <w:t>color axis, not which vertex values exist</w:t>
            </w:r>
            <w:r>
              <w:t xml:space="preserve">. Both uses a symmetric </w:t>
            </w:r>
            <w:r>
              <w:rPr>
                <w:rFonts w:ascii="Consolas" w:hAnsi="Consolas"/>
                <w:sz w:val="18"/>
              </w:rPr>
              <w:t>[-M,+M]</w:t>
            </w:r>
            <w:r>
              <w:t xml:space="preserve"> axis around zero even when the data extrema differ; one-sided modes use the respective palette half. Values outsid</w:t>
            </w:r>
            <w:r>
              <w:t>e a chosen range clamp to endpoint colors.</w:t>
            </w:r>
          </w:p>
        </w:tc>
      </w:tr>
      <w:tr w:rsidR="00BC3589" w14:paraId="50848162" w14:textId="77777777">
        <w:trPr>
          <w:cantSplit/>
        </w:trPr>
        <w:tc>
          <w:tcPr>
            <w:tcW w:w="1800" w:type="dxa"/>
            <w:tcMar>
              <w:top w:w="65" w:type="dxa"/>
              <w:left w:w="95" w:type="dxa"/>
              <w:bottom w:w="65" w:type="dxa"/>
              <w:right w:w="95" w:type="dxa"/>
            </w:tcMar>
            <w:vAlign w:val="center"/>
          </w:tcPr>
          <w:p w14:paraId="2D593744" w14:textId="77777777" w:rsidR="00BC3589" w:rsidRDefault="0080647A">
            <w:pPr>
              <w:pStyle w:val="TableText"/>
            </w:pPr>
            <w:r>
              <w:rPr>
                <w:b/>
              </w:rPr>
              <w:t>Adjust for Null / Null Color</w:t>
            </w:r>
          </w:p>
        </w:tc>
        <w:tc>
          <w:tcPr>
            <w:tcW w:w="2952" w:type="dxa"/>
            <w:tcMar>
              <w:top w:w="65" w:type="dxa"/>
              <w:left w:w="95" w:type="dxa"/>
              <w:bottom w:w="65" w:type="dxa"/>
              <w:right w:w="95" w:type="dxa"/>
            </w:tcMar>
            <w:vAlign w:val="center"/>
          </w:tcPr>
          <w:p w14:paraId="52A9FDC0" w14:textId="77777777" w:rsidR="00BC3589" w:rsidRDefault="0080647A">
            <w:pPr>
              <w:pStyle w:val="TableText"/>
            </w:pPr>
            <w:r>
              <w:t xml:space="preserve">on / </w:t>
            </w:r>
            <w:r>
              <w:rPr>
                <w:rFonts w:ascii="Consolas" w:hAnsi="Consolas"/>
                <w:sz w:val="18"/>
              </w:rPr>
              <w:t>[0.95 0.95 0.95]</w:t>
            </w:r>
          </w:p>
        </w:tc>
        <w:tc>
          <w:tcPr>
            <w:tcW w:w="4925" w:type="dxa"/>
            <w:tcMar>
              <w:top w:w="65" w:type="dxa"/>
              <w:left w:w="95" w:type="dxa"/>
              <w:bottom w:w="65" w:type="dxa"/>
              <w:right w:w="95" w:type="dxa"/>
            </w:tcMar>
            <w:vAlign w:val="center"/>
          </w:tcPr>
          <w:p w14:paraId="5E78849E" w14:textId="77777777" w:rsidR="00BC3589" w:rsidRDefault="0080647A">
            <w:pPr>
              <w:pStyle w:val="TableText"/>
            </w:pPr>
            <w:r>
              <w:t>When on, the null-side palette region receives Null Color; when off, finite values use the continuous palette. Null Color is editable only when adjustment is on.</w:t>
            </w:r>
            <w:r>
              <w:t xml:space="preserve"> This changes display, not sampled values.</w:t>
            </w:r>
          </w:p>
        </w:tc>
      </w:tr>
    </w:tbl>
    <w:p w14:paraId="06645A3B" w14:textId="77777777" w:rsidR="00BC3589" w:rsidRDefault="0080647A">
      <w:pPr>
        <w:spacing w:after="0"/>
      </w:pPr>
      <w:r>
        <w:rPr>
          <w:sz w:val="6"/>
        </w:rPr>
        <w:t xml:space="preserve"> </w:t>
      </w:r>
    </w:p>
    <w:p w14:paraId="52E643CD" w14:textId="77777777" w:rsidR="00BC3589" w:rsidRDefault="0080647A">
      <w:r>
        <w:lastRenderedPageBreak/>
        <w:t>Both-mode symmetry can reduce contrast for the smaller-magnitude sign. Do not infer absence of an effect merely because one side is pale; inspect the numeric data and actual colorbar. The illustrated example us</w:t>
      </w:r>
      <w:r>
        <w:t>es a resting-state example map from a published study, but its alignment to a chosen surface still needs independent verification. See signed-axis details.</w:t>
      </w:r>
    </w:p>
    <w:p w14:paraId="66C3FC6B" w14:textId="77777777" w:rsidR="00BC3589" w:rsidRDefault="0080647A">
      <w:r>
        <w:t xml:space="preserve">Multiple-comparison correction is </w:t>
      </w:r>
      <w:r>
        <w:rPr>
          <w:b/>
        </w:rPr>
        <w:t>not available</w:t>
      </w:r>
      <w:r>
        <w:t>. Check the source map's statistic, d</w:t>
      </w:r>
      <w:r>
        <w:t>egrees of freedom, coordinate alignment and your analysis-specific inference policy before interpretation.</w:t>
      </w:r>
    </w:p>
    <w:p w14:paraId="07B772C3" w14:textId="77777777" w:rsidR="00BC3589" w:rsidRDefault="0080647A">
      <w:pPr>
        <w:pStyle w:val="Heading1"/>
        <w:pageBreakBefore/>
      </w:pPr>
      <w:bookmarkStart w:id="11" w:name="bnv_chapter_11"/>
      <w:r>
        <w:lastRenderedPageBreak/>
        <w:t xml:space="preserve">11 ROI drawing</w:t>
      </w:r>
      <w:bookmarkEnd w:id="11"/>
    </w:p>
    <w:p w14:paraId="23BA46CF" w14:textId="77777777" w:rsidR="00BC3589" w:rsidRDefault="0080647A">
      <w:r>
        <w:t xml:space="preserve">Set </w:t>
      </w:r>
      <w:r>
        <w:rPr>
          <w:b/>
        </w:rPr>
        <w:t>Display Volume</w:t>
      </w:r>
      <w:r>
        <w:t xml:space="preserve"> on and choose </w:t>
      </w:r>
      <w:r>
        <w:rPr>
          <w:b/>
        </w:rPr>
        <w:t>Volume Type → ROIs (Atlas / Statistical)</w:t>
      </w:r>
      <w:r>
        <w:t xml:space="preserve"> to draw atlas or statistical regions. </w:t>
      </w:r>
      <w:r>
        <w:rPr>
          <w:b/>
        </w:rPr>
        <w:t>Apply</w:t>
      </w:r>
      <w:r>
        <w:t xml:space="preserve"> commits and renders; </w:t>
      </w:r>
      <w:r>
        <w:rPr>
          <w:b/>
        </w:rPr>
        <w:t>Revert</w:t>
      </w:r>
      <w:r>
        <w:t xml:space="preserve"> discards pending edits. ROI identifiers are labels, not continuous quantitative values.</w:t>
      </w:r>
    </w:p>
    <w:p w14:paraId="3C3B2DDE" w14:textId="77777777" w:rsidR="00BC3589" w:rsidRDefault="0080647A">
      <w:r>
        <w:t xml:space="preserve">The shared threshold controls are above </w:t>
      </w:r>
      <w:r>
        <w:rPr>
          <w:b/>
        </w:rPr>
        <w:t>Surface Mapping</w:t>
      </w:r>
      <w:r>
        <w:t xml:space="preserve"> in the Volume panel, not inside that su</w:t>
      </w:r>
      <w:r>
        <w:t>rface-only section. In ROI mode, P Value and Cluster Size are enabled together; Statistical Threshold is used by Value/Cluster instead.</w:t>
      </w:r>
    </w:p>
    <w:p w14:paraId="455B801B" w14:textId="77777777" w:rsidR="00BC3589" w:rsidRDefault="0080647A">
      <w:pPr>
        <w:pStyle w:val="Heading2"/>
      </w:pPr>
      <w:r>
        <w:t>ROI controls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D74E641" w14:textId="77777777">
        <w:trPr>
          <w:tblHeader/>
        </w:trPr>
        <w:tc>
          <w:tcPr>
            <w:tcW w:w="1800" w:type="dxa"/>
            <w:shd w:val="clear" w:color="auto" w:fill="E8EDF3"/>
            <w:tcMar>
              <w:top w:w="65" w:type="dxa"/>
              <w:left w:w="95" w:type="dxa"/>
              <w:bottom w:w="65" w:type="dxa"/>
              <w:right w:w="95" w:type="dxa"/>
            </w:tcMar>
            <w:vAlign w:val="center"/>
          </w:tcPr>
          <w:p w14:paraId="624E593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C1387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799F405B" w14:textId="77777777" w:rsidR="00BC3589" w:rsidRDefault="0080647A">
            <w:pPr>
              <w:pStyle w:val="TableText"/>
            </w:pPr>
            <w:r>
              <w:rPr>
                <w:b/>
              </w:rPr>
              <w:t>Current rule</w:t>
            </w:r>
          </w:p>
        </w:tc>
      </w:tr>
      <w:tr w:rsidR="00BC3589" w14:paraId="50C62E40" w14:textId="77777777">
        <w:trPr>
          <w:cantSplit/>
        </w:trPr>
        <w:tc>
          <w:tcPr>
            <w:tcW w:w="1800" w:type="dxa"/>
            <w:tcMar>
              <w:top w:w="65" w:type="dxa"/>
              <w:left w:w="95" w:type="dxa"/>
              <w:bottom w:w="65" w:type="dxa"/>
              <w:right w:w="95" w:type="dxa"/>
            </w:tcMar>
            <w:vAlign w:val="center"/>
          </w:tcPr>
          <w:p w14:paraId="38B24DEA"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2B63DF0E" w14:textId="77777777" w:rsidR="00BC3589" w:rsidRDefault="0080647A">
            <w:pPr>
              <w:pStyle w:val="TableText"/>
            </w:pPr>
            <w:r>
              <w:t>None</w:t>
            </w:r>
          </w:p>
        </w:tc>
        <w:tc>
          <w:tcPr>
            <w:tcW w:w="4925" w:type="dxa"/>
            <w:tcMar>
              <w:top w:w="65" w:type="dxa"/>
              <w:left w:w="95" w:type="dxa"/>
              <w:bottom w:w="65" w:type="dxa"/>
              <w:right w:w="95" w:type="dxa"/>
            </w:tcMar>
            <w:vAlign w:val="center"/>
          </w:tcPr>
          <w:p w14:paraId="3170D5C8" w14:textId="77777777" w:rsidR="00BC3589" w:rsidRDefault="0080647A">
            <w:pPr>
              <w:pStyle w:val="TableText"/>
            </w:pPr>
            <w:r>
              <w:t>None preserves positive integer atlas IDs. V</w:t>
            </w:r>
            <w:r>
              <w:t xml:space="preserve">alue and Cluster construct connected regions with </w:t>
            </w:r>
            <w:r>
              <w:rPr>
                <w:rFonts w:ascii="Consolas" w:hAnsi="Consolas"/>
                <w:sz w:val="18"/>
              </w:rPr>
              <w:t>abs(value) &gt;= abs(Statistical Threshold)</w:t>
            </w:r>
            <w:r>
              <w:t>; Cluster also removes components smaller than Cluster Size. P Value converts supported NIfTI T/F/R/Z metadata into a statistic cutoff, then applies Cluster Size befo</w:t>
            </w:r>
            <w:r>
              <w:t>re assigning ROI IDs.</w:t>
            </w:r>
          </w:p>
        </w:tc>
      </w:tr>
      <w:tr w:rsidR="00BC3589" w14:paraId="18418E8E" w14:textId="77777777">
        <w:trPr>
          <w:cantSplit/>
        </w:trPr>
        <w:tc>
          <w:tcPr>
            <w:tcW w:w="1800" w:type="dxa"/>
            <w:tcMar>
              <w:top w:w="65" w:type="dxa"/>
              <w:left w:w="95" w:type="dxa"/>
              <w:bottom w:w="65" w:type="dxa"/>
              <w:right w:w="95" w:type="dxa"/>
            </w:tcMar>
            <w:vAlign w:val="center"/>
          </w:tcPr>
          <w:p w14:paraId="5DE929DC" w14:textId="77777777" w:rsidR="00BC3589" w:rsidRDefault="0080647A">
            <w:pPr>
              <w:pStyle w:val="TableText"/>
            </w:pPr>
            <w:r>
              <w:rPr>
                <w:b/>
              </w:rPr>
              <w:t>Statistical Threshold / P Value / Cluster Size / Voxel Connectivity</w:t>
            </w:r>
          </w:p>
        </w:tc>
        <w:tc>
          <w:tcPr>
            <w:tcW w:w="2952" w:type="dxa"/>
            <w:tcMar>
              <w:top w:w="65" w:type="dxa"/>
              <w:left w:w="95" w:type="dxa"/>
              <w:bottom w:w="65" w:type="dxa"/>
              <w:right w:w="95" w:type="dxa"/>
            </w:tcMar>
            <w:vAlign w:val="center"/>
          </w:tcPr>
          <w:p w14:paraId="54F7CA3E"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411686E3" w14:textId="77777777" w:rsidR="00BC3589" w:rsidRDefault="0080647A">
            <w:pPr>
              <w:pStyle w:val="TableText"/>
            </w:pPr>
            <w:r>
              <w:t xml:space="preserve">Value/Cluster use the numeric threshold; P Value requires </w:t>
            </w:r>
            <w:r>
              <w:rPr>
                <w:rFonts w:ascii="Consolas" w:hAnsi="Consolas"/>
                <w:sz w:val="18"/>
              </w:rPr>
              <w:t>0 &lt; P &lt; 1</w:t>
            </w:r>
            <w:r>
              <w:t xml:space="preserve"> and valid statistic metadata. T/R/Z are two-sided; F is upper-tail only. P Value and Cluster use Cluster Size in voxels, not mm³. Zero and nonfinite voxels are excluded; choose 6, 18 or 26 connectivity.</w:t>
            </w:r>
          </w:p>
        </w:tc>
      </w:tr>
      <w:tr w:rsidR="00BC3589" w14:paraId="14E47973" w14:textId="77777777">
        <w:trPr>
          <w:cantSplit/>
        </w:trPr>
        <w:tc>
          <w:tcPr>
            <w:tcW w:w="1800" w:type="dxa"/>
            <w:tcMar>
              <w:top w:w="65" w:type="dxa"/>
              <w:left w:w="95" w:type="dxa"/>
              <w:bottom w:w="65" w:type="dxa"/>
              <w:right w:w="95" w:type="dxa"/>
            </w:tcMar>
            <w:vAlign w:val="center"/>
          </w:tcPr>
          <w:p w14:paraId="26069A21" w14:textId="77777777" w:rsidR="00BC3589" w:rsidRDefault="0080647A">
            <w:pPr>
              <w:pStyle w:val="TableText"/>
            </w:pPr>
            <w:r>
              <w:rPr>
                <w:b/>
              </w:rPr>
              <w:t>Draw All ROIs</w:t>
            </w:r>
          </w:p>
        </w:tc>
        <w:tc>
          <w:tcPr>
            <w:tcW w:w="2952" w:type="dxa"/>
            <w:tcMar>
              <w:top w:w="65" w:type="dxa"/>
              <w:left w:w="95" w:type="dxa"/>
              <w:bottom w:w="65" w:type="dxa"/>
              <w:right w:w="95" w:type="dxa"/>
            </w:tcMar>
            <w:vAlign w:val="center"/>
          </w:tcPr>
          <w:p w14:paraId="6653B4D5" w14:textId="77777777" w:rsidR="00BC3589" w:rsidRDefault="0080647A">
            <w:pPr>
              <w:pStyle w:val="TableText"/>
            </w:pPr>
            <w:r>
              <w:t>on</w:t>
            </w:r>
          </w:p>
        </w:tc>
        <w:tc>
          <w:tcPr>
            <w:tcW w:w="4925" w:type="dxa"/>
            <w:tcMar>
              <w:top w:w="65" w:type="dxa"/>
              <w:left w:w="95" w:type="dxa"/>
              <w:bottom w:w="65" w:type="dxa"/>
              <w:right w:w="95" w:type="dxa"/>
            </w:tcMar>
            <w:vAlign w:val="center"/>
          </w:tcPr>
          <w:p w14:paraId="344D4F35" w14:textId="77777777" w:rsidR="00BC3589" w:rsidRDefault="0080647A">
            <w:pPr>
              <w:pStyle w:val="TableText"/>
            </w:pPr>
            <w:r>
              <w:t>Draws every valid positive ID. Whi</w:t>
            </w:r>
            <w:r>
              <w:t xml:space="preserve">le on, </w:t>
            </w:r>
            <w:r>
              <w:rPr>
                <w:b/>
              </w:rPr>
              <w:t>ROI Selection</w:t>
            </w:r>
            <w:r>
              <w:t xml:space="preserve"> is disabled.</w:t>
            </w:r>
          </w:p>
        </w:tc>
      </w:tr>
      <w:tr w:rsidR="00BC3589" w14:paraId="11A6BF6B" w14:textId="77777777">
        <w:trPr>
          <w:cantSplit/>
        </w:trPr>
        <w:tc>
          <w:tcPr>
            <w:tcW w:w="1800" w:type="dxa"/>
            <w:tcMar>
              <w:top w:w="65" w:type="dxa"/>
              <w:left w:w="95" w:type="dxa"/>
              <w:bottom w:w="65" w:type="dxa"/>
              <w:right w:w="95" w:type="dxa"/>
            </w:tcMar>
            <w:vAlign w:val="center"/>
          </w:tcPr>
          <w:p w14:paraId="1C13F869" w14:textId="77777777" w:rsidR="00BC3589" w:rsidRDefault="0080647A">
            <w:pPr>
              <w:pStyle w:val="TableText"/>
            </w:pPr>
            <w:r>
              <w:rPr>
                <w:b/>
              </w:rPr>
              <w:t>ROI Selection</w:t>
            </w:r>
          </w:p>
        </w:tc>
        <w:tc>
          <w:tcPr>
            <w:tcW w:w="2952" w:type="dxa"/>
            <w:tcMar>
              <w:top w:w="65" w:type="dxa"/>
              <w:left w:w="95" w:type="dxa"/>
              <w:bottom w:w="65" w:type="dxa"/>
              <w:right w:w="95" w:type="dxa"/>
            </w:tcMar>
            <w:vAlign w:val="center"/>
          </w:tcPr>
          <w:p w14:paraId="452DA07F" w14:textId="77777777" w:rsidR="00BC3589" w:rsidRDefault="0080647A">
            <w:pPr>
              <w:pStyle w:val="TableText"/>
            </w:pPr>
            <w:r>
              <w:t>empty</w:t>
            </w:r>
          </w:p>
        </w:tc>
        <w:tc>
          <w:tcPr>
            <w:tcW w:w="4925" w:type="dxa"/>
            <w:tcMar>
              <w:top w:w="65" w:type="dxa"/>
              <w:left w:w="95" w:type="dxa"/>
              <w:bottom w:w="65" w:type="dxa"/>
              <w:right w:w="95" w:type="dxa"/>
            </w:tcMar>
            <w:vAlign w:val="center"/>
          </w:tcPr>
          <w:p w14:paraId="02730580" w14:textId="77777777" w:rsidR="00BC3589" w:rsidRDefault="0080647A">
            <w:pPr>
              <w:pStyle w:val="TableText"/>
            </w:pPr>
            <w:r>
              <w:t>Turn Draw All off to enter positive IDs separated by spaces or commas. Typing a nonempty list also turns Draw All off. Atlas mode uses source IDs; statistical Value/Cluster/P Value modes use newly assi</w:t>
            </w:r>
            <w:r>
              <w:t>gned, consecutive component IDs, which can change with thresholds, Cluster Size or connectivity.</w:t>
            </w:r>
          </w:p>
        </w:tc>
      </w:tr>
      <w:tr w:rsidR="00BC3589" w14:paraId="726BA67C" w14:textId="77777777">
        <w:trPr>
          <w:cantSplit/>
        </w:trPr>
        <w:tc>
          <w:tcPr>
            <w:tcW w:w="1800" w:type="dxa"/>
            <w:tcMar>
              <w:top w:w="65" w:type="dxa"/>
              <w:left w:w="95" w:type="dxa"/>
              <w:bottom w:w="65" w:type="dxa"/>
              <w:right w:w="95" w:type="dxa"/>
            </w:tcMar>
            <w:vAlign w:val="center"/>
          </w:tcPr>
          <w:p w14:paraId="450A1D07" w14:textId="77777777" w:rsidR="00BC3589" w:rsidRDefault="0080647A">
            <w:pPr>
              <w:pStyle w:val="TableText"/>
            </w:pPr>
            <w:r>
              <w:rPr>
                <w:b/>
              </w:rPr>
              <w:t>ROI Color Mode</w:t>
            </w:r>
          </w:p>
        </w:tc>
        <w:tc>
          <w:tcPr>
            <w:tcW w:w="2952" w:type="dxa"/>
            <w:tcMar>
              <w:top w:w="65" w:type="dxa"/>
              <w:left w:w="95" w:type="dxa"/>
              <w:bottom w:w="65" w:type="dxa"/>
              <w:right w:w="95" w:type="dxa"/>
            </w:tcMar>
            <w:vAlign w:val="center"/>
          </w:tcPr>
          <w:p w14:paraId="30086604" w14:textId="77777777" w:rsidR="00BC3589" w:rsidRDefault="0080647A">
            <w:pPr>
              <w:pStyle w:val="TableText"/>
            </w:pPr>
            <w:r>
              <w:t>Label Index</w:t>
            </w:r>
          </w:p>
        </w:tc>
        <w:tc>
          <w:tcPr>
            <w:tcW w:w="4925" w:type="dxa"/>
            <w:tcMar>
              <w:top w:w="65" w:type="dxa"/>
              <w:left w:w="95" w:type="dxa"/>
              <w:bottom w:w="65" w:type="dxa"/>
              <w:right w:w="95" w:type="dxa"/>
            </w:tcMar>
            <w:vAlign w:val="center"/>
          </w:tcPr>
          <w:p w14:paraId="4D3E8470" w14:textId="77777777" w:rsidR="00BC3589" w:rsidRDefault="0080647A">
            <w:pPr>
              <w:pStyle w:val="TableText"/>
            </w:pPr>
            <w:r>
              <w:t xml:space="preserve">Uniform uses one ROI Color; Label Index cycles the selected categorical ROI Palette by ID; Custom requires an explicit </w:t>
            </w:r>
            <w:r>
              <w:rPr>
                <w:rFonts w:ascii="Consolas" w:hAnsi="Consolas"/>
                <w:sz w:val="18"/>
              </w:rPr>
              <w:t>ROI_ID R G B</w:t>
            </w:r>
            <w:r>
              <w:t xml:space="preserve"> table. Color modes do not redefine region membership.</w:t>
            </w:r>
          </w:p>
        </w:tc>
      </w:tr>
      <w:tr w:rsidR="00BC3589" w14:paraId="02341F67" w14:textId="77777777">
        <w:trPr>
          <w:cantSplit/>
        </w:trPr>
        <w:tc>
          <w:tcPr>
            <w:tcW w:w="1800" w:type="dxa"/>
            <w:tcMar>
              <w:top w:w="65" w:type="dxa"/>
              <w:left w:w="95" w:type="dxa"/>
              <w:bottom w:w="65" w:type="dxa"/>
              <w:right w:w="95" w:type="dxa"/>
            </w:tcMar>
            <w:vAlign w:val="center"/>
          </w:tcPr>
          <w:p w14:paraId="26DECF2C" w14:textId="77777777" w:rsidR="00BC3589" w:rsidRDefault="0080647A">
            <w:pPr>
              <w:pStyle w:val="TableText"/>
            </w:pPr>
            <w:r>
              <w:rPr>
                <w:b/>
              </w:rPr>
              <w:t>ROI Palette</w:t>
            </w:r>
          </w:p>
        </w:tc>
        <w:tc>
          <w:tcPr>
            <w:tcW w:w="2952" w:type="dxa"/>
            <w:tcMar>
              <w:top w:w="65" w:type="dxa"/>
              <w:left w:w="95" w:type="dxa"/>
              <w:bottom w:w="65" w:type="dxa"/>
              <w:right w:w="95" w:type="dxa"/>
            </w:tcMar>
            <w:vAlign w:val="center"/>
          </w:tcPr>
          <w:p w14:paraId="4CBE82A8" w14:textId="77777777" w:rsidR="00BC3589" w:rsidRDefault="0080647A">
            <w:pPr>
              <w:pStyle w:val="TableText"/>
            </w:pPr>
            <w:r>
              <w:t>HSV</w:t>
            </w:r>
          </w:p>
        </w:tc>
        <w:tc>
          <w:tcPr>
            <w:tcW w:w="4925" w:type="dxa"/>
            <w:tcMar>
              <w:top w:w="65" w:type="dxa"/>
              <w:left w:w="95" w:type="dxa"/>
              <w:bottom w:w="65" w:type="dxa"/>
              <w:right w:w="95" w:type="dxa"/>
            </w:tcMar>
            <w:vAlign w:val="center"/>
          </w:tcPr>
          <w:p w14:paraId="43A73F4C" w14:textId="77777777" w:rsidR="00BC3589" w:rsidRDefault="0080647A">
            <w:pPr>
              <w:pStyle w:val="TableText"/>
            </w:pPr>
            <w:r>
              <w:t>Label Index can choose any named palette, including Viridis, Plasma, Inferno, Magma and Cividis. Its 256 colors cycle by positive ROI ID; this is categorical indexing, not a continuous quantitative colorbar. HSV and Lines generally separate categories bett</w:t>
            </w:r>
            <w:r>
              <w:t>er than sequential gradients.</w:t>
            </w:r>
          </w:p>
        </w:tc>
      </w:tr>
      <w:tr w:rsidR="00BC3589" w14:paraId="1C77C2CB" w14:textId="77777777">
        <w:trPr>
          <w:cantSplit/>
        </w:trPr>
        <w:tc>
          <w:tcPr>
            <w:tcW w:w="1800" w:type="dxa"/>
            <w:tcMar>
              <w:top w:w="65" w:type="dxa"/>
              <w:left w:w="95" w:type="dxa"/>
              <w:bottom w:w="65" w:type="dxa"/>
              <w:right w:w="95" w:type="dxa"/>
            </w:tcMar>
            <w:vAlign w:val="center"/>
          </w:tcPr>
          <w:p w14:paraId="24A56F43" w14:textId="77777777" w:rsidR="00BC3589" w:rsidRDefault="0080647A">
            <w:pPr>
              <w:pStyle w:val="TableText"/>
            </w:pPr>
            <w:r>
              <w:rPr>
                <w:b/>
              </w:rPr>
              <w:t>Show ROI ID Legend</w:t>
            </w:r>
          </w:p>
        </w:tc>
        <w:tc>
          <w:tcPr>
            <w:tcW w:w="2952" w:type="dxa"/>
            <w:tcMar>
              <w:top w:w="65" w:type="dxa"/>
              <w:left w:w="95" w:type="dxa"/>
              <w:bottom w:w="65" w:type="dxa"/>
              <w:right w:w="95" w:type="dxa"/>
            </w:tcMar>
            <w:vAlign w:val="center"/>
          </w:tcPr>
          <w:p w14:paraId="79AA23B2" w14:textId="77777777" w:rsidR="00BC3589" w:rsidRDefault="0080647A">
            <w:pPr>
              <w:pStyle w:val="TableText"/>
            </w:pPr>
            <w:r>
              <w:t>off</w:t>
            </w:r>
          </w:p>
        </w:tc>
        <w:tc>
          <w:tcPr>
            <w:tcW w:w="4925" w:type="dxa"/>
            <w:tcMar>
              <w:top w:w="65" w:type="dxa"/>
              <w:left w:w="95" w:type="dxa"/>
              <w:bottom w:w="65" w:type="dxa"/>
              <w:right w:w="95" w:type="dxa"/>
            </w:tcMar>
            <w:vAlign w:val="center"/>
          </w:tcPr>
          <w:p w14:paraId="0F286A04" w14:textId="77777777" w:rsidR="00BC3589" w:rsidRDefault="0080647A">
            <w:pPr>
              <w:pStyle w:val="TableText"/>
            </w:pPr>
            <w:r>
              <w:t>Optional ROI ID/color key in the first rendered view; at most 16 entries are shown, with an overflow count. It is not a value colorbar.</w:t>
            </w:r>
          </w:p>
        </w:tc>
      </w:tr>
      <w:tr w:rsidR="00BC3589" w14:paraId="055DB73B" w14:textId="77777777">
        <w:trPr>
          <w:cantSplit/>
        </w:trPr>
        <w:tc>
          <w:tcPr>
            <w:tcW w:w="1800" w:type="dxa"/>
            <w:tcMar>
              <w:top w:w="65" w:type="dxa"/>
              <w:left w:w="95" w:type="dxa"/>
              <w:bottom w:w="65" w:type="dxa"/>
              <w:right w:w="95" w:type="dxa"/>
            </w:tcMar>
            <w:vAlign w:val="center"/>
          </w:tcPr>
          <w:p w14:paraId="3978A716" w14:textId="77777777" w:rsidR="00BC3589" w:rsidRDefault="0080647A">
            <w:pPr>
              <w:pStyle w:val="TableText"/>
            </w:pPr>
            <w:r>
              <w:rPr>
                <w:b/>
              </w:rPr>
              <w:t>ROI Color / Load ROI Colors... / Custom table</w:t>
            </w:r>
          </w:p>
        </w:tc>
        <w:tc>
          <w:tcPr>
            <w:tcW w:w="2952" w:type="dxa"/>
            <w:tcMar>
              <w:top w:w="65" w:type="dxa"/>
              <w:left w:w="95" w:type="dxa"/>
              <w:bottom w:w="65" w:type="dxa"/>
              <w:right w:w="95" w:type="dxa"/>
            </w:tcMar>
            <w:vAlign w:val="center"/>
          </w:tcPr>
          <w:p w14:paraId="64AEB974" w14:textId="77777777" w:rsidR="00BC3589" w:rsidRDefault="0080647A">
            <w:pPr>
              <w:pStyle w:val="TableText"/>
            </w:pPr>
            <w:r>
              <w:rPr>
                <w:rFonts w:ascii="Consolas" w:hAnsi="Consolas"/>
                <w:sz w:val="18"/>
              </w:rPr>
              <w:t>[0.8 0.2 0.2]</w:t>
            </w:r>
            <w:r>
              <w:t xml:space="preserve"> / no table</w:t>
            </w:r>
          </w:p>
        </w:tc>
        <w:tc>
          <w:tcPr>
            <w:tcW w:w="4925" w:type="dxa"/>
            <w:tcMar>
              <w:top w:w="65" w:type="dxa"/>
              <w:left w:w="95" w:type="dxa"/>
              <w:bottom w:w="65" w:type="dxa"/>
              <w:right w:w="95" w:type="dxa"/>
            </w:tcMar>
            <w:vAlign w:val="center"/>
          </w:tcPr>
          <w:p w14:paraId="1E0D7567" w14:textId="77777777" w:rsidR="00BC3589" w:rsidRDefault="0080647A">
            <w:pPr>
              <w:pStyle w:val="TableText"/>
            </w:pPr>
            <w:r>
              <w:t xml:space="preserve">ROI Color applies in Uniform. For Custom, enter or load rows </w:t>
            </w:r>
            <w:r>
              <w:rPr>
                <w:rFonts w:ascii="Consolas" w:hAnsi="Consolas"/>
                <w:sz w:val="18"/>
              </w:rPr>
              <w:t>ROI_ID R G B</w:t>
            </w:r>
            <w:r>
              <w:t>, unique positive integer IDs and finite RGB in [0,1]. Every selected ID present in the volume needs a color; missing rows cause an error rather than a fallback.</w:t>
            </w:r>
          </w:p>
        </w:tc>
      </w:tr>
      <w:tr w:rsidR="00BC3589" w14:paraId="43F42CBA" w14:textId="77777777">
        <w:trPr>
          <w:cantSplit/>
        </w:trPr>
        <w:tc>
          <w:tcPr>
            <w:tcW w:w="1800" w:type="dxa"/>
            <w:tcMar>
              <w:top w:w="65" w:type="dxa"/>
              <w:left w:w="95" w:type="dxa"/>
              <w:bottom w:w="65" w:type="dxa"/>
              <w:right w:w="95" w:type="dxa"/>
            </w:tcMar>
            <w:vAlign w:val="center"/>
          </w:tcPr>
          <w:p w14:paraId="774AF87E" w14:textId="77777777" w:rsidR="00BC3589" w:rsidRDefault="0080647A">
            <w:pPr>
              <w:pStyle w:val="TableText"/>
            </w:pPr>
            <w:r>
              <w:rPr>
                <w:b/>
              </w:rPr>
              <w:t>ROI Smoo</w:t>
            </w:r>
            <w:r>
              <w:rPr>
                <w:b/>
              </w:rPr>
              <w:t>thing / Smoothing Kernel</w:t>
            </w:r>
          </w:p>
        </w:tc>
        <w:tc>
          <w:tcPr>
            <w:tcW w:w="2952" w:type="dxa"/>
            <w:tcMar>
              <w:top w:w="65" w:type="dxa"/>
              <w:left w:w="95" w:type="dxa"/>
              <w:bottom w:w="65" w:type="dxa"/>
              <w:right w:w="95" w:type="dxa"/>
            </w:tcMar>
            <w:vAlign w:val="center"/>
          </w:tcPr>
          <w:p w14:paraId="122C0478" w14:textId="77777777" w:rsidR="00BC3589" w:rsidRDefault="0080647A">
            <w:pPr>
              <w:pStyle w:val="TableText"/>
            </w:pPr>
            <w:r>
              <w:t>Gaussian / 3</w:t>
            </w:r>
          </w:p>
        </w:tc>
        <w:tc>
          <w:tcPr>
            <w:tcW w:w="4925" w:type="dxa"/>
            <w:tcMar>
              <w:top w:w="65" w:type="dxa"/>
              <w:left w:w="95" w:type="dxa"/>
              <w:bottom w:w="65" w:type="dxa"/>
              <w:right w:w="95" w:type="dxa"/>
            </w:tcMar>
            <w:vAlign w:val="center"/>
          </w:tcPr>
          <w:p w14:paraId="3DB42B76" w14:textId="77777777" w:rsidR="00BC3589" w:rsidRDefault="0080647A">
            <w:pPr>
              <w:pStyle w:val="TableText"/>
            </w:pPr>
            <w:r>
              <w:t>None, Box or Gaussian. Kernel is in voxels; 1 disables smoothing, and larger effective odd kernels soften boundaries. This is display mesh smoothing, not a change to the stored volume or scientific cluster IDs.</w:t>
            </w:r>
          </w:p>
        </w:tc>
      </w:tr>
    </w:tbl>
    <w:p w14:paraId="0964B3C4" w14:textId="77777777" w:rsidR="00BC3589" w:rsidRDefault="0080647A">
      <w:pPr>
        <w:spacing w:after="0"/>
      </w:pPr>
      <w:r>
        <w:rPr>
          <w:sz w:val="6"/>
        </w:rPr>
        <w:t xml:space="preserve"> </w:t>
      </w:r>
    </w:p>
    <w:p w14:paraId="775111A9" w14:textId="77777777" w:rsidR="00BC3589" w:rsidRDefault="0080647A">
      <w:r>
        <w:lastRenderedPageBreak/>
        <w:t xml:space="preserve">ROI </w:t>
      </w:r>
      <w:r>
        <w:t>P Value follows the legacy sequence: convert P to a statistic cutoff, discard subthreshold/nonfinite voxels, remove components smaller than Cluster Size, then number surviving components. Positive and negative T/R/Z voxels in contact can form one ROI; F ex</w:t>
      </w:r>
      <w:r>
        <w:t xml:space="preserve">cludes negative values. The cutoff, degrees of freedom, metadata source, removed clusters and resulting IDs are recorded in preparation provenance. Missing/contradictory metadata raises an error. This is an </w:t>
      </w:r>
      <w:r>
        <w:rPr>
          <w:b/>
        </w:rPr>
        <w:t>uncorrected voxelwise threshold</w:t>
      </w:r>
      <w:r>
        <w:t>; Cluster Size doe</w:t>
      </w:r>
      <w:r>
        <w:t>s not by itself establish cluster-level significance, and no multiple-comparison correction or registration is performed. An atlas should normally use None, not P Value.</w:t>
      </w:r>
    </w:p>
    <w:p w14:paraId="7C1F67B8" w14:textId="77777777" w:rsidR="00BC3589" w:rsidRDefault="0080647A">
      <w:r>
        <w:t xml:space="preserve">ROI meshes use a 0.5 isosurface and a virtual zero halo to close regions touching volume borders. Smoothing checks each original 26-connected component and conservatively falls back to the whole original ROI if one would disappear. This does not guarantee volume, thin-branch or full topology preservation. In MATLAB, active smoothing with kernel &gt;1 requires Image Processing Toolbox (bwconncomp); without it choose None or kernel 1. See ROI geometry, custom colors and statistical numbering. Recheck a Custom table whenever statistical filtering changes IDs. Automatic atlas/statistic classification is not provided.</w:t>
      </w:r>
      <w:r>
        <w:rPr>
          <w:b/>
        </w:rPr>
        <w:t/>
      </w:r>
      <w:r>
        <w:t xml:space="preserve"/>
      </w:r>
      <w:r>
        <w:t/>
      </w:r>
      <w:r>
        <w:rPr>
          <w:rFonts w:ascii="Consolas" w:hAnsi="Consolas"/>
          <w:sz w:val="18"/>
        </w:rPr>
        <w:t/>
      </w:r>
      <w:r>
        <w:t/>
      </w:r>
      <w:r>
        <w:t/>
      </w:r>
    </w:p>
    <w:p w14:paraId="5BDAEA43" w14:textId="77777777" w:rsidR="00BC3589" w:rsidRDefault="0080647A">
      <w:pPr>
        <w:keepNext/>
        <w:spacing w:before="180" w:after="60"/>
        <w:jc w:val="center"/>
      </w:pPr>
      <w:r>
        <w:rPr>
          <w:noProof/>
        </w:rPr>
        <w:drawing>
          <wp:inline distT="0" distB="0" distL="0" distR="0" wp14:anchorId="56A63E94" wp14:editId="42BBA356">
            <wp:extent cx="5989320" cy="3744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bilateral-insula-full-window.png"/>
                    <pic:cNvPicPr/>
                  </pic:nvPicPr>
                  <pic:blipFill>
                    <a:blip r:embed="rId24"/>
                    <a:stretch>
                      <a:fillRect/>
                    </a:stretch>
                  </pic:blipFill>
                  <pic:spPr>
                    <a:xfrm>
                      <a:off x="0" y="0"/>
                      <a:ext cx="5989320" cy="3744333"/>
                    </a:xfrm>
                    <a:prstGeom prst="rect">
                      <a:avLst/>
                    </a:prstGeom>
                  </pic:spPr>
                </pic:pic>
              </a:graphicData>
            </a:graphic>
          </wp:inline>
        </w:drawing>
      </w:r>
    </w:p>
    <w:p w14:paraId="785A063F" w14:textId="77777777" w:rsidR="00BC3589" w:rsidRDefault="0080647A">
      <w:pPr>
        <w:pStyle w:val="FigureCaption"/>
        <w:jc w:val="center"/>
      </w:pPr>
      <w:r>
        <w:t xml:space="preserve">Figure 16. Bilateral AAL insula regions displayed above a translucent surface. MATLAB illustration.</w:t>
      </w:r>
    </w:p>
    <w:p>
      <w:pPr>
        <w:pStyle w:val="Heading2"/>
        <w:keepNext/>
      </w:pPr>
      <w:r>
        <w:t xml:space="preserve">Python ROI and null display</w:t>
      </w:r>
    </w:p>
    <w:p>
      <w:pPr>
        <w:pStyle w:val="Normal"/>
      </w:pPr>
      <w:r>
        <w:t xml:space="preserve">Python ROI processing uses its Python numerical dependencies rather than MATLAB Image Processing Toolbox. Kernel smoothing is for display; component safeguards are not a guarantee of full topology or volume preservation. A hemisphere-only surface restricts displayed ROIs to the corresponding hemisphere. Statistical component IDs can change with threshold, cluster size or connectivity.</w:t>
      </w:r>
    </w:p>
    <w:p>
      <w:pPr>
        <w:pStyle w:val="Normal"/>
      </w:pPr>
      <w:r>
        <w:t xml:space="preserve">Adjust for Null in Python uses the original surface color for null/zero mapped values. MATLAB retains an editable Null Color control for volume mapping. Zero/missing values in vertex scalar maps also retain the original surface color; a null color is a display convention, not by itself statistical significance.</w:t>
      </w:r>
    </w:p>
    <w:p w14:paraId="7B59E214" w14:textId="77777777" w:rsidR="00BC3589" w:rsidRDefault="0080647A">
      <w:pPr>
        <w:pStyle w:val="Heading1"/>
        <w:pageBreakBefore/>
      </w:pPr>
      <w:bookmarkStart w:id="12" w:name="bnv_chapter_12"/>
      <w:r>
        <w:lastRenderedPageBreak/>
        <w:t xml:space="preserve">12 Colormaps and presets</w:t>
      </w:r>
      <w:bookmarkEnd w:id="12"/>
    </w:p>
    <w:p w14:paraId="424314A3" w14:textId="77777777" w:rsidR="00BC3589" w:rsidRDefault="0080647A">
      <w:r>
        <w:t>Use custom colormaps to control display colors and visualization presets to reuse settings across datasets. A colormap changes appearance, not numerical values, threshold</w:t>
      </w:r>
      <w:r>
        <w:t>s or registration. A preset transfers display settings, not data files.</w:t>
      </w:r>
    </w:p>
    <w:p w14:paraId="227B7AB9" w14:textId="77777777" w:rsidR="00BC3589" w:rsidRDefault="0080647A">
      <w:pPr>
        <w:pStyle w:val="Heading2"/>
      </w:pPr>
      <w:r>
        <w:t>Custom RGB colormaps</w:t>
      </w:r>
    </w:p>
    <w:p w14:paraId="761FC5F3" w14:textId="77777777" w:rsidR="00BC3589" w:rsidRDefault="0080647A">
      <w:r>
        <w:t xml:space="preserve">Open </w:t>
      </w:r>
      <w:r>
        <w:rPr>
          <w:b/>
        </w:rPr>
        <w:t>Colors...</w:t>
      </w:r>
      <w:r>
        <w:t xml:space="preserve"> below </w:t>
      </w:r>
      <w:r>
        <w:rPr>
          <w:b/>
        </w:rPr>
        <w:t>Load Preset / Save Preset</w:t>
      </w:r>
      <w:r>
        <w:t xml:space="preserve"> in the right-hand Visualization Settings panel. The editor has four independent </w:t>
      </w:r>
      <w:r>
        <w:rPr>
          <w:b/>
        </w:rPr>
        <w:t>Target</w:t>
      </w:r>
      <w:r>
        <w:t xml:space="preserve"> choices: </w:t>
      </w:r>
      <w:r>
        <w:rPr>
          <w:b/>
        </w:rPr>
        <w:t>Surface</w:t>
      </w:r>
      <w:r>
        <w:t xml:space="preserve">, </w:t>
      </w:r>
      <w:r>
        <w:rPr>
          <w:b/>
        </w:rPr>
        <w:t>Nodes</w:t>
      </w:r>
      <w:r>
        <w:t xml:space="preserve">, </w:t>
      </w:r>
      <w:r>
        <w:rPr>
          <w:b/>
        </w:rPr>
        <w:t>Edge</w:t>
      </w:r>
      <w:r>
        <w:rPr>
          <w:b/>
        </w:rPr>
        <w:t>s</w:t>
      </w:r>
      <w:r>
        <w:t xml:space="preserve"> and </w:t>
      </w:r>
      <w:r>
        <w:rPr>
          <w:b/>
        </w:rPr>
        <w:t>Volume</w:t>
      </w:r>
      <w:r>
        <w:t xml:space="preserve">. Volume uses one signed colormap, not separate positive and negative palettes. Named choices now include Viridis, Plasma, Inferno, Magma and Cividis; these are also available directly from each target's colormap selector. Choose a named </w:t>
      </w:r>
      <w:r>
        <w:rPr>
          <w:b/>
        </w:rPr>
        <w:t>Preset</w:t>
      </w:r>
      <w:r>
        <w:t xml:space="preserve"> and </w:t>
      </w:r>
      <w:r>
        <w:rPr>
          <w:b/>
        </w:rPr>
        <w:t>Count</w:t>
      </w:r>
      <w:r>
        <w:t xml:space="preserve"> (2–4096 rows), then </w:t>
      </w:r>
      <w:r>
        <w:rPr>
          <w:b/>
        </w:rPr>
        <w:t>Generate</w:t>
      </w:r>
      <w:r>
        <w:t xml:space="preserve">; </w:t>
      </w:r>
      <w:r>
        <w:rPr>
          <w:b/>
        </w:rPr>
        <w:t>Resample</w:t>
      </w:r>
      <w:r>
        <w:t xml:space="preserve"> interpolates the current table to Count, and </w:t>
      </w:r>
      <w:r>
        <w:rPr>
          <w:b/>
        </w:rPr>
        <w:t>Reverse</w:t>
      </w:r>
      <w:r>
        <w:t xml:space="preserve"> reverses its row order. The Red/Green/Blue table accepts finite components in [0,1]; a valid edit updates the preview. </w:t>
      </w:r>
      <w:r>
        <w:rPr>
          <w:b/>
        </w:rPr>
        <w:t>Import...</w:t>
      </w:r>
      <w:r>
        <w:t xml:space="preserve"> reads RGB TXT/JSON; </w:t>
      </w:r>
      <w:r>
        <w:rPr>
          <w:b/>
        </w:rPr>
        <w:t>Export...</w:t>
      </w:r>
      <w:r>
        <w:t xml:space="preserve"> writes the current target's table only, without applying it. Existing export files require an ov</w:t>
      </w:r>
      <w:r>
        <w:t>erwrite decision.</w:t>
      </w:r>
    </w:p>
    <w:p w14:paraId="3BF9E4B4" w14:textId="77777777" w:rsidR="00BC3589" w:rsidRDefault="0080647A">
      <w:r>
        <w:rPr>
          <w:b/>
        </w:rPr>
        <w:t>Use in Settings</w:t>
      </w:r>
      <w:r>
        <w:t xml:space="preserve"> stages the four maps in the right-hand panel and closes the editor. </w:t>
      </w:r>
      <w:r>
        <w:rPr>
          <w:b/>
        </w:rPr>
        <w:t>Cancel</w:t>
      </w:r>
      <w:r>
        <w:t>/closing discards editor changes. A merely viewed named map stays named; modifying it produces an embedded numeric map. Choose a display mode that c</w:t>
      </w:r>
      <w:r>
        <w:t xml:space="preserve">onsumes that target's colormap, then press the single panel-bottom </w:t>
      </w:r>
      <w:r>
        <w:rPr>
          <w:b/>
        </w:rPr>
        <w:t>Apply</w:t>
      </w:r>
      <w:r>
        <w:t xml:space="preserve">: it commits settings </w:t>
      </w:r>
      <w:r>
        <w:rPr>
          <w:b/>
        </w:rPr>
        <w:t>and renders</w:t>
      </w:r>
      <w:r>
        <w:t xml:space="preserve">. </w:t>
      </w:r>
      <w:r>
        <w:rPr>
          <w:b/>
        </w:rPr>
        <w:t>Revert</w:t>
      </w:r>
      <w:r>
        <w:t xml:space="preserve"> discards pending panel edits. A separate Render Scene click is unnecessary after a successful Apply.</w:t>
      </w:r>
    </w:p>
    <w:p w14:paraId="7CC796BE" w14:textId="77777777" w:rsidR="00BC3589" w:rsidRDefault="0080647A">
      <w:pPr>
        <w:keepNext/>
        <w:spacing w:before="180" w:after="60"/>
        <w:jc w:val="center"/>
      </w:pPr>
      <w:r>
        <w:rPr>
          <w:noProof/>
        </w:rPr>
        <w:drawing>
          <wp:inline distT="0" distB="0" distL="0" distR="0" wp14:anchorId="61ABF26E" wp14:editId="1C804041">
            <wp:extent cx="4389120" cy="3753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olume-colormap-editor.png"/>
                    <pic:cNvPicPr/>
                  </pic:nvPicPr>
                  <pic:blipFill>
                    <a:blip r:embed="rId26"/>
                    <a:stretch>
                      <a:fillRect/>
                    </a:stretch>
                  </pic:blipFill>
                  <pic:spPr>
                    <a:xfrm>
                      <a:off x="0" y="0"/>
                      <a:ext cx="4389120" cy="3753852"/>
                    </a:xfrm>
                    <a:prstGeom prst="rect">
                      <a:avLst/>
                    </a:prstGeom>
                  </pic:spPr>
                </pic:pic>
              </a:graphicData>
            </a:graphic>
          </wp:inline>
        </w:drawing>
      </w:r>
    </w:p>
    <w:p w14:paraId="0FEEF08F" w14:textId="77777777" w:rsidR="00BC3589" w:rsidRDefault="0080647A">
      <w:pPr>
        <w:pStyle w:val="FigureCaption"/>
        <w:jc w:val="center"/>
      </w:pPr>
      <w:r>
        <w:t xml:space="preserve">Figure 17. The custom Volume colormap editor before the colors are applied to the scene. MATLAB illustration.</w:t>
      </w:r>
      <w:r>
        <w:t/>
      </w:r>
    </w:p>
    <w:p w14:paraId="5C8F6967" w14:textId="77777777" w:rsidR="00BC3589" w:rsidRDefault="0080647A">
      <w:r>
        <w:lastRenderedPageBreak/>
        <w:t xml:space="preserve">Surface Scalar, Node Mapped/Modules, Edge Mapped, and Volume Surface Map are examples of applicable consumers. In </w:t>
      </w:r>
      <w:r>
        <w:rPr>
          <w:b/>
        </w:rPr>
        <w:t>Edge Node Module</w:t>
      </w:r>
      <w:r>
        <w:t xml:space="preserve"> mode, same-module edges inherit the </w:t>
      </w:r>
      <w:r>
        <w:rPr>
          <w:b/>
        </w:rPr>
        <w:t>Node</w:t>
      </w:r>
      <w:r>
        <w:t xml:space="preserve"> module palette, not the Edge color</w:t>
      </w:r>
      <w:r>
        <w:t xml:space="preserve">map. Node and Edge fixed threshold colors do not use the continuous palette. For </w:t>
      </w:r>
      <w:r>
        <w:rPr>
          <w:b/>
        </w:rPr>
        <w:t>Volume Display Values = Positive &amp; Negative</w:t>
      </w:r>
      <w:r>
        <w:t>, the one map is split at its midpoint between negative and positive values; review the resulting signed colorbar and limits. The RO</w:t>
      </w:r>
      <w:r>
        <w:t xml:space="preserve">I </w:t>
      </w:r>
      <w:r>
        <w:rPr>
          <w:b/>
        </w:rPr>
        <w:t>Label Index</w:t>
      </w:r>
      <w:r>
        <w:t xml:space="preserve"> palette is a separate categorical selector in Volume settings, not an editor target. Numeric palettes are RGB-interpolated, not guaranteed perceptually uniform or accessible. See the node, edge, volume and ROI chapters before interpreting col</w:t>
      </w:r>
      <w:r>
        <w:t>ors scientifically.</w:t>
      </w:r>
    </w:p>
    <w:p w14:paraId="04CB6AE4" w14:textId="77777777" w:rsidR="00BC3589" w:rsidRDefault="0080647A">
      <w:r>
        <w:t xml:space="preserve">MATLAB RGB JSON uses kind brainnet-colormap, schema 1.0 and a colors array. Python exports a plain RGB array and accepts supported rgb/colors objects; the edition schemas are not assumed identical. A reviewed three-column RGB text table is a simpler exchange route. RGB components must be finite and in [0,1]; importing a table changes colors, not scientific data. Treat legacy EC MAT configuration as trusted input.</w:t>
      </w:r>
      <w:r>
        <w:rPr>
          <w:rFonts w:ascii="Consolas" w:hAnsi="Consolas"/>
          <w:sz w:val="18"/>
        </w:rPr>
        <w:t/>
      </w:r>
      <w:r>
        <w:t xml:space="preserve"/>
      </w:r>
      <w:r>
        <w:rPr>
          <w:rFonts w:ascii="Consolas" w:hAnsi="Consolas"/>
          <w:sz w:val="18"/>
        </w:rPr>
        <w:t/>
      </w:r>
      <w:r>
        <w:t xml:space="preserve"/>
      </w:r>
      <w:r>
        <w:rPr>
          <w:rFonts w:ascii="Consolas" w:hAnsi="Consolas"/>
          <w:sz w:val="18"/>
        </w:rPr>
        <w:t/>
      </w:r>
      <w:r>
        <w:t xml:space="preserve"/>
      </w:r>
      <w:r>
        <w:t/>
      </w:r>
    </w:p>
    <w:p w14:paraId="0AD05179" w14:textId="77777777" w:rsidR="00BC3589" w:rsidRDefault="0080647A">
      <w:pPr>
        <w:pStyle w:val="Heading2"/>
      </w:pPr>
      <w:r>
        <w:t xml:space="preserve">Save </w:t>
      </w:r>
      <w:r>
        <w:t>and load a display preset</w:t>
      </w:r>
    </w:p>
    <w:p w14:paraId="74D23B9D" w14:textId="77777777" w:rsidR="00BC3589" w:rsidRDefault="0080647A">
      <w:pPr>
        <w:pStyle w:val="ListNumber"/>
      </w:pPr>
      <w:r>
        <w:t xml:space="preserve">Load a dataset and edit Visualization Settings. Press </w:t>
      </w:r>
      <w:r>
        <w:rPr>
          <w:b/>
        </w:rPr>
        <w:t>Apply</w:t>
      </w:r>
      <w:r>
        <w:t xml:space="preserve"> to commit and render.</w:t>
      </w:r>
    </w:p>
    <w:p w14:paraId="4045D9C4" w14:textId="77777777" w:rsidR="00BC3589" w:rsidRDefault="0080647A">
      <w:pPr>
        <w:pStyle w:val="ListNumber"/>
      </w:pPr>
      <w:r>
        <w:t xml:space="preserve">MATLAB Save Preset captures applied settings. Python Save Preset can capture current panel values including pending edits. Apply first to save the intended rendered configuration. Neither preset packages input files, session camera or export-panel preferences.</w:t>
      </w:r>
      <w:r>
        <w:rPr>
          <w:b/>
        </w:rPr>
        <w:t/>
      </w:r>
      <w:r>
        <w:t xml:space="preserve"/>
      </w:r>
      <w:r>
        <w:rPr>
          <w:rFonts w:ascii="Consolas" w:hAnsi="Consolas"/>
          <w:sz w:val="18"/>
        </w:rPr>
        <w:t/>
      </w:r>
      <w:r>
        <w:t xml:space="preserve"/>
      </w:r>
      <w:r>
        <w:rPr>
          <w:b/>
        </w:rPr>
        <w:t/>
      </w:r>
      <w:r>
        <w:t xml:space="preserve"/>
      </w:r>
      <w:r>
        <w:t/>
      </w:r>
    </w:p>
    <w:p w14:paraId="52C0050D" w14:textId="77777777" w:rsidR="00BC3589" w:rsidRDefault="0080647A">
      <w:pPr>
        <w:pStyle w:val="ListNumber"/>
      </w:pPr>
      <w:r>
        <w:t xml:space="preserve">With another dataset, select Load Preset and review the resulting controls. MATLAB confirmation replaces pending display settings and clears the old render/camera; Python stages normalized settings for review. Apply commits and renders. Recheck data-specific ranges and thresholds.</w:t>
      </w:r>
      <w:r>
        <w:rPr>
          <w:b/>
        </w:rPr>
        <w:t/>
      </w:r>
      <w:r>
        <w:t/>
      </w:r>
      <w:r>
        <w:t xml:space="preserve"/>
      </w:r>
      <w:r>
        <w:rPr>
          <w:b/>
        </w:rPr>
        <w:t/>
      </w:r>
      <w:r>
        <w:t xml:space="preserve"/>
      </w:r>
    </w:p>
    <w:p w14:paraId="2B8E9D30" w14:textId="77777777" w:rsidR="00BC3589" w:rsidRDefault="0080647A">
      <w:pPr>
        <w:pStyle w:val="ListNumber"/>
      </w:pPr>
      <w:r>
        <w:t>Recheck data-specific color limits, thresholds, units, selected ROI IDs and anatomy before exporting. A role-compatibility warning is not proof of spatial registration or scientific validity.</w:t>
      </w:r>
    </w:p>
    <w:p w14:paraId="19310FA2" w14:textId="77777777" w:rsidR="00BC3589" w:rsidRDefault="0080647A">
      <w:r>
        <w:rPr>
          <w:b/>
        </w:rPr>
        <w:t xml:space="preserve">Save Scene is different: it records one Scene's input references, settings and (when saved from the modern App) session camera/export preferences; MATLAB inputs are referenced, whereas Python saves companion assets beside the JSON. Invalid, unknown-version or explicitly input/camera-bearing preset JSON is rejected. Cancellation and failed validation do not replace the current settings. Fiber rendering remains unavailable; Surface Map and statistical ROI P-value presets require supported statistic metadata in the selected NIfTI. Preset names/titles may contain private text; review before sharing.</w:t>
      </w:r>
      <w:r>
        <w:rPr>
          <w:b/>
        </w:rPr>
        <w:t/>
      </w:r>
      <w:r>
        <w:t xml:space="preserve"/>
      </w:r>
      <w:r>
        <w:t/>
      </w:r>
      <w:r>
        <w:t/>
      </w:r>
    </w:p>
    <w:p w14:paraId="0A31817D" w14:textId="77777777" w:rsidR="00BC3589" w:rsidRDefault="0080647A">
      <w:r>
        <w:t>The real-data illustrated exercise shows custom Volume RGB staging, Apply and preset replay. Check the resulting colorbar and limits against the loaded data before reusing a preset in a figure.</w:t>
      </w:r>
    </w:p>
    <w:p w14:paraId="28413E67" w14:textId="77777777" w:rsidR="00BC3589" w:rsidRDefault="0080647A">
      <w:pPr>
        <w:pStyle w:val="Heading1"/>
        <w:pageBreakBefore/>
      </w:pPr>
      <w:bookmarkStart w:id="13" w:name="bnv_chapter_13"/>
      <w:r>
        <w:lastRenderedPageBreak/>
        <w:t xml:space="preserve">13 Figure export</w:t>
      </w:r>
      <w:r>
        <w:t/>
      </w:r>
      <w:bookmarkEnd w:id="13"/>
    </w:p>
    <w:p w14:paraId="6A03AC6A" w14:textId="77777777" w:rsidR="00BC3589" w:rsidRDefault="0080647A">
      <w:r>
        <w:t>Export requires a currently rendered Scene; a loaded but unrendered Scene cannot be exported. Export is an output operation, not a change to the scientific data or applied settings.</w:t>
      </w:r>
    </w:p>
    <w:p w14:paraId="29FA44C9" w14:textId="77777777" w:rsidR="00BC3589" w:rsidRDefault="0080647A">
      <w:pPr>
        <w:keepNext/>
        <w:spacing w:before="180" w:after="60"/>
        <w:jc w:val="center"/>
      </w:pPr>
      <w:r>
        <w:rPr>
          <w:noProof/>
        </w:rPr>
        <w:drawing>
          <wp:inline distT="0" distB="0" distL="0" distR="0" wp14:anchorId="7F2DAC5D" wp14:editId="163A792D">
            <wp:extent cx="5989320" cy="3833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our-view-export-full-window.png"/>
                    <pic:cNvPicPr/>
                  </pic:nvPicPr>
                  <pic:blipFill>
                    <a:blip r:embed="rId27"/>
                    <a:stretch>
                      <a:fillRect/>
                    </a:stretch>
                  </pic:blipFill>
                  <pic:spPr>
                    <a:xfrm>
                      <a:off x="0" y="0"/>
                      <a:ext cx="5989320" cy="3833165"/>
                    </a:xfrm>
                    <a:prstGeom prst="rect">
                      <a:avLst/>
                    </a:prstGeom>
                  </pic:spPr>
                </pic:pic>
              </a:graphicData>
            </a:graphic>
          </wp:inline>
        </w:drawing>
      </w:r>
      <w:r>
        <w:rPr>
          <w:rStyle w:val="CommentReference"/>
        </w:rPr>
      </w:r>
    </w:p>
    <w:p w14:paraId="012DAA8A" w14:textId="77777777" w:rsidR="00BC3589" w:rsidRDefault="0080647A">
      <w:pPr>
        <w:pStyle w:val="FigureCaption"/>
        <w:jc w:val="center"/>
      </w:pPr>
      <w:r>
        <w:t xml:space="preserve">Figure 18. The red frame identifies Export Figure settings, including output format, dimensions and resolution. MATLAB illustration.</w:t>
      </w:r>
      <w:r>
        <w:t xml:space="preserve"/>
      </w:r>
    </w:p>
    <w:p w14:paraId="4FF4299A" w14:textId="77777777" w:rsidR="00BC3589" w:rsidRDefault="0080647A">
      <w:pPr>
        <w:pStyle w:val="Heading2"/>
      </w:pPr>
      <w:r>
        <w:t>Export a still figure</w:t>
      </w:r>
    </w:p>
    <w:p w14:paraId="64ECDEFF" w14:textId="77777777" w:rsidR="00BC3589" w:rsidRDefault="0080647A">
      <w:r>
        <w:t xml:space="preserve">After loading, configuring and rendering, use Export Figure below Data Sources. Select format, dimensions, units, DPI and Transparent, then choose a destination. The compact main panel has no separate Content or Background selector. With Transparent off, export uses the scientific canvas background; interface Light/Dark does not choose it.</w:t>
      </w:r>
      <w:r>
        <w:rPr>
          <w:b/>
        </w:rPr>
        <w:t/>
      </w:r>
      <w:r>
        <w:t xml:space="preserve"/>
      </w:r>
      <w:r>
        <w:rPr>
          <w:b/>
        </w:rPr>
        <w:t/>
      </w:r>
      <w:r>
        <w:t xml:space="preserve"/>
      </w:r>
      <w:r>
        <w:rPr>
          <w:b/>
        </w:rPr>
        <w:t/>
      </w:r>
      <w:r>
        <w:t xml:space="preserve"/>
      </w:r>
      <w:r>
        <w:rPr>
          <w:b/>
        </w:rPr>
        <w:t/>
      </w:r>
      <w:r>
        <w:t xml:space="preserve"/>
      </w:r>
      <w:r>
        <w:rPr>
          <w:b/>
        </w:rPr>
        <w:t/>
      </w:r>
      <w:r>
        <w:t/>
      </w:r>
      <w:r>
        <w:t xml:space="preserve"/>
      </w:r>
      <w:r>
        <w:rPr>
          <w:b/>
        </w:rPr>
        <w:t/>
      </w:r>
      <w:r>
        <w:t xml:space="preserve"/>
      </w:r>
      <w:r>
        <w:rPr>
          <w:b/>
        </w:rPr>
        <w:t/>
      </w:r>
      <w:r>
        <w:t xml:space="preserve"/>
      </w:r>
      <w:r>
        <w:rPr>
          <w:rFonts w:ascii="Consolas" w:hAnsi="Consolas"/>
          <w:sz w:val="18"/>
        </w:rPr>
        <w:t/>
      </w:r>
      <w:r>
        <w:t xml:space="preserve"/>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7CD1BBEB" w14:textId="77777777">
        <w:trPr>
          <w:tblHeader/>
        </w:trPr>
        <w:tc>
          <w:tcPr>
            <w:tcW w:w="4910" w:type="dxa"/>
            <w:shd w:val="clear" w:color="auto" w:fill="E8EDF3"/>
            <w:tcMar>
              <w:top w:w="65" w:type="dxa"/>
              <w:left w:w="95" w:type="dxa"/>
              <w:bottom w:w="65" w:type="dxa"/>
              <w:right w:w="95" w:type="dxa"/>
            </w:tcMar>
            <w:vAlign w:val="center"/>
          </w:tcPr>
          <w:p w14:paraId="6E33D113" w14:textId="77777777" w:rsidR="00BC3589" w:rsidRDefault="0080647A">
            <w:pPr>
              <w:pStyle w:val="TableText"/>
            </w:pPr>
            <w:r>
              <w:rPr>
                <w:b/>
              </w:rPr>
              <w:t>Control</w:t>
            </w:r>
          </w:p>
        </w:tc>
        <w:tc>
          <w:tcPr>
            <w:tcW w:w="4910" w:type="dxa"/>
            <w:shd w:val="clear" w:color="auto" w:fill="E8EDF3"/>
            <w:tcMar>
              <w:top w:w="65" w:type="dxa"/>
              <w:left w:w="95" w:type="dxa"/>
              <w:bottom w:w="65" w:type="dxa"/>
              <w:right w:w="95" w:type="dxa"/>
            </w:tcMar>
            <w:vAlign w:val="center"/>
          </w:tcPr>
          <w:p w14:paraId="54E8AA15" w14:textId="77777777" w:rsidR="00BC3589" w:rsidRDefault="0080647A">
            <w:pPr>
              <w:pStyle w:val="TableText"/>
            </w:pPr>
            <w:r>
              <w:rPr>
                <w:b/>
              </w:rPr>
              <w:t>Current choices and meaning</w:t>
            </w:r>
          </w:p>
        </w:tc>
      </w:tr>
      <w:tr w:rsidR="00BC3589" w14:paraId="474493F0" w14:textId="77777777">
        <w:trPr>
          <w:cantSplit/>
        </w:trPr>
        <w:tc>
          <w:tcPr>
            <w:tcW w:w="4910" w:type="dxa"/>
            <w:tcMar>
              <w:top w:w="65" w:type="dxa"/>
              <w:left w:w="95" w:type="dxa"/>
              <w:bottom w:w="65" w:type="dxa"/>
              <w:right w:w="95" w:type="dxa"/>
            </w:tcMar>
            <w:vAlign w:val="center"/>
          </w:tcPr>
          <w:p w14:paraId="152333D7" w14:textId="77777777" w:rsidR="00BC3589" w:rsidRDefault="0080647A">
            <w:pPr>
              <w:pStyle w:val="TableText"/>
            </w:pPr>
            <w:r>
              <w:rPr>
                <w:b/>
              </w:rPr>
              <w:t>Format</w:t>
            </w:r>
          </w:p>
        </w:tc>
        <w:tc>
          <w:tcPr>
            <w:tcW w:w="4910" w:type="dxa"/>
            <w:tcMar>
              <w:top w:w="65" w:type="dxa"/>
              <w:left w:w="95" w:type="dxa"/>
              <w:bottom w:w="65" w:type="dxa"/>
              <w:right w:w="95" w:type="dxa"/>
            </w:tcMar>
            <w:vAlign w:val="center"/>
          </w:tcPr>
          <w:p w14:paraId="02887030" w14:textId="77777777" w:rsidR="00BC3589" w:rsidRDefault="0080647A">
            <w:pPr>
              <w:pStyle w:val="TableText"/>
            </w:pPr>
            <w:r>
              <w:t xml:space="preserve">PNG, JPEG, TIFF, BMP, PDF or SVG. Raster formats produce </w:t>
            </w:r>
            <w:r>
              <w:t>pixels; PDF/SVG do not guarantee editable vector 3-D content.</w:t>
            </w:r>
          </w:p>
        </w:tc>
      </w:tr>
      <w:tr w:rsidR="00BC3589" w14:paraId="5C4B59D4" w14:textId="77777777">
        <w:trPr>
          <w:cantSplit/>
        </w:trPr>
        <w:tc>
          <w:tcPr>
            <w:tcW w:w="4910" w:type="dxa"/>
            <w:tcMar>
              <w:top w:w="65" w:type="dxa"/>
              <w:left w:w="95" w:type="dxa"/>
              <w:bottom w:w="65" w:type="dxa"/>
              <w:right w:w="95" w:type="dxa"/>
            </w:tcMar>
            <w:vAlign w:val="center"/>
          </w:tcPr>
          <w:p w14:paraId="2CEC485D" w14:textId="77777777" w:rsidR="00BC3589" w:rsidRDefault="0080647A">
            <w:pPr>
              <w:pStyle w:val="TableText"/>
            </w:pPr>
            <w:r>
              <w:rPr>
                <w:b/>
              </w:rPr>
              <w:t>DPI</w:t>
            </w:r>
            <w:r>
              <w:t xml:space="preserve">, </w:t>
            </w:r>
            <w:r>
              <w:rPr>
                <w:b/>
              </w:rPr>
              <w:t>Width</w:t>
            </w:r>
            <w:r>
              <w:t xml:space="preserve">, </w:t>
            </w:r>
            <w:r>
              <w:rPr>
                <w:b/>
              </w:rPr>
              <w:t>Height</w:t>
            </w:r>
            <w:r>
              <w:t xml:space="preserve">, </w:t>
            </w:r>
            <w:r>
              <w:rPr>
                <w:b/>
              </w:rPr>
              <w:t>Units</w:t>
            </w:r>
          </w:p>
        </w:tc>
        <w:tc>
          <w:tcPr>
            <w:tcW w:w="4910" w:type="dxa"/>
            <w:tcMar>
              <w:top w:w="65" w:type="dxa"/>
              <w:left w:w="95" w:type="dxa"/>
              <w:bottom w:w="65" w:type="dxa"/>
              <w:right w:w="95" w:type="dxa"/>
            </w:tcMar>
            <w:vAlign w:val="center"/>
          </w:tcPr>
          <w:p w14:paraId="7FA0F105" w14:textId="77777777" w:rsidR="00BC3589" w:rsidRDefault="0080647A">
            <w:pPr>
              <w:pStyle w:val="TableText"/>
            </w:pPr>
            <w:r>
              <w:t xml:space="preserve">Positive DPI and dimensions; units include Pixels, Millimeters/Millimetres, Centimeters/Centimetres, Inches and Points. Physical size is converted using DPI.</w:t>
            </w:r>
            <w:r>
              <w:t/>
            </w:r>
          </w:p>
        </w:tc>
      </w:tr>
      <w:tr w:rsidR="00BC3589" w14:paraId="3F770B27" w14:textId="77777777">
        <w:trPr>
          <w:cantSplit/>
        </w:trPr>
        <w:tc>
          <w:tcPr>
            <w:tcW w:w="4910" w:type="dxa"/>
            <w:tcMar>
              <w:top w:w="65" w:type="dxa"/>
              <w:left w:w="95" w:type="dxa"/>
              <w:bottom w:w="65" w:type="dxa"/>
              <w:right w:w="95" w:type="dxa"/>
            </w:tcMar>
            <w:vAlign w:val="center"/>
          </w:tcPr>
          <w:p w14:paraId="51C21486" w14:textId="77777777" w:rsidR="00BC3589" w:rsidRDefault="0080647A">
            <w:pPr>
              <w:pStyle w:val="TableText"/>
            </w:pPr>
            <w:r>
              <w:rPr>
                <w:b/>
              </w:rPr>
              <w:t xml:space="preserve">Content handling</w:t>
            </w:r>
          </w:p>
        </w:tc>
        <w:tc>
          <w:tcPr>
            <w:tcW w:w="4910" w:type="dxa"/>
            <w:tcMar>
              <w:top w:w="65" w:type="dxa"/>
              <w:left w:w="95" w:type="dxa"/>
              <w:bottom w:w="65" w:type="dxa"/>
              <w:right w:w="95" w:type="dxa"/>
            </w:tcMar>
            <w:vAlign w:val="center"/>
          </w:tcPr>
          <w:p w14:paraId="1D9A31D9" w14:textId="77777777" w:rsidR="00BC3589" w:rsidRDefault="0080647A">
            <w:pPr>
              <w:pStyle w:val="TableText"/>
            </w:pPr>
            <w:r>
              <w:t xml:space="preserve">No separate Content control in the compact main panel. PDF/SVG can include rasterized 3-D geometry; Python transparent PDF/SVG rasterizes the complete scene and annotations.</w:t>
            </w:r>
          </w:p>
        </w:tc>
      </w:tr>
      <w:tr w:rsidR="00BC3589" w14:paraId="25037DF6" w14:textId="77777777">
        <w:trPr>
          <w:cantSplit/>
        </w:trPr>
        <w:tc>
          <w:tcPr>
            <w:tcW w:w="4910" w:type="dxa"/>
            <w:tcMar>
              <w:top w:w="65" w:type="dxa"/>
              <w:left w:w="95" w:type="dxa"/>
              <w:bottom w:w="65" w:type="dxa"/>
              <w:right w:w="95" w:type="dxa"/>
            </w:tcMar>
            <w:vAlign w:val="center"/>
          </w:tcPr>
          <w:p w14:paraId="54F3AF48" w14:textId="77777777" w:rsidR="00BC3589" w:rsidRDefault="0080647A">
            <w:pPr>
              <w:pStyle w:val="TableText"/>
            </w:pPr>
            <w:r>
              <w:rPr>
                <w:b/>
              </w:rPr>
              <w:t xml:space="preserve">Transparent</w:t>
            </w:r>
          </w:p>
        </w:tc>
        <w:tc>
          <w:tcPr>
            <w:tcW w:w="4910" w:type="dxa"/>
            <w:tcMar>
              <w:top w:w="65" w:type="dxa"/>
              <w:left w:w="95" w:type="dxa"/>
              <w:bottom w:w="65" w:type="dxa"/>
              <w:right w:w="95" w:type="dxa"/>
            </w:tcMar>
            <w:vAlign w:val="center"/>
          </w:tcPr>
          <w:p w14:paraId="23984E60" w14:textId="77777777" w:rsidR="00BC3589" w:rsidRDefault="0080647A">
            <w:pPr>
              <w:pStyle w:val="TableText"/>
            </w:pPr>
            <w:r>
              <w:t xml:space="preserve">Transparent requests supported alpha output. With it off, use the canvas background. JPEG/BMP cannot be transparent; review actual output alpha rather than assuming it.</w:t>
            </w:r>
            <w:r>
              <w:t/>
            </w:r>
          </w:p>
        </w:tc>
      </w:tr>
    </w:tbl>
    <w:p w14:paraId="12040BFB" w14:textId="77777777" w:rsidR="00BC3589" w:rsidRDefault="0080647A">
      <w:pPr>
        <w:spacing w:after="0"/>
      </w:pPr>
      <w:r>
        <w:rPr>
          <w:sz w:val="6"/>
        </w:rPr>
        <w:lastRenderedPageBreak/>
        <w:t xml:space="preserve"> </w:t>
      </w:r>
    </w:p>
    <w:p w14:paraId="404C45D8" w14:textId="77777777" w:rsidR="00BC3589" w:rsidRDefault="0080647A">
      <w:r>
        <w:t>The file chooser may replace the selected output; choose a new path</w:t>
      </w:r>
      <w:r>
        <w:t xml:space="preserve"> if an existing file must be preserved. A successful export writes the figure </w:t>
      </w:r>
      <w:r>
        <w:rPr>
          <w:b/>
        </w:rPr>
        <w:t>and</w:t>
      </w:r>
      <w:r>
        <w:t xml:space="preserve"> a neighboring </w:t>
      </w:r>
      <w:r>
        <w:rPr>
          <w:rFonts w:ascii="Consolas" w:hAnsi="Consolas"/>
          <w:sz w:val="18"/>
        </w:rPr>
        <w:t>.provenance.json</w:t>
      </w:r>
      <w:r>
        <w:t xml:space="preserve"> sidecar with Scene/renderer/export information. Review that JSON and any absolute input paths or titles before sharing. Output preferences are </w:t>
      </w:r>
      <w:r>
        <w:t>part of an App-saved Scene session, but loading a display preset does not change them. The interface Light/Dark theme is not the figure background.</w:t>
      </w:r>
    </w:p>
    <w:p>
      <w:pPr>
        <w:pStyle w:val="Heading2"/>
        <w:keepNext/>
      </w:pPr>
      <w:r>
        <w:t xml:space="preserve">Python export and recovery</w:t>
      </w:r>
    </w:p>
    <w:p>
      <w:pPr>
        <w:pStyle w:val="Normal"/>
      </w:pPr>
      <w:r>
        <w:t xml:space="preserve">Both editions offer pixel and physical sizes including millimetres; MATLAB labels use Millimeters/Centimeters and Python uses Millimetres/Centimetres. Pixel export uses the requested dimensions; physical dimensions convert using DPI. A Python request is limited to 16–16000 pixels per dimension, 64 million pixels and integer DPI 1–2400.</w:t>
      </w:r>
    </w:p>
    <w:p>
      <w:pPr>
        <w:pStyle w:val="Normal"/>
      </w:pPr>
      <w:r>
        <w:t xml:space="preserve">Python opaque PDF/SVG contains raster brain geometry with supported vector annotations; SVG text can be glyph outlines. Transparent PDF/SVG uses a full RGBA raster. These files are not pure-vector editable brain meshes. JPEG/BMP cannot be transparent. Review saved dimensions, alpha, labels and the provenance sidecar.</w:t>
      </w:r>
    </w:p>
    <w:p>
      <w:pPr>
        <w:pStyle w:val="Normal"/>
      </w:pPr>
      <w:r>
        <w:t xml:space="preserve">After export or a reported error, the screen window, camera, DPI and colorbar fonts should return to the onscreen state. Close Figure Saved and review the main canvas. Preserve an existing image by choosing a new filename; do not assume a dialog grants permission to overwrite unrelated files.</w:t>
      </w:r>
    </w:p>
    <w:p w14:paraId="49204902" w14:textId="77777777" w:rsidR="00BC3589" w:rsidRDefault="0080647A">
      <w:pPr>
        <w:pStyle w:val="Heading1"/>
        <w:pageBreakBefore/>
      </w:pPr>
      <w:r>
        <w:t xml:space="preserve">14 Camera animation</w:t>
      </w:r>
    </w:p>
    <w:p w14:paraId="769DADE3" w14:textId="77777777" w:rsidR="00BC3589" w:rsidRDefault="0080647A">
      <w:r>
        <w:t xml:space="preserve">Render first and adjust the canvas camera, then choose Export Animation in Tools. The animation dialog exports the current static scene into a new folder; it does not animate changing connectivity or edit the main canvas/camera. Its defaults are 960 × 720 pixels, 5 seconds, 24 fps, world Z axis, 0°→360°, and Safe Fit on. Available formats are MP4 when the edition's encoder is available, Motion JPEG AVI, and PNG frame sequence. Choose Export... and a new folder name under an existing parent; existing bundle paths are never overwritten.</w:t>
      </w:r>
      <w:r>
        <w:rPr>
          <w:b/>
        </w:rPr>
        <w:t/>
      </w:r>
      <w:r>
        <w:t xml:space="preserve"/>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w:r>
      <w:r>
        <w:t xml:space="preserve"/>
      </w:r>
      <w:r>
        <w:rPr>
          <w:b/>
        </w:rPr>
        <w:t/>
      </w:r>
      <w:r>
        <w:t xml:space="preserve"/>
      </w:r>
    </w:p>
    <w:p w14:paraId="1A24C757" w14:textId="77777777" w:rsidR="00BC3589" w:rsidRDefault="0080647A">
      <w:pPr>
        <w:keepNext/>
        <w:spacing w:before="180" w:after="60"/>
        <w:jc w:val="center"/>
      </w:pPr>
      <w:r>
        <w:rPr>
          <w:noProof/>
        </w:rPr>
        <w:drawing>
          <wp:inline distT="0" distB="0" distL="0" distR="0" wp14:anchorId="5C4783E5" wp14:editId="3E9BCC25">
            <wp:extent cx="4389120" cy="37307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nimation-controls.png"/>
                    <pic:cNvPicPr/>
                  </pic:nvPicPr>
                  <pic:blipFill>
                    <a:blip r:embed="rId28"/>
                    <a:stretch>
                      <a:fillRect/>
                    </a:stretch>
                  </pic:blipFill>
                  <pic:spPr>
                    <a:xfrm>
                      <a:off x="0" y="0"/>
                      <a:ext cx="4389120" cy="3730752"/>
                    </a:xfrm>
                    <a:prstGeom prst="rect">
                      <a:avLst/>
                    </a:prstGeom>
                  </pic:spPr>
                </pic:pic>
              </a:graphicData>
            </a:graphic>
          </wp:inline>
        </w:drawing>
      </w:r>
    </w:p>
    <w:p w14:paraId="10002169" w14:textId="77777777" w:rsidR="00BC3589" w:rsidRDefault="0080647A">
      <w:pPr>
        <w:pStyle w:val="FigureCaption"/>
        <w:jc w:val="center"/>
      </w:pPr>
      <w:r>
        <w:t xml:space="preserve">Figure 19. Camera-animation controls for a PNG frame-sequence example. MATLAB illustration.</w:t>
      </w:r>
      <w:r>
        <w:t/>
      </w:r>
    </w:p>
    <w:p w14:paraId="700E7396" w14:textId="77777777" w:rsidR="00BC3589" w:rsidRDefault="0080647A">
      <w:r>
        <w:rPr>
          <w:b/>
        </w:rPr>
        <w:t>Safe Fit</w:t>
      </w:r>
      <w:r>
        <w:t xml:space="preserve"> centers and orthographically frames geometry across the orbit on a private rendering copy; disable it only if preserving current framing matters more than possible cropping. Angles are offsets from the current camera around the cho</w:t>
      </w:r>
      <w:r>
        <w:t xml:space="preserve">sen world X/Y/Z axis. A full turn omits its duplicated endpoint. Frame count is </w:t>
      </w:r>
      <w:r>
        <w:rPr>
          <w:rFonts w:ascii="Consolas" w:hAnsi="Consolas"/>
          <w:sz w:val="18"/>
        </w:rPr>
        <w:t>round(duration × fps)</w:t>
      </w:r>
      <w:r>
        <w:t xml:space="preserve">, so effective duration may differ slightly. Export speed is not playback speed; no GPU video-encoder claim is made. The dialog's </w:t>
      </w:r>
      <w:r>
        <w:rPr>
          <w:b/>
        </w:rPr>
        <w:t>Cancel Export</w:t>
      </w:r>
      <w:r>
        <w:t xml:space="preserve"> takes effec</w:t>
      </w:r>
      <w:r>
        <w:t>t after the current frame/codec operation; partial output is cleaned up.</w:t>
      </w:r>
    </w:p>
    <w:p w14:paraId="75753567" w14:textId="77777777" w:rsidR="00BC3589" w:rsidRDefault="0080647A">
      <w:r>
        <w:t xml:space="preserve">The new folder contains </w:t>
      </w:r>
      <w:r>
        <w:rPr>
          <w:rFonts w:ascii="Consolas" w:hAnsi="Consolas"/>
          <w:sz w:val="18"/>
        </w:rPr>
        <w:t>movie.mp4</w:t>
      </w:r>
      <w:r>
        <w:t xml:space="preserve"> or </w:t>
      </w:r>
      <w:r>
        <w:rPr>
          <w:rFonts w:ascii="Consolas" w:hAnsi="Consolas"/>
          <w:sz w:val="18"/>
        </w:rPr>
        <w:t>movie.avi</w:t>
      </w:r>
      <w:r>
        <w:t xml:space="preserve">, or </w:t>
      </w:r>
      <w:r>
        <w:rPr>
          <w:rFonts w:ascii="Consolas" w:hAnsi="Consolas"/>
          <w:sz w:val="18"/>
        </w:rPr>
        <w:t>frame-000001.png</w:t>
      </w:r>
      <w:r>
        <w:t xml:space="preserve"> etc., plus </w:t>
      </w:r>
      <w:r>
        <w:rPr>
          <w:rFonts w:ascii="Consolas" w:hAnsi="Consolas"/>
          <w:sz w:val="18"/>
        </w:rPr>
        <w:t>preview.png</w:t>
      </w:r>
      <w:r>
        <w:t xml:space="preserve"> and </w:t>
      </w:r>
      <w:r>
        <w:rPr>
          <w:rFonts w:ascii="Consolas" w:hAnsi="Consolas"/>
          <w:sz w:val="18"/>
        </w:rPr>
        <w:t>provenance.json</w:t>
      </w:r>
      <w:r>
        <w:t xml:space="preserve">. The latter can contain Scene references, input metadata, cameras and per-frame records; source inputs are </w:t>
      </w:r>
      <w:r>
        <w:rPr>
          <w:b/>
        </w:rPr>
        <w:t>not</w:t>
      </w:r>
      <w:r>
        <w:t xml:space="preserve"> copied. Limits: 128–3840 pixels per dimension, 1–60 fps, 2–1800 frames, at most 120 requested seconds, one billion total frame-pixels, and a non</w:t>
      </w:r>
      <w:r>
        <w:t>zero orbit no greater than 360°. Video dimensions must be even; there is no transparent movie or audio. Codec availability and pixel-identical results across platforms are not guaranteed. See the animation guide for API and verification details.</w:t>
      </w:r>
    </w:p>
    <w:p>
      <w:pPr>
        <w:pStyle w:val="Heading2"/>
        <w:keepNext/>
      </w:pPr>
      <w:r>
        <w:t xml:space="preserve">Animation encoding by edition</w:t>
      </w:r>
    </w:p>
    <w:p>
      <w:pPr>
        <w:pStyle w:val="Normal"/>
      </w:pPr>
      <w:r>
        <w:t xml:space="preserve">MATLAB uses VideoWriter profiles. Python uses FFmpeg with available libx264 or MJPEG encoders; desktop dependencies supply the documented imageio-ffmpeg route. PNG frame sequences are an alternative when a movie encoder is unavailable. Encoder availability is not a promise of GPU video encoding. Animation renders a static Scene with a moving camera, not changing connectivity.</w:t>
      </w:r>
    </w:p>
    <w:p w14:paraId="2C8EB09F" w14:textId="77777777" w:rsidR="00BC3589" w:rsidRDefault="0080647A">
      <w:pPr>
        <w:pStyle w:val="Heading1"/>
        <w:pageBreakBefore/>
      </w:pPr>
      <w:bookmarkStart w:id="14" w:name="bnv_chapter_14"/>
      <w:r>
        <w:lastRenderedPageBreak/>
        <w:t xml:space="preserve">15 Surface formats and mesh tools</w:t>
      </w:r>
      <w:r>
        <w:t xml:space="preserve"/>
      </w:r>
      <w:bookmarkEnd w:id="14"/>
    </w:p>
    <w:p w14:paraId="791A9581" w14:textId="77777777" w:rsidR="00BC3589" w:rsidRDefault="0080647A">
      <w:r>
        <w:t xml:space="preserve">A successfully read mesh is </w:t>
      </w:r>
      <w:r>
        <w:rPr>
          <w:b/>
        </w:rPr>
        <w:t>not</w:t>
      </w:r>
      <w:r>
        <w:t xml:space="preserve"> proof of MNI registration, matching units, compatible handedness, or permission to redistribute it. The modern readers preserve raw geometry rather than silently applying a dataset-specific transform.</w:t>
      </w:r>
    </w:p>
    <w:p w14:paraId="0BE67C96" w14:textId="77777777" w:rsidR="00BC3589" w:rsidRDefault="0080647A">
      <w:pPr>
        <w:pStyle w:val="Heading2"/>
      </w:pPr>
      <w:r>
        <w:t>Load and review a surface</w:t>
      </w:r>
    </w:p>
    <w:p w14:paraId="244650C0" w14:textId="77777777" w:rsidR="00BC3589" w:rsidRDefault="0080647A">
      <w:r>
        <w:t xml:space="preserve">In </w:t>
      </w:r>
      <w:r>
        <w:rPr>
          <w:b/>
        </w:rPr>
        <w:t>Data Sources → Surface Me</w:t>
      </w:r>
      <w:r>
        <w:rPr>
          <w:b/>
        </w:rPr>
        <w:t>sh</w:t>
      </w:r>
      <w:r>
        <w:t xml:space="preserve">, select a supported mesh; then </w:t>
      </w:r>
      <w:r>
        <w:rPr>
          <w:b/>
        </w:rPr>
        <w:t>Validate and Load</w:t>
      </w:r>
      <w:r>
        <w:t xml:space="preserve">, configure the display, and </w:t>
      </w:r>
      <w:r>
        <w:rPr>
          <w:b/>
        </w:rPr>
        <w:t>Apply</w:t>
      </w:r>
      <w:r>
        <w:t xml:space="preserve"> to render. The same independent readers serve the desktop, Scene JSON and </w:t>
      </w:r>
      <w:r>
        <w:rPr>
          <w:rFonts w:ascii="Consolas" w:hAnsi="Consolas"/>
          <w:sz w:val="18"/>
        </w:rPr>
        <w:t>BrainNetRender</w:t>
      </w:r>
      <w:r>
        <w:t xml:space="preserve">. Surface support includes </w:t>
      </w:r>
      <w:r>
        <w:rPr>
          <w:rFonts w:ascii="Consolas" w:hAnsi="Consolas"/>
          <w:sz w:val="18"/>
        </w:rPr>
        <w:t>.nv</w:t>
      </w:r>
      <w:r>
        <w:t xml:space="preserve">, FreeSurfer </w:t>
      </w:r>
      <w:r>
        <w:rPr>
          <w:rFonts w:ascii="Consolas" w:hAnsi="Consolas"/>
          <w:sz w:val="18"/>
        </w:rPr>
        <w:t>.pial</w:t>
      </w:r>
      <w:r>
        <w:t xml:space="preserve">, BrainVISA </w:t>
      </w:r>
      <w:r>
        <w:rPr>
          <w:rFonts w:ascii="Consolas" w:hAnsi="Consolas"/>
          <w:sz w:val="18"/>
        </w:rPr>
        <w:t>.mesh</w:t>
      </w:r>
      <w:r>
        <w:t xml:space="preserve">, BYU/MOVIE.BYU </w:t>
      </w:r>
      <w:r>
        <w:rPr>
          <w:rFonts w:ascii="Consolas" w:hAnsi="Consolas"/>
          <w:sz w:val="18"/>
        </w:rPr>
        <w:t>.</w:t>
      </w:r>
      <w:r>
        <w:rPr>
          <w:rFonts w:ascii="Consolas" w:hAnsi="Consolas"/>
          <w:sz w:val="18"/>
        </w:rPr>
        <w:t>g</w:t>
      </w:r>
      <w:r>
        <w:t xml:space="preserve">, MNI/BIC </w:t>
      </w:r>
      <w:r>
        <w:rPr>
          <w:rFonts w:ascii="Consolas" w:hAnsi="Consolas"/>
          <w:sz w:val="18"/>
        </w:rPr>
        <w:t>.obj</w:t>
      </w:r>
      <w:r>
        <w:t xml:space="preserve">, MZ3 </w:t>
      </w:r>
      <w:r>
        <w:rPr>
          <w:rFonts w:ascii="Consolas" w:hAnsi="Consolas"/>
          <w:sz w:val="18"/>
        </w:rPr>
        <w:t>.mz3/.mz3.gz</w:t>
      </w:r>
      <w:r>
        <w:t xml:space="preserve">, and GIfTI </w:t>
      </w:r>
      <w:r>
        <w:rPr>
          <w:rFonts w:ascii="Consolas" w:hAnsi="Consolas"/>
          <w:sz w:val="18"/>
        </w:rPr>
        <w:t>.gii/.gii.gz</w:t>
      </w:r>
      <w:r>
        <w:t xml:space="preserve">, within each reader's restrictions. </w:t>
      </w:r>
      <w:r>
        <w:rPr>
          <w:rFonts w:ascii="Consolas" w:hAnsi="Consolas"/>
          <w:sz w:val="18"/>
        </w:rPr>
        <w:t>.obj</w:t>
      </w:r>
      <w:r>
        <w:t xml:space="preserve"> means the MNI/BIC polygon format here, </w:t>
      </w:r>
      <w:r>
        <w:rPr>
          <w:b/>
        </w:rPr>
        <w:t>not</w:t>
      </w:r>
      <w:r>
        <w:t xml:space="preserve"> generic Wavefront OBJ. </w:t>
      </w:r>
      <w:r>
        <w:rPr>
          <w:rFonts w:ascii="Consolas" w:hAnsi="Consolas"/>
          <w:sz w:val="18"/>
        </w:rPr>
        <w:t>.mesh</w:t>
      </w:r>
      <w:r>
        <w:t xml:space="preserve"> does not imply Medit format. </w:t>
      </w:r>
      <w:r>
        <w:rPr>
          <w:rFonts w:ascii="Consolas" w:hAnsi="Consolas"/>
          <w:sz w:val="18"/>
        </w:rPr>
        <w:t>.pial</w:t>
      </w:r>
      <w:r>
        <w:t xml:space="preserve"> is the advertised FreeSurfer desktop suffix; do no</w:t>
      </w:r>
      <w:r>
        <w:t xml:space="preserve">t assume arbitrary FreeSurfer suffixes or compressed </w:t>
      </w:r>
      <w:r>
        <w:rPr>
          <w:rFonts w:ascii="Consolas" w:hAnsi="Consolas"/>
          <w:sz w:val="18"/>
        </w:rPr>
        <w:t>.pial.gz</w:t>
      </w:r>
      <w:r>
        <w:t xml:space="preserve"> work. See the FreeSurfer, BrainVISA, BYU, MNI/BIC and MZ3 guides for exact encodings and rejection rules.</w:t>
      </w:r>
    </w:p>
    <w:p w14:paraId="38948974" w14:textId="77777777" w:rsidR="00BC3589" w:rsidRDefault="0080647A">
      <w:r>
        <w:t>Coordinates and face winding are kept as returned by each reader; disk indices become on</w:t>
      </w:r>
      <w:r>
        <w:t xml:space="preserve">e-based internally. BrainVISA </w:t>
      </w:r>
      <w:r>
        <w:rPr>
          <w:rFonts w:ascii="Consolas" w:hAnsi="Consolas"/>
          <w:sz w:val="18"/>
        </w:rPr>
        <w:t>.mesh</w:t>
      </w:r>
      <w:r>
        <w:t xml:space="preserve"> </w:t>
      </w:r>
      <w:r>
        <w:rPr>
          <w:b/>
        </w:rPr>
        <w:t>does not</w:t>
      </w:r>
      <w:r>
        <w:t xml:space="preserve"> receive the original BrainNet's implicit XYZ inversion. FreeSurfer surface RAS is not automatically scanner RAS/MNI. GIfTI transform metadata is recorded, not automatically applied by the mesh utilities. MZ3 emb</w:t>
      </w:r>
      <w:r>
        <w:t xml:space="preserve">edded RGBA/scalars are validated but not automatically promoted to display settings or Surface Map. Verify space and geometry alignment before combining a mesh with nodes, volume, atlases or other surfaces. A single unsplittable mesh should use applicable </w:t>
      </w:r>
      <w:r>
        <w:t>full-surface layouts; two-hemisphere layouts cannot be assumed from its filename.</w:t>
      </w:r>
    </w:p>
    <w:p w14:paraId="3569E75B" w14:textId="77777777" w:rsidR="00BC3589" w:rsidRDefault="0080647A">
      <w:pPr>
        <w:pStyle w:val="Heading2"/>
      </w:pPr>
      <w:r>
        <w:t>Tools that write new data</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606C" w14:textId="77777777">
        <w:trPr>
          <w:tblHeader/>
        </w:trPr>
        <w:tc>
          <w:tcPr>
            <w:tcW w:w="1800" w:type="dxa"/>
            <w:shd w:val="clear" w:color="auto" w:fill="E8EDF3"/>
            <w:tcMar>
              <w:top w:w="65" w:type="dxa"/>
              <w:left w:w="95" w:type="dxa"/>
              <w:bottom w:w="65" w:type="dxa"/>
              <w:right w:w="95" w:type="dxa"/>
            </w:tcMar>
            <w:vAlign w:val="center"/>
          </w:tcPr>
          <w:p w14:paraId="3ADD5B16" w14:textId="77777777" w:rsidR="00BC3589" w:rsidRDefault="0080647A">
            <w:pPr>
              <w:pStyle w:val="TableText"/>
            </w:pPr>
            <w:r>
              <w:rPr>
                <w:b/>
              </w:rPr>
              <w:t>Tool in Tools</w:t>
            </w:r>
          </w:p>
        </w:tc>
        <w:tc>
          <w:tcPr>
            <w:tcW w:w="2952" w:type="dxa"/>
            <w:shd w:val="clear" w:color="auto" w:fill="E8EDF3"/>
            <w:tcMar>
              <w:top w:w="65" w:type="dxa"/>
              <w:left w:w="95" w:type="dxa"/>
              <w:bottom w:w="65" w:type="dxa"/>
              <w:right w:w="95" w:type="dxa"/>
            </w:tcMar>
            <w:vAlign w:val="center"/>
          </w:tcPr>
          <w:p w14:paraId="58FC2A57" w14:textId="77777777" w:rsidR="00BC3589" w:rsidRDefault="0080647A">
            <w:pPr>
              <w:pStyle w:val="TableText"/>
            </w:pPr>
            <w:r>
              <w:rPr>
                <w:b/>
              </w:rPr>
              <w:t>Inputs and operation</w:t>
            </w:r>
          </w:p>
        </w:tc>
        <w:tc>
          <w:tcPr>
            <w:tcW w:w="4925" w:type="dxa"/>
            <w:shd w:val="clear" w:color="auto" w:fill="E8EDF3"/>
            <w:tcMar>
              <w:top w:w="65" w:type="dxa"/>
              <w:left w:w="95" w:type="dxa"/>
              <w:bottom w:w="65" w:type="dxa"/>
              <w:right w:w="95" w:type="dxa"/>
            </w:tcMar>
            <w:vAlign w:val="center"/>
          </w:tcPr>
          <w:p w14:paraId="5CF13328" w14:textId="77777777" w:rsidR="00BC3589" w:rsidRDefault="0080647A">
            <w:pPr>
              <w:pStyle w:val="TableText"/>
            </w:pPr>
            <w:r>
              <w:rPr>
                <w:b/>
              </w:rPr>
              <w:t>Output / caution</w:t>
            </w:r>
          </w:p>
        </w:tc>
      </w:tr>
      <w:tr w:rsidR="00BC3589" w14:paraId="26B12B6D" w14:textId="77777777">
        <w:trPr>
          <w:cantSplit/>
        </w:trPr>
        <w:tc>
          <w:tcPr>
            <w:tcW w:w="1800" w:type="dxa"/>
            <w:tcMar>
              <w:top w:w="65" w:type="dxa"/>
              <w:left w:w="95" w:type="dxa"/>
              <w:bottom w:w="65" w:type="dxa"/>
              <w:right w:w="95" w:type="dxa"/>
            </w:tcMar>
            <w:vAlign w:val="center"/>
          </w:tcPr>
          <w:p w14:paraId="5633CF5F" w14:textId="77777777" w:rsidR="00BC3589" w:rsidRDefault="0080647A">
            <w:pPr>
              <w:pStyle w:val="TableText"/>
            </w:pPr>
            <w:r>
              <w:rPr>
                <w:b/>
              </w:rPr>
              <w:t>Merge Surfaces</w:t>
            </w:r>
          </w:p>
        </w:tc>
        <w:tc>
          <w:tcPr>
            <w:tcW w:w="2952" w:type="dxa"/>
            <w:tcMar>
              <w:top w:w="65" w:type="dxa"/>
              <w:left w:w="95" w:type="dxa"/>
              <w:bottom w:w="65" w:type="dxa"/>
              <w:right w:w="95" w:type="dxa"/>
            </w:tcMar>
            <w:vAlign w:val="center"/>
          </w:tcPr>
          <w:p w14:paraId="1CA75BEF" w14:textId="77777777" w:rsidR="00BC3589" w:rsidRDefault="0080647A">
            <w:pPr>
              <w:pStyle w:val="TableText"/>
            </w:pPr>
            <w:r>
              <w:t xml:space="preserve">Automatically review 2–64 meshes, order, bounds, counts and SHA-256. Space, units and note are optional; no verification checkbox is required.</w:t>
            </w:r>
            <w:r>
              <w:t xml:space="preserve"/>
            </w:r>
          </w:p>
        </w:tc>
        <w:tc>
          <w:tcPr>
            <w:tcW w:w="4925" w:type="dxa"/>
            <w:tcMar>
              <w:top w:w="65" w:type="dxa"/>
              <w:left w:w="95" w:type="dxa"/>
              <w:bottom w:w="65" w:type="dxa"/>
              <w:right w:w="95" w:type="dxa"/>
            </w:tcMar>
            <w:vAlign w:val="center"/>
          </w:tcPr>
          <w:p w14:paraId="5B7EB34B" w14:textId="77777777" w:rsidR="00BC3589" w:rsidRDefault="0080647A">
            <w:pPr>
              <w:pStyle w:val="TableText"/>
            </w:pPr>
            <w:r>
              <w:t xml:space="preserve">Concatenates coordinates/faces into a new ASCII </w:t>
            </w:r>
            <w:r>
              <w:rPr>
                <w:rFonts w:ascii="Consolas" w:hAnsi="Consolas"/>
                <w:sz w:val="18"/>
              </w:rPr>
              <w:t>.nv</w:t>
            </w:r>
            <w:r>
              <w:t>; does not register, weld, smooth, repair or transfer color/scalar attributes.</w:t>
            </w:r>
          </w:p>
        </w:tc>
      </w:tr>
      <w:tr w:rsidR="00BC3589" w14:paraId="73A15835" w14:textId="77777777">
        <w:trPr>
          <w:cantSplit/>
        </w:trPr>
        <w:tc>
          <w:tcPr>
            <w:tcW w:w="1800" w:type="dxa"/>
            <w:tcMar>
              <w:top w:w="65" w:type="dxa"/>
              <w:left w:w="95" w:type="dxa"/>
              <w:bottom w:w="65" w:type="dxa"/>
              <w:right w:w="95" w:type="dxa"/>
            </w:tcMar>
            <w:vAlign w:val="center"/>
          </w:tcPr>
          <w:p w14:paraId="75DBACA4" w14:textId="77777777" w:rsidR="00BC3589" w:rsidRDefault="0080647A">
            <w:pPr>
              <w:pStyle w:val="TableText"/>
            </w:pPr>
            <w:r>
              <w:rPr>
                <w:b/>
              </w:rPr>
              <w:t>Convert Surface to NV</w:t>
            </w:r>
          </w:p>
        </w:tc>
        <w:tc>
          <w:tcPr>
            <w:tcW w:w="2952" w:type="dxa"/>
            <w:tcMar>
              <w:top w:w="65" w:type="dxa"/>
              <w:left w:w="95" w:type="dxa"/>
              <w:bottom w:w="65" w:type="dxa"/>
              <w:right w:w="95" w:type="dxa"/>
            </w:tcMar>
            <w:vAlign w:val="center"/>
          </w:tcPr>
          <w:p w14:paraId="077B0AB0" w14:textId="77777777" w:rsidR="00BC3589" w:rsidRDefault="0080647A">
            <w:pPr>
              <w:pStyle w:val="TableText"/>
            </w:pPr>
            <w:r>
              <w:t>Review one supported mesh and optional space/unit declarations.</w:t>
            </w:r>
          </w:p>
        </w:tc>
        <w:tc>
          <w:tcPr>
            <w:tcW w:w="4925" w:type="dxa"/>
            <w:tcMar>
              <w:top w:w="65" w:type="dxa"/>
              <w:left w:w="95" w:type="dxa"/>
              <w:bottom w:w="65" w:type="dxa"/>
              <w:right w:w="95" w:type="dxa"/>
            </w:tcMar>
            <w:vAlign w:val="center"/>
          </w:tcPr>
          <w:p w14:paraId="1655C633" w14:textId="77777777" w:rsidR="00BC3589" w:rsidRDefault="0080647A">
            <w:pPr>
              <w:pStyle w:val="TableText"/>
            </w:pPr>
            <w:r>
              <w:t xml:space="preserve">New </w:t>
            </w:r>
            <w:r>
              <w:rPr>
                <w:rFonts w:ascii="Consolas" w:hAnsi="Consolas"/>
                <w:sz w:val="18"/>
              </w:rPr>
              <w:t>.nv</w:t>
            </w:r>
            <w:r>
              <w:t xml:space="preserve"> preserving reader-returned geometry; no implicit legacy </w:t>
            </w:r>
            <w:r>
              <w:rPr>
                <w:rFonts w:ascii="Consolas" w:hAnsi="Consolas"/>
                <w:sz w:val="18"/>
              </w:rPr>
              <w:t>.mesh</w:t>
            </w:r>
            <w:r>
              <w:t xml:space="preserve"> coordinate inversion or attribute transfer.</w:t>
            </w:r>
          </w:p>
        </w:tc>
      </w:tr>
      <w:tr w:rsidR="00BC3589" w14:paraId="7BBBB511" w14:textId="77777777">
        <w:trPr>
          <w:cantSplit/>
        </w:trPr>
        <w:tc>
          <w:tcPr>
            <w:tcW w:w="1800" w:type="dxa"/>
            <w:tcMar>
              <w:top w:w="65" w:type="dxa"/>
              <w:left w:w="95" w:type="dxa"/>
              <w:bottom w:w="65" w:type="dxa"/>
              <w:right w:w="95" w:type="dxa"/>
            </w:tcMar>
            <w:vAlign w:val="center"/>
          </w:tcPr>
          <w:p w14:paraId="0FC1E69D" w14:textId="77777777" w:rsidR="00BC3589" w:rsidRDefault="0080647A">
            <w:pPr>
              <w:pStyle w:val="TableText"/>
            </w:pPr>
            <w:r>
              <w:rPr>
                <w:b/>
              </w:rPr>
              <w:t>Subdivide Surface to NV</w:t>
            </w:r>
          </w:p>
        </w:tc>
        <w:tc>
          <w:tcPr>
            <w:tcW w:w="2952" w:type="dxa"/>
            <w:tcMar>
              <w:top w:w="65" w:type="dxa"/>
              <w:left w:w="95" w:type="dxa"/>
              <w:bottom w:w="65" w:type="dxa"/>
              <w:right w:w="95" w:type="dxa"/>
            </w:tcMar>
            <w:vAlign w:val="center"/>
          </w:tcPr>
          <w:p w14:paraId="1CB8C42B" w14:textId="77777777" w:rsidR="00BC3589" w:rsidRDefault="0080647A">
            <w:pPr>
              <w:pStyle w:val="TableText"/>
            </w:pPr>
            <w:r>
              <w:t>Review one mesh; choose 1–3 linear midpoint levels (4× faces per level).</w:t>
            </w:r>
          </w:p>
        </w:tc>
        <w:tc>
          <w:tcPr>
            <w:tcW w:w="4925" w:type="dxa"/>
            <w:tcMar>
              <w:top w:w="65" w:type="dxa"/>
              <w:left w:w="95" w:type="dxa"/>
              <w:bottom w:w="65" w:type="dxa"/>
              <w:right w:w="95" w:type="dxa"/>
            </w:tcMar>
            <w:vAlign w:val="center"/>
          </w:tcPr>
          <w:p w14:paraId="774A62C2" w14:textId="77777777" w:rsidR="00BC3589" w:rsidRDefault="0080647A">
            <w:pPr>
              <w:pStyle w:val="TableText"/>
            </w:pPr>
            <w:r>
              <w:t xml:space="preserve">New denser </w:t>
            </w:r>
            <w:r>
              <w:rPr>
                <w:rFonts w:ascii="Consolas" w:hAnsi="Consolas"/>
                <w:sz w:val="18"/>
              </w:rPr>
              <w:t>.nv</w:t>
            </w:r>
            <w:r>
              <w:t>; no smoothing, curvature preservatio</w:t>
            </w:r>
            <w:r>
              <w:t>n or automatic node/map correspondence.</w:t>
            </w:r>
          </w:p>
        </w:tc>
      </w:tr>
      <w:tr w:rsidR="00BC3589" w14:paraId="3BBA1E0B" w14:textId="77777777">
        <w:trPr>
          <w:cantSplit/>
        </w:trPr>
        <w:tc>
          <w:tcPr>
            <w:tcW w:w="1800" w:type="dxa"/>
            <w:tcMar>
              <w:top w:w="65" w:type="dxa"/>
              <w:left w:w="95" w:type="dxa"/>
              <w:bottom w:w="65" w:type="dxa"/>
              <w:right w:w="95" w:type="dxa"/>
            </w:tcMar>
            <w:vAlign w:val="center"/>
          </w:tcPr>
          <w:p w14:paraId="6B1E5279" w14:textId="77777777" w:rsidR="00BC3589" w:rsidRDefault="0080647A">
            <w:pPr>
              <w:pStyle w:val="TableText"/>
            </w:pPr>
            <w:r>
              <w:rPr>
                <w:b/>
              </w:rPr>
              <w:t>Generate Nodes from Atlas</w:t>
            </w:r>
          </w:p>
        </w:tc>
        <w:tc>
          <w:tcPr>
            <w:tcW w:w="2952" w:type="dxa"/>
            <w:tcMar>
              <w:top w:w="65" w:type="dxa"/>
              <w:left w:w="95" w:type="dxa"/>
              <w:bottom w:w="65" w:type="dxa"/>
              <w:right w:w="95" w:type="dxa"/>
            </w:tcMar>
            <w:vAlign w:val="center"/>
          </w:tcPr>
          <w:p w14:paraId="054ECB32" w14:textId="77777777" w:rsidR="00BC3589" w:rsidRDefault="0080647A">
            <w:pPr>
              <w:pStyle w:val="TableText"/>
            </w:pPr>
            <w:r>
              <w:t>Review a discrete integer NIfTI label atlas, selected region IDs, affine and declared space/units.</w:t>
            </w:r>
          </w:p>
        </w:tc>
        <w:tc>
          <w:tcPr>
            <w:tcW w:w="4925" w:type="dxa"/>
            <w:tcMar>
              <w:top w:w="65" w:type="dxa"/>
              <w:left w:w="95" w:type="dxa"/>
              <w:bottom w:w="65" w:type="dxa"/>
              <w:right w:w="95" w:type="dxa"/>
            </w:tcMar>
            <w:vAlign w:val="center"/>
          </w:tcPr>
          <w:p w14:paraId="3AD5EB8C" w14:textId="77777777" w:rsidR="00BC3589" w:rsidRDefault="0080647A">
            <w:pPr>
              <w:pStyle w:val="TableText"/>
            </w:pPr>
            <w:r>
              <w:t xml:space="preserve">New </w:t>
            </w:r>
            <w:r>
              <w:rPr>
                <w:rFonts w:ascii="Consolas" w:hAnsi="Consolas"/>
                <w:sz w:val="18"/>
              </w:rPr>
              <w:t>.node</w:t>
            </w:r>
            <w:r>
              <w:t>; each region uses its unweighted voxel-centre centroid, which need not lie withi</w:t>
            </w:r>
            <w:r>
              <w:t>n a concave/disconnected region. No registration or name lookup.</w:t>
            </w:r>
          </w:p>
        </w:tc>
      </w:tr>
    </w:tbl>
    <w:p w14:paraId="6E1F7112" w14:textId="77777777" w:rsidR="00BC3589" w:rsidRDefault="0080647A">
      <w:pPr>
        <w:spacing w:after="0"/>
      </w:pPr>
      <w:r>
        <w:rPr>
          <w:sz w:val="6"/>
        </w:rPr>
        <w:t xml:space="preserve"> </w:t>
      </w:r>
    </w:p>
    <w:p w14:paraId="4741C104" w14:textId="77777777" w:rsidR="00BC3589" w:rsidRDefault="0080647A">
      <w:r>
        <w:t xml:space="preserve">Each tool has a review step, checks source/dependency fingerprints again before publication, writes a </w:t>
      </w:r>
      <w:r>
        <w:rPr>
          <w:b/>
        </w:rPr>
        <w:t>new</w:t>
      </w:r>
      <w:r>
        <w:t xml:space="preserve"> destination without replacing an existing one, and leaves the active Scene unchang</w:t>
      </w:r>
      <w:r>
        <w:t xml:space="preserve">ed. Mesh utilities use default combined limits of five million vertices and ten million triangles; read/allocation may still require substantial RAM. The </w:t>
      </w:r>
      <w:r>
        <w:rPr>
          <w:rFonts w:ascii="Consolas" w:hAnsi="Consolas"/>
          <w:sz w:val="18"/>
        </w:rPr>
        <w:t>.nv</w:t>
      </w:r>
      <w:r>
        <w:t>/</w:t>
      </w:r>
      <w:r>
        <w:rPr>
          <w:rFonts w:ascii="Consolas" w:hAnsi="Consolas"/>
          <w:sz w:val="18"/>
        </w:rPr>
        <w:t>.node</w:t>
      </w:r>
      <w:r>
        <w:t xml:space="preserve"> output includes a </w:t>
      </w:r>
      <w:r>
        <w:rPr>
          <w:rFonts w:ascii="Consolas" w:hAnsi="Consolas"/>
          <w:sz w:val="18"/>
        </w:rPr>
        <w:t>#</w:t>
      </w:r>
      <w:r>
        <w:t xml:space="preserve"> JSON provenance comment, potentially with absolute source paths. Do not publish it without inspecting privacy and licensing. Declarations in comments do </w:t>
      </w:r>
      <w:r>
        <w:rPr>
          <w:b/>
        </w:rPr>
        <w:t>not</w:t>
      </w:r>
      <w:r>
        <w:t xml:space="preserve"> assign a Scene coordinate space or perform transforms. Load the new file explicitly through Data S</w:t>
      </w:r>
      <w:r>
        <w:t>ources; for a portable Scene, place it within the configured data root or use an appropriate root. See merge, convert, subdivide, and atlas nodes for exact review fields, formats and limits.</w:t>
      </w:r>
    </w:p>
    <w:p w14:paraId="40968B7F" w14:textId="77777777" w:rsidR="00BC3589" w:rsidRDefault="0080647A">
      <w:pPr>
        <w:keepNext/>
        <w:spacing w:before="180" w:after="60"/>
        <w:jc w:val="center"/>
      </w:pPr>
      <w:r>
        <w:rPr>
          <w:noProof/>
        </w:rPr>
        <w:lastRenderedPageBreak/>
        <w:drawing>
          <wp:inline distT="0" distB="0" distL="0" distR="0" wp14:anchorId="79F38D1E" wp14:editId="0F79A466">
            <wp:extent cx="5029200" cy="46520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erge-review.png"/>
                    <pic:cNvPicPr/>
                  </pic:nvPicPr>
                  <pic:blipFill>
                    <a:blip r:embed="rId29"/>
                    <a:stretch>
                      <a:fillRect/>
                    </a:stretch>
                  </pic:blipFill>
                  <pic:spPr>
                    <a:xfrm>
                      <a:off x="0" y="0"/>
                      <a:ext cx="5029200" cy="4652010"/>
                    </a:xfrm>
                    <a:prstGeom prst="rect">
                      <a:avLst/>
                    </a:prstGeom>
                  </pic:spPr>
                </pic:pic>
              </a:graphicData>
            </a:graphic>
          </wp:inline>
        </w:drawing>
      </w:r>
    </w:p>
    <w:p w14:paraId="6A726731" w14:textId="77777777" w:rsidR="00BC3589" w:rsidRDefault="0080647A">
      <w:pPr>
        <w:pStyle w:val="FigureCaption"/>
        <w:jc w:val="center"/>
      </w:pPr>
      <w:r>
        <w:t xml:space="preserve">Figure 20. Merge Surfaces automatically reviews the selected inputs. Space, units and note are optional. MATLAB illustration.</w:t>
      </w:r>
      <w:r>
        <w:t xml:space="preserve"/>
      </w:r>
    </w:p>
    <w:p w14:paraId="41EDBDC2" w14:textId="77777777" w:rsidR="00BC3589" w:rsidRDefault="0080647A">
      <w:r>
        <w:t>These geometry operations are not a scientifically validated surface-registration pipeline. Verify anatomy and resource permissions for each dataset before using or distributing deri</w:t>
      </w:r>
      <w:r>
        <w:t>ved files.</w:t>
      </w:r>
    </w:p>
    <w:p>
      <w:pPr>
        <w:pStyle w:val="Heading2"/>
        <w:keepNext/>
      </w:pPr>
      <w:r>
        <w:t xml:space="preserve">Python tools and declarations</w:t>
      </w:r>
    </w:p>
    <w:p>
      <w:pPr>
        <w:pStyle w:val="Normal"/>
      </w:pPr>
      <w:r>
        <w:t xml:space="preserve">Python Merge and Convert do not require the optional space/unit/note declaration fields shown in the MATLAB Merge illustration. Add inputs to trigger review, check geometry and write a new destination. This optional mesh metadata rule does not apply to Python Generate Nodes from Atlas: confirm known coordinate space and units before publishing atlas nodes.</w:t>
      </w:r>
    </w:p>
    <w:p>
      <w:pPr>
        <w:pStyle w:val="Normal"/>
      </w:pPr>
      <w:r>
        <w:t xml:space="preserve">Atlas nodes use unweighted voxel-center centroids transformed by the atlas affine. They are not guaranteed to lie inside concave or disconnected parcels. The tool does not compute FC, assign measured connection strength or perform modularity analysis; constant module/size fields are user choices, not measured network quantities. Tool provenance comments can contain source paths in either edition.</w:t>
      </w:r>
    </w:p>
    <w:p w14:paraId="58959816" w14:textId="77777777" w:rsidR="00BC3589" w:rsidRDefault="0080647A">
      <w:pPr>
        <w:pStyle w:val="Heading1"/>
        <w:pageBreakBefore/>
      </w:pPr>
      <w:bookmarkStart w:id="15" w:name="bnv_chapter_15"/>
      <w:r>
        <w:lastRenderedPageBreak/>
        <w:t xml:space="preserve">16 Command line rendering and provenance</w:t>
      </w:r>
      <w:bookmarkEnd w:id="15"/>
    </w:p>
    <w:p w14:paraId="7DF8714F" w14:textId="77777777" w:rsidR="00BC3589" w:rsidRDefault="0080647A">
      <w:r>
        <w:t xml:space="preserve">MATLAB command-line rendering uses BrainNetRender without opening the App; a MATLAB license and working graphics environment are required. Python uses brainnet-render with off-screen VTK graphics support. Neither is a Docker/browser deployment or a drop-in BrainNet_MapCfg replacement.</w:t>
      </w:r>
      <w:r>
        <w:rPr>
          <w:b/>
        </w:rPr>
        <w:t/>
      </w:r>
      <w:r>
        <w:t xml:space="preserve"/>
      </w:r>
      <w:r>
        <w:rPr>
          <w:rFonts w:ascii="Consolas" w:hAnsi="Consolas"/>
          <w:sz w:val="18"/>
        </w:rPr>
        <w:t/>
      </w:r>
      <w:r>
        <w:t xml:space="preserve"/>
      </w:r>
      <w:r>
        <w:t/>
      </w:r>
    </w:p>
    <w:p w14:paraId="3F1FE46D" w14:textId="77777777" w:rsidR="00BC3589" w:rsidRDefault="0080647A">
      <w:pPr>
        <w:pStyle w:val="Heading2"/>
      </w:pPr>
      <w:r>
        <w:t>Prepare a reproducible Scene</w:t>
      </w:r>
    </w:p>
    <w:p w14:paraId="458B05D6" w14:textId="77777777" w:rsidR="00BC3589" w:rsidRDefault="0080647A">
      <w:r>
        <w:t xml:space="preserve">MATLAB Scene preparation: In the desktop, select files, Validate and Load, adjust Visualization Settings, and Apply (which commits and renders). Use Save Scene to create Scene JSON. It records applied settings, relative input references/hashes, coordinate/redistribution metadata, and—when saved by the modern App—optional camera and export-panel state. It does not embed source data, accept unapplied edits, certify spatial registration or grant file-sharing rights. The data root is an explicit directory: references resolve relative to that root, not relative to the Scene JSON's folder. If external files are selected in the App, approval stages verified copies under its configured root; a manually written Scene or CLI run does not silently copy outside data.</w:t>
      </w:r>
      <w:r>
        <w:rPr>
          <w:b/>
        </w:rPr>
        <w:t/>
      </w:r>
      <w:r>
        <w:t xml:space="preserve"/>
      </w:r>
      <w:r>
        <w:rPr>
          <w:b/>
        </w:rPr>
        <w:t/>
      </w:r>
      <w:r>
        <w:t xml:space="preserve"/>
      </w:r>
      <w:r>
        <w:rPr>
          <w:b/>
        </w:rPr>
        <w:t/>
      </w:r>
      <w:r>
        <w:t xml:space="preserve"/>
      </w:r>
      <w:r>
        <w:t xml:space="preserve"/>
      </w:r>
      <w:r>
        <w:rPr>
          <w:b/>
        </w:rPr>
        <w:t/>
      </w:r>
      <w:r>
        <w:t xml:space="preserve"/>
      </w:r>
      <w:r>
        <w:t xml:space="preserve"/>
      </w:r>
      <w:r>
        <w:t/>
      </w:r>
    </w:p>
    <w:p w14:paraId="016BAD3A" w14:textId="77777777" w:rsidR="00BC3589" w:rsidRDefault="0080647A">
      <w:r>
        <w:t>To render one image without opening the App:</w:t>
      </w:r>
    </w:p>
    <w:p w14:paraId="1AE12C51" w14:textId="77777777" w:rsidR="00BC3589" w:rsidRDefault="0080647A">
      <w:pPr>
        <w:pStyle w:val="Code"/>
      </w:pPr>
      <w:r>
        <w:t>record = BrainNetRender("D:/results/scene.json", "D:/results/figure.png", ...</w:t>
      </w:r>
      <w:r>
        <w:br/>
        <w:t xml:space="preserve">    DataRoot="D:/project-data", ComputeBackend="cpu", ...</w:t>
      </w:r>
      <w:r>
        <w:br/>
        <w:t xml:space="preserve">    PerformanceMode="</w:t>
      </w:r>
      <w:r>
        <w:t>quality", Width=2000, Height=1500, ...</w:t>
      </w:r>
      <w:r>
        <w:br/>
        <w:t xml:space="preserve">    Resolution=300, Overwrite=false);</w:t>
      </w:r>
    </w:p>
    <w:p w14:paraId="4B6DD347" w14:textId="77777777" w:rsidR="00BC3589" w:rsidRDefault="0080647A">
      <w:r>
        <w:t xml:space="preserve">The command reads and validates input files, prepares data, renders a hidden modern figure and writes the image plus </w:t>
      </w:r>
      <w:r>
        <w:rPr>
          <w:rFonts w:ascii="Consolas" w:hAnsi="Consolas"/>
          <w:sz w:val="18"/>
        </w:rPr>
        <w:t>figure.png.provenance.json</w:t>
      </w:r>
      <w:r>
        <w:t>. Output extensions are PNG, JPEG, T</w:t>
      </w:r>
      <w:r>
        <w:t xml:space="preserve">IFF, BMP, PDF or SVG; complex PDF/SVG scenes may contain rasterized 3-D content. The output file and sidecar are protected from overwrite by default. Use a distinct output name for every run or explicitly choose </w:t>
      </w:r>
      <w:r>
        <w:rPr>
          <w:rFonts w:ascii="Consolas" w:hAnsi="Consolas"/>
          <w:sz w:val="18"/>
        </w:rPr>
        <w:t>Overwrite=true</w:t>
      </w:r>
      <w:r>
        <w:t xml:space="preserve"> after checking the targets. A</w:t>
      </w:r>
      <w:r>
        <w:t xml:space="preserve"> simple MATLAB loop may call </w:t>
      </w:r>
      <w:r>
        <w:rPr>
          <w:rFonts w:ascii="Consolas" w:hAnsi="Consolas"/>
          <w:sz w:val="18"/>
        </w:rPr>
        <w:t>BrainNetRender</w:t>
      </w:r>
      <w:r>
        <w:t xml:space="preserve"> over different Scene/output paths; there is no claim of an independent job scheduler or automatic dataset discovery.</w:t>
      </w:r>
    </w:p>
    <w:p w14:paraId="4F4F2472" w14:textId="77777777" w:rsidR="00BC3589" w:rsidRDefault="0080647A">
      <w:pPr>
        <w:keepNext/>
        <w:spacing w:before="180" w:after="60"/>
        <w:jc w:val="center"/>
      </w:pPr>
      <w:r>
        <w:rPr>
          <w:noProof/>
        </w:rPr>
        <w:drawing>
          <wp:inline distT="0" distB="0" distL="0" distR="0" wp14:anchorId="48A49121" wp14:editId="6C60820B">
            <wp:extent cx="356616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cc-four-view-cli.png"/>
                    <pic:cNvPicPr/>
                  </pic:nvPicPr>
                  <pic:blipFill>
                    <a:blip r:embed="rId30"/>
                    <a:stretch>
                      <a:fillRect/>
                    </a:stretch>
                  </pic:blipFill>
                  <pic:spPr>
                    <a:xfrm>
                      <a:off x="0" y="0"/>
                      <a:ext cx="3566160" cy="2674620"/>
                    </a:xfrm>
                    <a:prstGeom prst="rect">
                      <a:avLst/>
                    </a:prstGeom>
                  </pic:spPr>
                </pic:pic>
              </a:graphicData>
            </a:graphic>
          </wp:inline>
        </w:drawing>
      </w:r>
    </w:p>
    <w:p w14:paraId="2A35FCE3" w14:textId="77777777" w:rsidR="00BC3589" w:rsidRDefault="0080647A">
      <w:pPr>
        <w:pStyle w:val="FigureCaption"/>
        <w:jc w:val="center"/>
      </w:pPr>
      <w:r>
        <w:t xml:space="preserve">Figure 21. A four-view figure rendered by BrainNetRender from a real-data Scene JSON. MATLAB illustration.</w:t>
      </w:r>
    </w:p>
    <w:p w14:paraId="74335146" w14:textId="77777777" w:rsidR="00BC3589" w:rsidRDefault="0080647A">
      <w:pPr>
        <w:pStyle w:val="Heading2"/>
        <w:pageBreakBefore/>
      </w:pPr>
      <w:r>
        <w:lastRenderedPageBreak/>
        <w:t>Options</w:t>
      </w:r>
      <w:r>
        <w:t xml:space="preserve"> to review per run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EF49B7A" w14:textId="77777777">
        <w:trPr>
          <w:tblHeader/>
        </w:trPr>
        <w:tc>
          <w:tcPr>
            <w:tcW w:w="4910" w:type="dxa"/>
            <w:shd w:val="clear" w:color="auto" w:fill="E8EDF3"/>
            <w:tcMar>
              <w:top w:w="65" w:type="dxa"/>
              <w:left w:w="95" w:type="dxa"/>
              <w:bottom w:w="65" w:type="dxa"/>
              <w:right w:w="95" w:type="dxa"/>
            </w:tcMar>
            <w:vAlign w:val="center"/>
          </w:tcPr>
          <w:p w14:paraId="6FC1EF33" w14:textId="77777777" w:rsidR="00BC3589" w:rsidRDefault="0080647A">
            <w:pPr>
              <w:pStyle w:val="TableText"/>
            </w:pPr>
            <w:r>
              <w:rPr>
                <w:b/>
              </w:rPr>
              <w:t>Option</w:t>
            </w:r>
          </w:p>
        </w:tc>
        <w:tc>
          <w:tcPr>
            <w:tcW w:w="4910" w:type="dxa"/>
            <w:shd w:val="clear" w:color="auto" w:fill="E8EDF3"/>
            <w:tcMar>
              <w:top w:w="65" w:type="dxa"/>
              <w:left w:w="95" w:type="dxa"/>
              <w:bottom w:w="65" w:type="dxa"/>
              <w:right w:w="95" w:type="dxa"/>
            </w:tcMar>
            <w:vAlign w:val="center"/>
          </w:tcPr>
          <w:p w14:paraId="7E0272A2" w14:textId="77777777" w:rsidR="00BC3589" w:rsidRDefault="0080647A">
            <w:pPr>
              <w:pStyle w:val="TableText"/>
            </w:pPr>
            <w:r>
              <w:rPr>
                <w:b/>
              </w:rPr>
              <w:t>Current behavior</w:t>
            </w:r>
          </w:p>
        </w:tc>
      </w:tr>
      <w:tr w:rsidR="00BC3589" w14:paraId="0A3DD05F" w14:textId="77777777">
        <w:trPr>
          <w:cantSplit/>
        </w:trPr>
        <w:tc>
          <w:tcPr>
            <w:tcW w:w="4910" w:type="dxa"/>
            <w:tcMar>
              <w:top w:w="65" w:type="dxa"/>
              <w:left w:w="95" w:type="dxa"/>
              <w:bottom w:w="65" w:type="dxa"/>
              <w:right w:w="95" w:type="dxa"/>
            </w:tcMar>
            <w:vAlign w:val="center"/>
          </w:tcPr>
          <w:p w14:paraId="48FD5D14" w14:textId="77777777" w:rsidR="00BC3589" w:rsidRDefault="0080647A">
            <w:pPr>
              <w:pStyle w:val="TableText"/>
            </w:pPr>
            <w:r>
              <w:rPr>
                <w:rFonts w:ascii="Consolas" w:hAnsi="Consolas"/>
                <w:sz w:val="18"/>
              </w:rPr>
              <w:t>DataRoot</w:t>
            </w:r>
          </w:p>
        </w:tc>
        <w:tc>
          <w:tcPr>
            <w:tcW w:w="4910" w:type="dxa"/>
            <w:tcMar>
              <w:top w:w="65" w:type="dxa"/>
              <w:left w:w="95" w:type="dxa"/>
              <w:bottom w:w="65" w:type="dxa"/>
              <w:right w:w="95" w:type="dxa"/>
            </w:tcMar>
            <w:vAlign w:val="center"/>
          </w:tcPr>
          <w:p w14:paraId="3AE8A63A" w14:textId="77777777" w:rsidR="00BC3589" w:rsidRDefault="0080647A">
            <w:pPr>
              <w:pStyle w:val="TableText"/>
            </w:pPr>
            <w:r>
              <w:t>Defaults to the installed BrainNetViewer folder; set it explicitly for portable project data.</w:t>
            </w:r>
          </w:p>
        </w:tc>
      </w:tr>
      <w:tr w:rsidR="00BC3589" w14:paraId="16E7C90A" w14:textId="77777777">
        <w:trPr>
          <w:cantSplit/>
        </w:trPr>
        <w:tc>
          <w:tcPr>
            <w:tcW w:w="4910" w:type="dxa"/>
            <w:tcMar>
              <w:top w:w="65" w:type="dxa"/>
              <w:left w:w="95" w:type="dxa"/>
              <w:bottom w:w="65" w:type="dxa"/>
              <w:right w:w="95" w:type="dxa"/>
            </w:tcMar>
            <w:vAlign w:val="center"/>
          </w:tcPr>
          <w:p w14:paraId="006F8310" w14:textId="77777777" w:rsidR="00BC3589" w:rsidRDefault="0080647A">
            <w:pPr>
              <w:pStyle w:val="TableText"/>
            </w:pPr>
            <w:r>
              <w:rPr>
                <w:rFonts w:ascii="Consolas" w:hAnsi="Consolas"/>
                <w:sz w:val="18"/>
              </w:rPr>
              <w:t>ComputeBackend</w:t>
            </w:r>
          </w:p>
        </w:tc>
        <w:tc>
          <w:tcPr>
            <w:tcW w:w="4910" w:type="dxa"/>
            <w:tcMar>
              <w:top w:w="65" w:type="dxa"/>
              <w:left w:w="95" w:type="dxa"/>
              <w:bottom w:w="65" w:type="dxa"/>
              <w:right w:w="95" w:type="dxa"/>
            </w:tcMar>
            <w:vAlign w:val="center"/>
          </w:tcPr>
          <w:p w14:paraId="5103B947" w14:textId="77777777" w:rsidR="00BC3589" w:rsidRDefault="0080647A">
            <w:pPr>
              <w:pStyle w:val="TableText"/>
            </w:pPr>
            <w:r>
              <w:rPr>
                <w:rFonts w:ascii="Consolas" w:hAnsi="Consolas"/>
                <w:sz w:val="18"/>
              </w:rPr>
              <w:t>auto</w:t>
            </w:r>
            <w:r>
              <w:t xml:space="preserve"> (default), </w:t>
            </w:r>
            <w:r>
              <w:rPr>
                <w:rFonts w:ascii="Consolas" w:hAnsi="Consolas"/>
                <w:sz w:val="18"/>
              </w:rPr>
              <w:t>cpu</w:t>
            </w:r>
            <w:r>
              <w:t xml:space="preserve">, </w:t>
            </w:r>
            <w:r>
              <w:rPr>
                <w:rFonts w:ascii="Consolas" w:hAnsi="Consolas"/>
                <w:sz w:val="18"/>
              </w:rPr>
              <w:t>gpu</w:t>
            </w:r>
            <w:r>
              <w:t>; GPU applies only where individual operations support it.</w:t>
            </w:r>
          </w:p>
        </w:tc>
      </w:tr>
      <w:tr w:rsidR="00BC3589" w14:paraId="61FF3EA9" w14:textId="77777777">
        <w:trPr>
          <w:cantSplit/>
        </w:trPr>
        <w:tc>
          <w:tcPr>
            <w:tcW w:w="4910" w:type="dxa"/>
            <w:tcMar>
              <w:top w:w="65" w:type="dxa"/>
              <w:left w:w="95" w:type="dxa"/>
              <w:bottom w:w="65" w:type="dxa"/>
              <w:right w:w="95" w:type="dxa"/>
            </w:tcMar>
            <w:vAlign w:val="center"/>
          </w:tcPr>
          <w:p w14:paraId="55184751" w14:textId="77777777" w:rsidR="00BC3589" w:rsidRDefault="0080647A">
            <w:pPr>
              <w:pStyle w:val="TableText"/>
            </w:pPr>
            <w:r>
              <w:rPr>
                <w:rFonts w:ascii="Consolas" w:hAnsi="Consolas"/>
                <w:sz w:val="18"/>
              </w:rPr>
              <w:t>PerformanceMode</w:t>
            </w:r>
          </w:p>
        </w:tc>
        <w:tc>
          <w:tcPr>
            <w:tcW w:w="4910" w:type="dxa"/>
            <w:tcMar>
              <w:top w:w="65" w:type="dxa"/>
              <w:left w:w="95" w:type="dxa"/>
              <w:bottom w:w="65" w:type="dxa"/>
              <w:right w:w="95" w:type="dxa"/>
            </w:tcMar>
            <w:vAlign w:val="center"/>
          </w:tcPr>
          <w:p w14:paraId="1F74E198" w14:textId="77777777" w:rsidR="00BC3589" w:rsidRDefault="0080647A">
            <w:pPr>
              <w:pStyle w:val="TableText"/>
            </w:pPr>
            <w:r>
              <w:rPr>
                <w:rFonts w:ascii="Consolas" w:hAnsi="Consolas"/>
                <w:sz w:val="18"/>
              </w:rPr>
              <w:t>quality</w:t>
            </w:r>
            <w:r>
              <w:t xml:space="preserve"> (default), </w:t>
            </w:r>
            <w:r>
              <w:rPr>
                <w:rFonts w:ascii="Consolas" w:hAnsi="Consolas"/>
                <w:sz w:val="18"/>
              </w:rPr>
              <w:t>interactive</w:t>
            </w:r>
            <w:r>
              <w:t xml:space="preserve">, </w:t>
            </w:r>
            <w:r>
              <w:rPr>
                <w:rFonts w:ascii="Consolas" w:hAnsi="Consolas"/>
                <w:sz w:val="18"/>
              </w:rPr>
              <w:t>auto</w:t>
            </w:r>
            <w:r>
              <w:t>. For publication runs, explicitly request quality.</w:t>
            </w:r>
          </w:p>
        </w:tc>
      </w:tr>
      <w:tr w:rsidR="00BC3589" w14:paraId="161B84F0" w14:textId="77777777">
        <w:trPr>
          <w:cantSplit/>
        </w:trPr>
        <w:tc>
          <w:tcPr>
            <w:tcW w:w="4910" w:type="dxa"/>
            <w:tcMar>
              <w:top w:w="65" w:type="dxa"/>
              <w:left w:w="95" w:type="dxa"/>
              <w:bottom w:w="65" w:type="dxa"/>
              <w:right w:w="95" w:type="dxa"/>
            </w:tcMar>
            <w:vAlign w:val="center"/>
          </w:tcPr>
          <w:p w14:paraId="1813CD50" w14:textId="77777777" w:rsidR="00BC3589" w:rsidRDefault="0080647A">
            <w:pPr>
              <w:pStyle w:val="TableText"/>
            </w:pPr>
            <w:r>
              <w:rPr>
                <w:rFonts w:ascii="Consolas" w:hAnsi="Consolas"/>
                <w:sz w:val="18"/>
              </w:rPr>
              <w:t>Width</w:t>
            </w:r>
            <w:r>
              <w:t xml:space="preserve">, </w:t>
            </w:r>
            <w:r>
              <w:rPr>
                <w:rFonts w:ascii="Consolas" w:hAnsi="Consolas"/>
                <w:sz w:val="18"/>
              </w:rPr>
              <w:t>Height</w:t>
            </w:r>
            <w:r>
              <w:t xml:space="preserve">, </w:t>
            </w:r>
            <w:r>
              <w:rPr>
                <w:rFonts w:ascii="Consolas" w:hAnsi="Consolas"/>
                <w:sz w:val="18"/>
              </w:rPr>
              <w:t>Resolution</w:t>
            </w:r>
            <w:r>
              <w:t xml:space="preserve">, </w:t>
            </w:r>
            <w:r>
              <w:rPr>
                <w:rFonts w:ascii="Consolas" w:hAnsi="Consolas"/>
                <w:sz w:val="18"/>
              </w:rPr>
              <w:t>Units</w:t>
            </w:r>
          </w:p>
        </w:tc>
        <w:tc>
          <w:tcPr>
            <w:tcW w:w="4910" w:type="dxa"/>
            <w:tcMar>
              <w:top w:w="65" w:type="dxa"/>
              <w:left w:w="95" w:type="dxa"/>
              <w:bottom w:w="65" w:type="dxa"/>
              <w:right w:w="95" w:type="dxa"/>
            </w:tcMar>
            <w:vAlign w:val="center"/>
          </w:tcPr>
          <w:p w14:paraId="4AB82977" w14:textId="77777777" w:rsidR="00BC3589" w:rsidRDefault="0080647A">
            <w:pPr>
              <w:pStyle w:val="TableText"/>
            </w:pPr>
            <w:r>
              <w:t xml:space="preserve">Specify both dimensions or neither. Otherwise saved App export preferences are used, falling back to Scene </w:t>
            </w:r>
            <w:r>
              <w:rPr>
                <w:rFonts w:ascii="Consolas" w:hAnsi="Consolas"/>
                <w:sz w:val="18"/>
              </w:rPr>
              <w:t>image</w:t>
            </w:r>
            <w:r>
              <w:t xml:space="preserve"> defau</w:t>
            </w:r>
            <w:r>
              <w:t>lts. Explicit dimensions without Units use pixels. DPI and physical units are interpreted by the exporter.</w:t>
            </w:r>
          </w:p>
        </w:tc>
      </w:tr>
      <w:tr w:rsidR="00BC3589" w14:paraId="1903E6FF" w14:textId="77777777">
        <w:trPr>
          <w:cantSplit/>
        </w:trPr>
        <w:tc>
          <w:tcPr>
            <w:tcW w:w="4910" w:type="dxa"/>
            <w:tcMar>
              <w:top w:w="65" w:type="dxa"/>
              <w:left w:w="95" w:type="dxa"/>
              <w:bottom w:w="65" w:type="dxa"/>
              <w:right w:w="95" w:type="dxa"/>
            </w:tcMar>
            <w:vAlign w:val="center"/>
          </w:tcPr>
          <w:p w14:paraId="38C7A256" w14:textId="77777777" w:rsidR="00BC3589" w:rsidRDefault="0080647A">
            <w:pPr>
              <w:pStyle w:val="TableText"/>
            </w:pPr>
            <w:r>
              <w:rPr>
                <w:rFonts w:ascii="Consolas" w:hAnsi="Consolas"/>
                <w:sz w:val="18"/>
              </w:rPr>
              <w:t>BackgroundColor</w:t>
            </w:r>
            <w:r>
              <w:t xml:space="preserve">, </w:t>
            </w:r>
            <w:r>
              <w:rPr>
                <w:rFonts w:ascii="Consolas" w:hAnsi="Consolas"/>
                <w:sz w:val="18"/>
              </w:rPr>
              <w:t>ContentType</w:t>
            </w:r>
          </w:p>
        </w:tc>
        <w:tc>
          <w:tcPr>
            <w:tcW w:w="4910" w:type="dxa"/>
            <w:tcMar>
              <w:top w:w="65" w:type="dxa"/>
              <w:left w:w="95" w:type="dxa"/>
              <w:bottom w:w="65" w:type="dxa"/>
              <w:right w:w="95" w:type="dxa"/>
            </w:tcMar>
            <w:vAlign w:val="center"/>
          </w:tcPr>
          <w:p w14:paraId="5DAB8B17" w14:textId="77777777" w:rsidR="00BC3589" w:rsidRDefault="0080647A">
            <w:pPr>
              <w:pStyle w:val="TableText"/>
            </w:pPr>
            <w:r>
              <w:t xml:space="preserve">Explicit choices override saved preferences. JPEG/BMP cannot use transparent </w:t>
            </w:r>
            <w:r>
              <w:rPr>
                <w:rFonts w:ascii="Consolas" w:hAnsi="Consolas"/>
                <w:sz w:val="18"/>
              </w:rPr>
              <w:t>none</w:t>
            </w:r>
            <w:r>
              <w:t>; raster formats reject vector content. Auto/PDF/SVG do not promise pure vectors.</w:t>
            </w:r>
          </w:p>
        </w:tc>
      </w:tr>
      <w:tr w:rsidR="00BC3589" w14:paraId="63CD7ECD" w14:textId="77777777">
        <w:trPr>
          <w:cantSplit/>
        </w:trPr>
        <w:tc>
          <w:tcPr>
            <w:tcW w:w="4910" w:type="dxa"/>
            <w:tcMar>
              <w:top w:w="65" w:type="dxa"/>
              <w:left w:w="95" w:type="dxa"/>
              <w:bottom w:w="65" w:type="dxa"/>
              <w:right w:w="95" w:type="dxa"/>
            </w:tcMar>
            <w:vAlign w:val="center"/>
          </w:tcPr>
          <w:p w14:paraId="45C17EDB" w14:textId="77777777" w:rsidR="00BC3589" w:rsidRDefault="0080647A">
            <w:pPr>
              <w:pStyle w:val="TableText"/>
            </w:pPr>
            <w:r>
              <w:rPr>
                <w:rFonts w:ascii="Consolas" w:hAnsi="Consolas"/>
                <w:sz w:val="18"/>
              </w:rPr>
              <w:t>LegacyConfig</w:t>
            </w:r>
          </w:p>
        </w:tc>
        <w:tc>
          <w:tcPr>
            <w:tcW w:w="4910" w:type="dxa"/>
            <w:tcMar>
              <w:top w:w="65" w:type="dxa"/>
              <w:left w:w="95" w:type="dxa"/>
              <w:bottom w:w="65" w:type="dxa"/>
              <w:right w:w="95" w:type="dxa"/>
            </w:tcMar>
            <w:vAlign w:val="center"/>
          </w:tcPr>
          <w:p w14:paraId="2B2C7692" w14:textId="77777777" w:rsidR="00BC3589" w:rsidRDefault="0080647A">
            <w:pPr>
              <w:pStyle w:val="TableText"/>
            </w:pPr>
            <w:r>
              <w:t xml:space="preserve">Optional trusted legacy EC MAT conversion before rendering; not a full old-GUI </w:t>
            </w:r>
            <w:r>
              <w:t>replay or a sandbox for untrusted MAT objects.</w:t>
            </w:r>
          </w:p>
        </w:tc>
      </w:tr>
      <w:tr w:rsidR="00BC3589" w14:paraId="7A56F96E" w14:textId="77777777">
        <w:trPr>
          <w:cantSplit/>
        </w:trPr>
        <w:tc>
          <w:tcPr>
            <w:tcW w:w="4910" w:type="dxa"/>
            <w:tcMar>
              <w:top w:w="65" w:type="dxa"/>
              <w:left w:w="95" w:type="dxa"/>
              <w:bottom w:w="65" w:type="dxa"/>
              <w:right w:w="95" w:type="dxa"/>
            </w:tcMar>
            <w:vAlign w:val="center"/>
          </w:tcPr>
          <w:p w14:paraId="5D866E6A" w14:textId="77777777" w:rsidR="00BC3589" w:rsidRDefault="0080647A">
            <w:pPr>
              <w:pStyle w:val="TableText"/>
            </w:pPr>
            <w:r>
              <w:rPr>
                <w:rFonts w:ascii="Consolas" w:hAnsi="Consolas"/>
                <w:sz w:val="18"/>
              </w:rPr>
              <w:t>Planner</w:t>
            </w:r>
          </w:p>
        </w:tc>
        <w:tc>
          <w:tcPr>
            <w:tcW w:w="4910" w:type="dxa"/>
            <w:tcMar>
              <w:top w:w="65" w:type="dxa"/>
              <w:left w:w="95" w:type="dxa"/>
              <w:bottom w:w="65" w:type="dxa"/>
              <w:right w:w="95" w:type="dxa"/>
            </w:tcMar>
            <w:vAlign w:val="center"/>
          </w:tcPr>
          <w:p w14:paraId="0946C096" w14:textId="77777777" w:rsidR="00BC3589" w:rsidRDefault="0080647A">
            <w:pPr>
              <w:pStyle w:val="TableText"/>
            </w:pPr>
            <w:r>
              <w:t xml:space="preserve">Optional reusable </w:t>
            </w:r>
            <w:r>
              <w:rPr>
                <w:rFonts w:ascii="Consolas" w:hAnsi="Consolas"/>
                <w:sz w:val="18"/>
              </w:rPr>
              <w:t>brainnet.render.RenderPlanner</w:t>
            </w:r>
            <w:r>
              <w:t xml:space="preserve"> object; within one MATLAB process it can reuse preparation work when keys match. It does not prove GPU speedup or identical pixels.</w:t>
            </w:r>
          </w:p>
        </w:tc>
      </w:tr>
    </w:tbl>
    <w:p w14:paraId="75ABE0FA" w14:textId="77777777" w:rsidR="00BC3589" w:rsidRDefault="0080647A">
      <w:pPr>
        <w:spacing w:after="0"/>
      </w:pPr>
      <w:r>
        <w:rPr>
          <w:sz w:val="6"/>
        </w:rPr>
        <w:t xml:space="preserve"> </w:t>
      </w:r>
    </w:p>
    <w:p w14:paraId="5DE2C5F0" w14:textId="77777777" w:rsidR="00BC3589" w:rsidRDefault="0080647A">
      <w:r>
        <w:t>Scene loading checks input identities/hashes; a changed or missing file should stop instead of silently substituting data. The Scene's optional camera is restored only when its content signature remains compatible; otherwise the layout default is used. For</w:t>
      </w:r>
      <w:r>
        <w:t xml:space="preserve"> comparisons across machines/versions, review settings, numeric fingerprints, renderer/version and camera records in the provenance JSON; do not require pixel-identical image hashes across graphics drivers. </w:t>
      </w:r>
      <w:r>
        <w:rPr>
          <w:b/>
        </w:rPr>
        <w:t>The sidecar may contain local paths, titles and s</w:t>
      </w:r>
      <w:r>
        <w:rPr>
          <w:b/>
        </w:rPr>
        <w:t>ensitive metadata</w:t>
      </w:r>
      <w:r>
        <w:t>. Review it and input-resource licenses before publication. Nothing is uploaded automatically. For reusable appearance without input paths, use a visualization preset rather than Scene JSON; see Chapter 12.</w:t>
      </w:r>
    </w:p>
    <w:p w14:paraId="5FD07069" w14:textId="77777777" w:rsidR="00BC3589" w:rsidRDefault="0080647A">
      <w:r>
        <w:t>Shared tutorial 10 in Appendix Shared tutorials uses your own same-edition Scene and explicit output settings. Review sidecar privacy and cross-platform rendering differences for your project; this chapter is not a Docker deployment guide.</w:t>
      </w:r>
      <w:r>
        <w:t/>
      </w:r>
    </w:p>
    <w:p>
      <w:pPr>
        <w:pStyle w:val="Heading2"/>
        <w:keepNext/>
      </w:pPr>
      <w:r>
        <w:t xml:space="preserve">Python command line rendering</w:t>
      </w:r>
    </w:p>
    <w:p>
      <w:pPr>
        <w:pStyle w:val="Normal"/>
      </w:pPr>
      <w:r>
        <w:t xml:space="preserve">Activate the installed Python environment. Create the output parent directory beforehand. Relative Scene assets resolve against --data-root, defaulting to the Scene directory. Supply units explicitly: Python can retain saved physical units when dimensions are supplied without --units, unlike the MATLAB explicit-dimension pixel fallback.</w:t>
      </w:r>
    </w:p>
    <w:p>
      <w:pPr>
        <w:pStyle w:val="Code"/>
      </w:pPr>
      <w:r>
        <w:t xml:space="preserve">brainnet-render --scene "D:/project-data/scene.json" `</w:t>
        <w:br/>
        <w:t xml:space="preserve">  --data-root "D:/project-data" --output "D:/results/figure.png" `</w:t>
        <w:br/>
        <w:t xml:space="preserve">  --width 800 --height 600 --units Pixels --dpi 200 --transparent</w:t>
      </w:r>
    </w:p>
    <w:p>
      <w:pPr>
        <w:pStyle w:val="Normal"/>
      </w:pPr>
      <w:r>
        <w:t xml:space="preserve">Use --opaque instead of --transparent for an opaque figure. --overwrite explicitly replaces the image and sidecar; without it outputs are protected. --reset-view ignores the saved camera while retaining settings. Units are Pixels, Millimetres, Centimetres, Inches or Points. There is no ComputeBackend option in this Python entry point.</w:t>
      </w:r>
    </w:p>
    <w:p>
      <w:pPr>
        <w:pStyle w:val="Normal"/>
      </w:pPr>
      <w:r>
        <w:t xml:space="preserve">Success prints a JSON result. Handled failures report BrainNet render failed on stderr and exit with status 1. Review warnings and camera-restoration status. Restoration requires compatible content signatures, with default-layout fallback when unsupported or unverified. A loop can call the CLI over explicit inputs; it is not a preprocessing or job-discovery service.</w:t>
      </w:r>
    </w:p>
    <w:p>
      <w:pPr>
        <w:pStyle w:val="Normal"/>
      </w:pPr>
      <w:r>
        <w:t xml:space="preserve">Python CLI provenance records the Scene filename/hash rather than its absolute Scene path. Review actual tool/input metadata before public sharing; this is not blanket anonymization. Retain configuration/input hashes and graphics environment, not just image hashes, for cross-machine comparisons.</w:t>
      </w:r>
    </w:p>
    <w:p w14:paraId="5A755F62" w14:textId="77777777" w:rsidR="00BC3589" w:rsidRDefault="0080647A">
      <w:pPr>
        <w:pStyle w:val="Heading1"/>
        <w:pageBreakBefore/>
      </w:pPr>
      <w:bookmarkStart w:id="16" w:name="bnv_chapter_16"/>
      <w:r>
        <w:lastRenderedPageBreak/>
        <w:t xml:space="preserve">17 Migration and troubleshooting</w:t>
      </w:r>
      <w:bookmarkEnd w:id="16"/>
    </w:p>
    <w:p w14:paraId="63D91A60" w14:textId="77777777" w:rsidR="00BC3589" w:rsidRDefault="0080647A">
      <w:r>
        <w:t xml:space="preserve">BrainNet Viewer provides MATLAB and Python desktop workflows. MATLAB Runtime-only and Docker/browser editions are not included. This chapter explains configuration migration, interaction controls and safe troubleshooting.</w:t>
      </w:r>
      <w:r>
        <w:t xml:space="preserve"/>
      </w:r>
      <w:r>
        <w:rPr>
          <w:b/>
        </w:rPr>
        <w:t xml:space="preserve"/>
      </w:r>
      <w:r>
        <w:t xml:space="preserve"/>
      </w:r>
      <w:r>
        <w:t xml:space="preserve"/>
      </w:r>
    </w:p>
    <w:p w14:paraId="1AD5C4AC" w14:textId="77777777" w:rsidR="00BC3589" w:rsidRDefault="0080647A">
      <w:pPr>
        <w:pStyle w:val="Heading2"/>
      </w:pPr>
      <w:r>
        <w:t>Moving from BrainNet Viewer 1.7/1.8</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28A1237" w14:textId="77777777">
        <w:trPr>
          <w:tblHeader/>
        </w:trPr>
        <w:tc>
          <w:tcPr>
            <w:tcW w:w="1800" w:type="dxa"/>
            <w:shd w:val="clear" w:color="auto" w:fill="E8EDF3"/>
            <w:tcMar>
              <w:top w:w="65" w:type="dxa"/>
              <w:left w:w="95" w:type="dxa"/>
              <w:bottom w:w="65" w:type="dxa"/>
              <w:right w:w="95" w:type="dxa"/>
            </w:tcMar>
            <w:vAlign w:val="center"/>
          </w:tcPr>
          <w:p w14:paraId="15E6AE43" w14:textId="77777777" w:rsidR="00BC3589" w:rsidRDefault="0080647A">
            <w:pPr>
              <w:pStyle w:val="TableText"/>
            </w:pPr>
            <w:r>
              <w:rPr>
                <w:b/>
              </w:rPr>
              <w:t>Older workflow</w:t>
            </w:r>
          </w:p>
        </w:tc>
        <w:tc>
          <w:tcPr>
            <w:tcW w:w="2952" w:type="dxa"/>
            <w:shd w:val="clear" w:color="auto" w:fill="E8EDF3"/>
            <w:tcMar>
              <w:top w:w="65" w:type="dxa"/>
              <w:left w:w="95" w:type="dxa"/>
              <w:bottom w:w="65" w:type="dxa"/>
              <w:right w:w="95" w:type="dxa"/>
            </w:tcMar>
            <w:vAlign w:val="center"/>
          </w:tcPr>
          <w:p w14:paraId="4DB80785" w14:textId="77777777" w:rsidR="00BC3589" w:rsidRDefault="0080647A">
            <w:pPr>
              <w:pStyle w:val="TableText"/>
            </w:pPr>
            <w:r>
              <w:rPr>
                <w:b/>
              </w:rPr>
              <w:t>Current route</w:t>
            </w:r>
          </w:p>
        </w:tc>
        <w:tc>
          <w:tcPr>
            <w:tcW w:w="4925" w:type="dxa"/>
            <w:shd w:val="clear" w:color="auto" w:fill="E8EDF3"/>
            <w:tcMar>
              <w:top w:w="65" w:type="dxa"/>
              <w:left w:w="95" w:type="dxa"/>
              <w:bottom w:w="65" w:type="dxa"/>
              <w:right w:w="95" w:type="dxa"/>
            </w:tcMar>
            <w:vAlign w:val="center"/>
          </w:tcPr>
          <w:p w14:paraId="28056896" w14:textId="77777777" w:rsidR="00BC3589" w:rsidRDefault="0080647A">
            <w:pPr>
              <w:pStyle w:val="TableText"/>
            </w:pPr>
            <w:r>
              <w:rPr>
                <w:b/>
              </w:rPr>
              <w:t>What to check</w:t>
            </w:r>
          </w:p>
        </w:tc>
      </w:tr>
      <w:tr w:rsidR="00BC3589" w14:paraId="51107A2B" w14:textId="77777777">
        <w:trPr>
          <w:cantSplit/>
        </w:trPr>
        <w:tc>
          <w:tcPr>
            <w:tcW w:w="1800" w:type="dxa"/>
            <w:tcMar>
              <w:top w:w="65" w:type="dxa"/>
              <w:left w:w="95" w:type="dxa"/>
              <w:bottom w:w="65" w:type="dxa"/>
              <w:right w:w="95" w:type="dxa"/>
            </w:tcMar>
            <w:vAlign w:val="center"/>
          </w:tcPr>
          <w:p w14:paraId="35E9AC03" w14:textId="77777777" w:rsidR="00BC3589" w:rsidRDefault="0080647A">
            <w:pPr>
              <w:pStyle w:val="TableText"/>
            </w:pPr>
            <w:r>
              <w:t>GUIDE main window / Load File</w:t>
            </w:r>
          </w:p>
        </w:tc>
        <w:tc>
          <w:tcPr>
            <w:tcW w:w="2952" w:type="dxa"/>
            <w:tcMar>
              <w:top w:w="65" w:type="dxa"/>
              <w:left w:w="95" w:type="dxa"/>
              <w:bottom w:w="65" w:type="dxa"/>
              <w:right w:w="95" w:type="dxa"/>
            </w:tcMar>
            <w:vAlign w:val="center"/>
          </w:tcPr>
          <w:p w14:paraId="6078B572" w14:textId="77777777" w:rsidR="00BC3589" w:rsidRDefault="0080647A">
            <w:pPr>
              <w:pStyle w:val="TableText"/>
            </w:pPr>
            <w:r>
              <w:rPr>
                <w:rFonts w:ascii="Consolas" w:hAnsi="Consolas"/>
                <w:sz w:val="18"/>
              </w:rPr>
              <w:t>BrainNetViewer</w:t>
            </w:r>
            <w:r>
              <w:t>; Data Sources → Validate and Load</w:t>
            </w:r>
          </w:p>
        </w:tc>
        <w:tc>
          <w:tcPr>
            <w:tcW w:w="4925" w:type="dxa"/>
            <w:tcMar>
              <w:top w:w="65" w:type="dxa"/>
              <w:left w:w="95" w:type="dxa"/>
              <w:bottom w:w="65" w:type="dxa"/>
              <w:right w:w="95" w:type="dxa"/>
            </w:tcMar>
            <w:vAlign w:val="center"/>
          </w:tcPr>
          <w:p w14:paraId="11D5C5C3" w14:textId="77777777" w:rsidR="00BC3589" w:rsidRDefault="0080647A">
            <w:pPr>
              <w:pStyle w:val="TableText"/>
            </w:pPr>
            <w:r>
              <w:t xml:space="preserve">Use the project launcher and an explicit data root. The App asks </w:t>
            </w:r>
            <w:r>
              <w:t>before staging an outside-root file; Scene JSON does not bundle its input files.</w:t>
            </w:r>
          </w:p>
        </w:tc>
      </w:tr>
      <w:tr w:rsidR="00BC3589" w14:paraId="4572EDB7" w14:textId="77777777">
        <w:trPr>
          <w:cantSplit/>
        </w:trPr>
        <w:tc>
          <w:tcPr>
            <w:tcW w:w="1800" w:type="dxa"/>
            <w:tcMar>
              <w:top w:w="65" w:type="dxa"/>
              <w:left w:w="95" w:type="dxa"/>
              <w:bottom w:w="65" w:type="dxa"/>
              <w:right w:w="95" w:type="dxa"/>
            </w:tcMar>
            <w:vAlign w:val="center"/>
          </w:tcPr>
          <w:p w14:paraId="002BA389" w14:textId="77777777" w:rsidR="00BC3589" w:rsidRDefault="0080647A">
            <w:pPr>
              <w:pStyle w:val="TableText"/>
            </w:pPr>
            <w:r>
              <w:t>BrainNet_Option.fig and OK/Apply</w:t>
            </w:r>
          </w:p>
        </w:tc>
        <w:tc>
          <w:tcPr>
            <w:tcW w:w="2952" w:type="dxa"/>
            <w:tcMar>
              <w:top w:w="65" w:type="dxa"/>
              <w:left w:w="95" w:type="dxa"/>
              <w:bottom w:w="65" w:type="dxa"/>
              <w:right w:w="95" w:type="dxa"/>
            </w:tcMar>
            <w:vAlign w:val="center"/>
          </w:tcPr>
          <w:p w14:paraId="252D5F11" w14:textId="77777777" w:rsidR="00BC3589" w:rsidRDefault="0080647A">
            <w:pPr>
              <w:pStyle w:val="TableText"/>
            </w:pPr>
            <w:r>
              <w:t xml:space="preserve">Right-hand Visualization Settings → shared </w:t>
            </w:r>
            <w:r>
              <w:rPr>
                <w:b/>
              </w:rPr>
              <w:t>Apply</w:t>
            </w:r>
          </w:p>
        </w:tc>
        <w:tc>
          <w:tcPr>
            <w:tcW w:w="4925" w:type="dxa"/>
            <w:tcMar>
              <w:top w:w="65" w:type="dxa"/>
              <w:left w:w="95" w:type="dxa"/>
              <w:bottom w:w="65" w:type="dxa"/>
              <w:right w:w="95" w:type="dxa"/>
            </w:tcMar>
            <w:vAlign w:val="center"/>
          </w:tcPr>
          <w:p w14:paraId="58A4CDAB" w14:textId="77777777" w:rsidR="00BC3589" w:rsidRDefault="0080647A">
            <w:pPr>
              <w:pStyle w:val="TableText"/>
            </w:pPr>
            <w:r>
              <w:t xml:space="preserve">Apply commits </w:t>
            </w:r>
            <w:r>
              <w:rPr>
                <w:b/>
              </w:rPr>
              <w:t>and renders</w:t>
            </w:r>
            <w:r>
              <w:t xml:space="preserve">. </w:t>
            </w:r>
            <w:r>
              <w:rPr>
                <w:b/>
              </w:rPr>
              <w:t>Revert</w:t>
            </w:r>
            <w:r>
              <w:t xml:space="preserve"> drops pending edits; canvas </w:t>
            </w:r>
            <w:r>
              <w:rPr>
                <w:b/>
              </w:rPr>
              <w:t>Reset</w:t>
            </w:r>
            <w:r>
              <w:t xml:space="preserve"> changes only the camera; </w:t>
            </w:r>
            <w:r>
              <w:rPr>
                <w:b/>
              </w:rPr>
              <w:t>Restore Defaults</w:t>
            </w:r>
            <w:r>
              <w:t xml:space="preserve"> replaces display settings after confirmation.</w:t>
            </w:r>
          </w:p>
        </w:tc>
      </w:tr>
      <w:tr w:rsidR="00BC3589" w14:paraId="2CB2BFB5" w14:textId="77777777">
        <w:trPr>
          <w:cantSplit/>
        </w:trPr>
        <w:tc>
          <w:tcPr>
            <w:tcW w:w="1800" w:type="dxa"/>
            <w:tcMar>
              <w:top w:w="65" w:type="dxa"/>
              <w:left w:w="95" w:type="dxa"/>
              <w:bottom w:w="65" w:type="dxa"/>
              <w:right w:w="95" w:type="dxa"/>
            </w:tcMar>
            <w:vAlign w:val="center"/>
          </w:tcPr>
          <w:p w14:paraId="65166217" w14:textId="77777777" w:rsidR="00BC3589" w:rsidRDefault="0080647A">
            <w:pPr>
              <w:pStyle w:val="TableText"/>
            </w:pPr>
            <w:r>
              <w:t>Save/Load Option MAT</w:t>
            </w:r>
          </w:p>
        </w:tc>
        <w:tc>
          <w:tcPr>
            <w:tcW w:w="2952" w:type="dxa"/>
            <w:tcMar>
              <w:top w:w="65" w:type="dxa"/>
              <w:left w:w="95" w:type="dxa"/>
              <w:bottom w:w="65" w:type="dxa"/>
              <w:right w:w="95" w:type="dxa"/>
            </w:tcMar>
            <w:vAlign w:val="center"/>
          </w:tcPr>
          <w:p w14:paraId="26BDF9AD" w14:textId="77777777" w:rsidR="00BC3589" w:rsidRDefault="0080647A">
            <w:pPr>
              <w:pStyle w:val="TableText"/>
            </w:pPr>
            <w:r>
              <w:rPr>
                <w:b/>
              </w:rPr>
              <w:t>Save/Load Preset</w:t>
            </w:r>
            <w:r>
              <w:t xml:space="preserve"> for display reuse; </w:t>
            </w:r>
            <w:r>
              <w:rPr>
                <w:b/>
              </w:rPr>
              <w:t>Import Settings</w:t>
            </w:r>
            <w:r>
              <w:t xml:space="preserve"> for trusted EC MAT</w:t>
            </w:r>
          </w:p>
        </w:tc>
        <w:tc>
          <w:tcPr>
            <w:tcW w:w="4925" w:type="dxa"/>
            <w:tcMar>
              <w:top w:w="65" w:type="dxa"/>
              <w:left w:w="95" w:type="dxa"/>
              <w:bottom w:w="65" w:type="dxa"/>
              <w:right w:w="95" w:type="dxa"/>
            </w:tcMar>
            <w:vAlign w:val="center"/>
          </w:tcPr>
          <w:p w14:paraId="61203C36" w14:textId="77777777" w:rsidR="00BC3589" w:rsidRDefault="0080647A">
            <w:pPr>
              <w:pStyle w:val="TableText"/>
            </w:pPr>
            <w:r>
              <w:t>Presets omit inputs/camera/export-panel preferences. An EC import is a rev</w:t>
            </w:r>
            <w:r>
              <w:t xml:space="preserve">iewed conversion, not guaranteed lossless reproduction; retain the original MAT and inspect </w:t>
            </w:r>
            <w:r>
              <w:rPr>
                <w:rFonts w:ascii="Consolas" w:hAnsi="Consolas"/>
                <w:sz w:val="18"/>
              </w:rPr>
              <w:t>fields_requiring_review</w:t>
            </w:r>
            <w:r>
              <w:t>.</w:t>
            </w:r>
          </w:p>
        </w:tc>
      </w:tr>
      <w:tr w:rsidR="00BC3589" w14:paraId="30744B70" w14:textId="77777777">
        <w:trPr>
          <w:cantSplit/>
        </w:trPr>
        <w:tc>
          <w:tcPr>
            <w:tcW w:w="1800" w:type="dxa"/>
            <w:tcMar>
              <w:top w:w="65" w:type="dxa"/>
              <w:left w:w="95" w:type="dxa"/>
              <w:bottom w:w="65" w:type="dxa"/>
              <w:right w:w="95" w:type="dxa"/>
            </w:tcMar>
            <w:vAlign w:val="center"/>
          </w:tcPr>
          <w:p w14:paraId="60713F4B" w14:textId="77777777" w:rsidR="00BC3589" w:rsidRDefault="0080647A">
            <w:pPr>
              <w:pStyle w:val="TableText"/>
            </w:pPr>
            <w:r>
              <w:t>Save or reopen an analysis</w:t>
            </w:r>
          </w:p>
        </w:tc>
        <w:tc>
          <w:tcPr>
            <w:tcW w:w="2952" w:type="dxa"/>
            <w:tcMar>
              <w:top w:w="65" w:type="dxa"/>
              <w:left w:w="95" w:type="dxa"/>
              <w:bottom w:w="65" w:type="dxa"/>
              <w:right w:w="95" w:type="dxa"/>
            </w:tcMar>
            <w:vAlign w:val="center"/>
          </w:tcPr>
          <w:p w14:paraId="73961774" w14:textId="77777777" w:rsidR="00BC3589" w:rsidRDefault="0080647A">
            <w:pPr>
              <w:pStyle w:val="TableText"/>
            </w:pPr>
            <w:r>
              <w:rPr>
                <w:b/>
              </w:rPr>
              <w:t>Save Scene / Open Scene JSON</w:t>
            </w:r>
          </w:p>
        </w:tc>
        <w:tc>
          <w:tcPr>
            <w:tcW w:w="4925" w:type="dxa"/>
            <w:tcMar>
              <w:top w:w="65" w:type="dxa"/>
              <w:left w:w="95" w:type="dxa"/>
              <w:bottom w:w="65" w:type="dxa"/>
              <w:right w:w="95" w:type="dxa"/>
            </w:tcMar>
            <w:vAlign w:val="center"/>
          </w:tcPr>
          <w:p w14:paraId="600EBCF7" w14:textId="77777777" w:rsidR="00BC3589" w:rsidRDefault="0080647A">
            <w:pPr>
              <w:pStyle w:val="TableText"/>
            </w:pPr>
            <w:r>
              <w:t>Scene records input references/hashes and applied settings, with optional modern c</w:t>
            </w:r>
            <w:r>
              <w:t>amera/export state. Keep the corresponding data-root structure; verify hashes and spatial alignment.</w:t>
            </w:r>
          </w:p>
        </w:tc>
      </w:tr>
      <w:tr w:rsidR="00BC3589" w14:paraId="4B231F8D" w14:textId="77777777">
        <w:trPr>
          <w:cantSplit/>
        </w:trPr>
        <w:tc>
          <w:tcPr>
            <w:tcW w:w="1800" w:type="dxa"/>
            <w:tcMar>
              <w:top w:w="65" w:type="dxa"/>
              <w:left w:w="95" w:type="dxa"/>
              <w:bottom w:w="65" w:type="dxa"/>
              <w:right w:w="95" w:type="dxa"/>
            </w:tcMar>
            <w:vAlign w:val="center"/>
          </w:tcPr>
          <w:p w14:paraId="787EDD41" w14:textId="77777777" w:rsidR="00BC3589" w:rsidRDefault="0080647A">
            <w:pPr>
              <w:pStyle w:val="TableText"/>
            </w:pPr>
            <w:r>
              <w:t>Redraw / Clear Figure</w:t>
            </w:r>
          </w:p>
        </w:tc>
        <w:tc>
          <w:tcPr>
            <w:tcW w:w="2952" w:type="dxa"/>
            <w:tcMar>
              <w:top w:w="65" w:type="dxa"/>
              <w:left w:w="95" w:type="dxa"/>
              <w:bottom w:w="65" w:type="dxa"/>
              <w:right w:w="95" w:type="dxa"/>
            </w:tcMar>
            <w:vAlign w:val="center"/>
          </w:tcPr>
          <w:p w14:paraId="35FAF116" w14:textId="77777777" w:rsidR="00BC3589" w:rsidRDefault="0080647A">
            <w:pPr>
              <w:pStyle w:val="TableText"/>
            </w:pPr>
            <w:r>
              <w:rPr>
                <w:b/>
              </w:rPr>
              <w:t>Render Scene</w:t>
            </w:r>
            <w:r>
              <w:t xml:space="preserve"> for explicit redraw; </w:t>
            </w:r>
            <w:r>
              <w:rPr>
                <w:b/>
              </w:rPr>
              <w:t>Clear Figure</w:t>
            </w:r>
            <w:r>
              <w:t xml:space="preserve"> for view-only clearing</w:t>
            </w:r>
          </w:p>
        </w:tc>
        <w:tc>
          <w:tcPr>
            <w:tcW w:w="4925" w:type="dxa"/>
            <w:tcMar>
              <w:top w:w="65" w:type="dxa"/>
              <w:left w:w="95" w:type="dxa"/>
              <w:bottom w:w="65" w:type="dxa"/>
              <w:right w:w="95" w:type="dxa"/>
            </w:tcMar>
            <w:vAlign w:val="center"/>
          </w:tcPr>
          <w:p w14:paraId="76FFB72D" w14:textId="77777777" w:rsidR="00BC3589" w:rsidRDefault="0080647A">
            <w:pPr>
              <w:pStyle w:val="TableText"/>
            </w:pPr>
            <w:r>
              <w:t>Clearing the figure preserves inputs/settings; a per-role Clea</w:t>
            </w:r>
            <w:r>
              <w:t>r removes that input.</w:t>
            </w:r>
          </w:p>
        </w:tc>
      </w:tr>
      <w:tr w:rsidR="00BC3589" w14:paraId="585A18C5" w14:textId="77777777">
        <w:trPr>
          <w:cantSplit/>
        </w:trPr>
        <w:tc>
          <w:tcPr>
            <w:tcW w:w="1800" w:type="dxa"/>
            <w:tcMar>
              <w:top w:w="65" w:type="dxa"/>
              <w:left w:w="95" w:type="dxa"/>
              <w:bottom w:w="65" w:type="dxa"/>
              <w:right w:w="95" w:type="dxa"/>
            </w:tcMar>
            <w:vAlign w:val="center"/>
          </w:tcPr>
          <w:p w14:paraId="1D7E34C6" w14:textId="77777777" w:rsidR="00BC3589" w:rsidRDefault="0080647A">
            <w:pPr>
              <w:pStyle w:val="TableText"/>
            </w:pPr>
            <w:r>
              <w:t>Get position</w:t>
            </w:r>
          </w:p>
        </w:tc>
        <w:tc>
          <w:tcPr>
            <w:tcW w:w="2952" w:type="dxa"/>
            <w:tcMar>
              <w:top w:w="65" w:type="dxa"/>
              <w:left w:w="95" w:type="dxa"/>
              <w:bottom w:w="65" w:type="dxa"/>
              <w:right w:w="95" w:type="dxa"/>
            </w:tcMar>
            <w:vAlign w:val="center"/>
          </w:tcPr>
          <w:p w14:paraId="0DBB4D86" w14:textId="77777777" w:rsidR="00BC3589" w:rsidRDefault="0080647A">
            <w:pPr>
              <w:pStyle w:val="TableText"/>
            </w:pPr>
            <w:r>
              <w:t xml:space="preserve">In-canvas </w:t>
            </w:r>
            <w:r>
              <w:rPr>
                <w:b/>
              </w:rPr>
              <w:t>Inspect</w:t>
            </w:r>
          </w:p>
        </w:tc>
        <w:tc>
          <w:tcPr>
            <w:tcW w:w="4925" w:type="dxa"/>
            <w:tcMar>
              <w:top w:w="65" w:type="dxa"/>
              <w:left w:w="95" w:type="dxa"/>
              <w:bottom w:w="65" w:type="dxa"/>
              <w:right w:w="95" w:type="dxa"/>
            </w:tcMar>
            <w:vAlign w:val="center"/>
          </w:tcPr>
          <w:p w14:paraId="6599CCFE" w14:textId="77777777" w:rsidR="00BC3589" w:rsidRDefault="0080647A">
            <w:pPr>
              <w:pStyle w:val="TableText"/>
            </w:pPr>
            <w:r>
              <w:t xml:space="preserve">Queries AAL/Brodmann using assumed MNI-like coordinates; it does </w:t>
            </w:r>
            <w:r>
              <w:rPr>
                <w:b/>
              </w:rPr>
              <w:t>not</w:t>
            </w:r>
            <w:r>
              <w:t xml:space="preserve"> register or transform the input. Verify provenance before citing regions.</w:t>
            </w:r>
          </w:p>
        </w:tc>
      </w:tr>
      <w:tr w:rsidR="00BC3589" w14:paraId="76DA7240" w14:textId="77777777">
        <w:trPr>
          <w:cantSplit/>
        </w:trPr>
        <w:tc>
          <w:tcPr>
            <w:tcW w:w="1800" w:type="dxa"/>
            <w:tcMar>
              <w:top w:w="65" w:type="dxa"/>
              <w:left w:w="95" w:type="dxa"/>
              <w:bottom w:w="65" w:type="dxa"/>
              <w:right w:w="95" w:type="dxa"/>
            </w:tcMar>
            <w:vAlign w:val="center"/>
          </w:tcPr>
          <w:p w14:paraId="13751802" w14:textId="77777777" w:rsidR="00BC3589" w:rsidRDefault="0080647A">
            <w:pPr>
              <w:pStyle w:val="TableText"/>
            </w:pPr>
            <w:r>
              <w:t>Merge Mesh / generate coordinates</w:t>
            </w:r>
          </w:p>
        </w:tc>
        <w:tc>
          <w:tcPr>
            <w:tcW w:w="2952" w:type="dxa"/>
            <w:tcMar>
              <w:top w:w="65" w:type="dxa"/>
              <w:left w:w="95" w:type="dxa"/>
              <w:bottom w:w="65" w:type="dxa"/>
              <w:right w:w="95" w:type="dxa"/>
            </w:tcMar>
            <w:vAlign w:val="center"/>
          </w:tcPr>
          <w:p w14:paraId="0E26C16C" w14:textId="77777777" w:rsidR="00BC3589" w:rsidRDefault="0080647A">
            <w:pPr>
              <w:pStyle w:val="TableText"/>
            </w:pPr>
            <w:r>
              <w:rPr>
                <w:b/>
              </w:rPr>
              <w:t>Merge Surfaces</w:t>
            </w:r>
            <w:r>
              <w:t xml:space="preserve">, </w:t>
            </w:r>
            <w:r>
              <w:rPr>
                <w:b/>
              </w:rPr>
              <w:t>Convert Surface to NV</w:t>
            </w:r>
            <w:r>
              <w:t xml:space="preserve">, </w:t>
            </w:r>
            <w:r>
              <w:rPr>
                <w:b/>
              </w:rPr>
              <w:t>Subdivide Surface to NV</w:t>
            </w:r>
            <w:r>
              <w:t xml:space="preserve">, </w:t>
            </w:r>
            <w:r>
              <w:rPr>
                <w:b/>
              </w:rPr>
              <w:t>Generate Nodes from Atlas</w:t>
            </w:r>
          </w:p>
        </w:tc>
        <w:tc>
          <w:tcPr>
            <w:tcW w:w="4925" w:type="dxa"/>
            <w:tcMar>
              <w:top w:w="65" w:type="dxa"/>
              <w:left w:w="95" w:type="dxa"/>
              <w:bottom w:w="65" w:type="dxa"/>
              <w:right w:w="95" w:type="dxa"/>
            </w:tcMar>
            <w:vAlign w:val="center"/>
          </w:tcPr>
          <w:p w14:paraId="7FD704A7" w14:textId="77777777" w:rsidR="00BC3589" w:rsidRDefault="0080647A">
            <w:pPr>
              <w:pStyle w:val="TableText"/>
            </w:pPr>
            <w:r>
              <w:t xml:space="preserve">New reviewed files, no silent source overwrite or registration. Conversion is geometry-only; the old </w:t>
            </w:r>
            <w:r>
              <w:rPr>
                <w:rFonts w:ascii="Consolas" w:hAnsi="Consolas"/>
                <w:sz w:val="18"/>
              </w:rPr>
              <w:t>.mesh</w:t>
            </w:r>
            <w:r>
              <w:t xml:space="preserve"> implicit coordinate inversion is not retained.</w:t>
            </w:r>
          </w:p>
        </w:tc>
      </w:tr>
      <w:tr w:rsidR="00BC3589" w14:paraId="3788025D" w14:textId="77777777">
        <w:trPr>
          <w:cantSplit/>
        </w:trPr>
        <w:tc>
          <w:tcPr>
            <w:tcW w:w="1800" w:type="dxa"/>
            <w:tcMar>
              <w:top w:w="65" w:type="dxa"/>
              <w:left w:w="95" w:type="dxa"/>
              <w:bottom w:w="65" w:type="dxa"/>
              <w:right w:w="95" w:type="dxa"/>
            </w:tcMar>
            <w:vAlign w:val="center"/>
          </w:tcPr>
          <w:p w14:paraId="355DFD8F" w14:textId="77777777" w:rsidR="00BC3589" w:rsidRDefault="0080647A">
            <w:pPr>
              <w:pStyle w:val="TableText"/>
            </w:pPr>
            <w:r>
              <w:t>Movie / print / script</w:t>
            </w:r>
          </w:p>
        </w:tc>
        <w:tc>
          <w:tcPr>
            <w:tcW w:w="2952" w:type="dxa"/>
            <w:tcMar>
              <w:top w:w="65" w:type="dxa"/>
              <w:left w:w="95" w:type="dxa"/>
              <w:bottom w:w="65" w:type="dxa"/>
              <w:right w:w="95" w:type="dxa"/>
            </w:tcMar>
            <w:vAlign w:val="center"/>
          </w:tcPr>
          <w:p w14:paraId="71D5179C" w14:textId="77777777" w:rsidR="00BC3589" w:rsidRDefault="0080647A">
            <w:pPr>
              <w:pStyle w:val="TableText"/>
            </w:pPr>
            <w:r>
              <w:rPr>
                <w:b/>
              </w:rPr>
              <w:t>Expo</w:t>
            </w:r>
            <w:r>
              <w:rPr>
                <w:b/>
              </w:rPr>
              <w:t>rt Animation</w:t>
            </w:r>
            <w:r>
              <w:t xml:space="preserve">, </w:t>
            </w:r>
            <w:r>
              <w:rPr>
                <w:b/>
              </w:rPr>
              <w:t>Export Figure</w:t>
            </w:r>
            <w:r>
              <w:t xml:space="preserve">, </w:t>
            </w:r>
            <w:r>
              <w:rPr>
                <w:rFonts w:ascii="Consolas" w:hAnsi="Consolas"/>
                <w:sz w:val="18"/>
              </w:rPr>
              <w:t>BrainNetRender</w:t>
            </w:r>
          </w:p>
        </w:tc>
        <w:tc>
          <w:tcPr>
            <w:tcW w:w="4925" w:type="dxa"/>
            <w:tcMar>
              <w:top w:w="65" w:type="dxa"/>
              <w:left w:w="95" w:type="dxa"/>
              <w:bottom w:w="65" w:type="dxa"/>
              <w:right w:w="95" w:type="dxa"/>
            </w:tcMar>
            <w:vAlign w:val="center"/>
          </w:tcPr>
          <w:p w14:paraId="16F7B283" w14:textId="77777777" w:rsidR="00BC3589" w:rsidRDefault="0080647A">
            <w:pPr>
              <w:pStyle w:val="TableText"/>
            </w:pPr>
            <w:r>
              <w:t xml:space="preserve">Animation is a static-scene camera orbit. Print from an exported image/PDF externally; the modern CLI is not a drop-in </w:t>
            </w:r>
            <w:r>
              <w:rPr>
                <w:rFonts w:ascii="Consolas" w:hAnsi="Consolas"/>
                <w:sz w:val="18"/>
              </w:rPr>
              <w:t>BrainNet_MapCfg</w:t>
            </w:r>
            <w:r>
              <w:t xml:space="preserve"> replacement.</w:t>
            </w:r>
          </w:p>
        </w:tc>
      </w:tr>
    </w:tbl>
    <w:p w14:paraId="77CF7B27" w14:textId="77777777" w:rsidR="00BC3589" w:rsidRDefault="0080647A">
      <w:pPr>
        <w:spacing w:after="0"/>
      </w:pPr>
      <w:r>
        <w:rPr>
          <w:sz w:val="6"/>
        </w:rPr>
        <w:t xml:space="preserve"> </w:t>
      </w:r>
    </w:p>
    <w:p w14:paraId="6DB49169" w14:textId="77777777" w:rsidR="00BC3589" w:rsidRDefault="0080647A">
      <w:pPr>
        <w:pStyle w:val="Heading2"/>
      </w:pPr>
      <w:r>
        <w:t>Locate familiar menus and interaction tools</w:t>
      </w:r>
    </w:p>
    <w:p w14:paraId="433B47EE" w14:textId="77777777" w:rsidR="00BC3589" w:rsidRDefault="0080647A">
      <w:r>
        <w:t xml:space="preserve">The desktop follows one sequence: load files, configure, render, interact and export. Data Sources selects and validates the inputs; Visualization Settings controls appearance; the central canvas displays the result. Help and About are in the header. Separate tool windows provide mesh and atlas-node operations.</w:t>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p>
    <w:p w14:paraId="544346C2" w14:textId="77777777" w:rsidR="00BC3589" w:rsidRDefault="0080647A">
      <w:r>
        <w:t xml:space="preserve">After rendering, use the canvas Rotate, Pan and Zoom tools to adjust individual views. Fit frames the visible geometry; Reset returns to the layout's initial camera. View Direction supplies Left, Superior, Anterior and opposite/other directions for Single View; select the desired direction and render again. MATLAB Inspect replaces the old Get Position datatip workflow and clears its compact on-canvas label when clicked again. Live Demo and Stop Demo control an on-screen camera orbit, while Export Animation makes a separately configured movie or PNG frame sequence.</w:t>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t xml:space="preserve"/>
      </w:r>
      <w:r>
        <w:rPr>
          <w:b/>
        </w:rPr>
        <w:t/>
      </w:r>
      <w:r>
        <w:t xml:space="preserve"/>
      </w:r>
      <w:r>
        <w:t xml:space="preserve"/>
      </w:r>
      <w:r>
        <w:rPr>
          <w:b/>
        </w:rPr>
        <w:t/>
      </w:r>
      <w:r>
        <w:t xml:space="preserve"/>
      </w:r>
      <w:r>
        <w:rPr>
          <w:b/>
        </w:rPr>
        <w:t/>
      </w:r>
      <w:r>
        <w:t xml:space="preserve"/>
      </w:r>
      <w:r>
        <w:rPr>
          <w:b/>
        </w:rPr>
        <w:t/>
      </w:r>
      <w:r>
        <w:t xml:space="preserve"/>
      </w:r>
    </w:p>
    <w:p w14:paraId="33FE5D64" w14:textId="77777777" w:rsidR="00BC3589" w:rsidRDefault="0080647A">
      <w:r>
        <w:lastRenderedPageBreak/>
        <w:t xml:space="preserve">Native printing and MATLAB Plot Edit are not provided.</w:t>
      </w:r>
      <w:r>
        <w:rPr>
          <w:b/>
        </w:rPr>
        <w:t xml:space="preserve"/>
      </w:r>
      <w:r>
        <w:t xml:space="preserve"/>
      </w:r>
      <w:r>
        <w:rPr>
          <w:b/>
        </w:rPr>
        <w:t xml:space="preserve"/>
      </w:r>
      <w:r>
        <w:t xml:space="preserve"> Exp</w:t>
      </w:r>
      <w:r>
        <w:t xml:space="preserve">ort a figure at the required pixel/physical size, then print or annotate it in a suitable external application. For saving configuration,</w:t>
      </w:r>
      <w:r>
        <w:rPr>
          <w:rFonts w:ascii="Consolas" w:hAnsi="Consolas"/>
          <w:sz w:val="18"/>
        </w:rPr>
        <w:t xml:space="preserve"/>
      </w:r>
      <w:r>
        <w:t xml:space="preserve"> choose a visualization preset for reusable appearance or a</w:t>
      </w:r>
      <w:r>
        <w:t xml:space="preserve"> Scene JSON for reproducible input references and applied settings. The historical </w:t>
      </w:r>
      <w:r>
        <w:rPr>
          <w:rFonts w:ascii="Consolas" w:hAnsi="Consolas"/>
          <w:sz w:val="18"/>
        </w:rPr>
        <w:t>BrainNet_MapCfg</w:t>
      </w:r>
      <w:r>
        <w:t xml:space="preserve"> file remains a legacy MATLAB entry point in this development tree, but </w:t>
      </w:r>
      <w:r>
        <w:rPr>
          <w:rFonts w:ascii="Consolas" w:hAnsi="Consolas"/>
          <w:sz w:val="18"/>
        </w:rPr>
        <w:t>BrainNetRender</w:t>
      </w:r>
      <w:r>
        <w:t xml:space="preserve"> is the documented modern Scene-based command; do not assume interchange</w:t>
      </w:r>
      <w:r>
        <w:t>able argument or provenance behavior.</w:t>
      </w:r>
    </w:p>
    <w:p w14:paraId="405181CC" w14:textId="77777777" w:rsidR="00BC3589" w:rsidRDefault="0080647A">
      <w:r>
        <w:t>Modern Settings schema is 1.22.0. Older Scene/preset/EC values may migrate, but their appearance can change because node/edge threshold endpoints, modules, signed volume color handling, ROI numbering/smoothing and othe</w:t>
      </w:r>
      <w:r>
        <w:t xml:space="preserve">r semantics were clarified or repaired. Recheck science-critical settings with a small dataset that independently varies </w:t>
      </w:r>
      <w:r>
        <w:rPr>
          <w:rFonts w:ascii="Consolas" w:hAnsi="Consolas"/>
          <w:sz w:val="18"/>
        </w:rPr>
        <w:t>.node</w:t>
      </w:r>
      <w:r>
        <w:t xml:space="preserve"> columns 4 and 5 and includes values exactly at thresholds. Do not use visual similarity alone as proof of parity. For source-spec</w:t>
      </w:r>
      <w:r>
        <w:t>ific rules see Nodes, Edges, Volume, ROI/Inspect and Colormaps.</w:t>
      </w:r>
    </w:p>
    <w:p w14:paraId="11ED38FE" w14:textId="77777777" w:rsidR="00BC3589" w:rsidRDefault="0080647A">
      <w:pPr>
        <w:keepNext/>
        <w:spacing w:before="180" w:after="60"/>
        <w:jc w:val="center"/>
      </w:pPr>
      <w:r>
        <w:rPr>
          <w:noProof/>
        </w:rPr>
        <w:drawing>
          <wp:inline distT="0" distB="0" distL="0" distR="0" wp14:anchorId="4D69BEC8" wp14:editId="6CC8CFF3">
            <wp:extent cx="5989320" cy="37443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cc-diverging-full-window.png"/>
                    <pic:cNvPicPr/>
                  </pic:nvPicPr>
                  <pic:blipFill>
                    <a:blip r:embed="rId31"/>
                    <a:stretch>
                      <a:fillRect/>
                    </a:stretch>
                  </pic:blipFill>
                  <pic:spPr>
                    <a:xfrm>
                      <a:off x="0" y="0"/>
                      <a:ext cx="5989320" cy="3744333"/>
                    </a:xfrm>
                    <a:prstGeom prst="rect">
                      <a:avLst/>
                    </a:prstGeom>
                  </pic:spPr>
                </pic:pic>
              </a:graphicData>
            </a:graphic>
          </wp:inline>
        </w:drawing>
      </w:r>
    </w:p>
    <w:p w14:paraId="54B01F7F" w14:textId="77777777" w:rsidR="00BC3589" w:rsidRDefault="0080647A">
      <w:pPr>
        <w:pStyle w:val="FigureCaption"/>
        <w:jc w:val="center"/>
      </w:pPr>
      <w:r>
        <w:t xml:space="preserve">Figure 22. The current main window brings Data Sources, render controls, Visualization Settings and export into one workspace. MATLAB illustration.</w:t>
      </w:r>
    </w:p>
    <w:p w14:paraId="03B51FF6" w14:textId="77777777" w:rsidR="00BC3589" w:rsidRDefault="0080647A">
      <w:pPr>
        <w:pStyle w:val="Heading2"/>
      </w:pPr>
      <w:r>
        <w:t>Current boundaries, not silent promises</w:t>
      </w:r>
    </w:p>
    <w:p w14:paraId="5697C528" w14:textId="77777777" w:rsidR="00BC3589" w:rsidRDefault="0080647A">
      <w:pPr>
        <w:pStyle w:val="ListBullet"/>
      </w:pPr>
      <w:r>
        <w:t xml:space="preserve">The independent NIfTI reader supports NIfTI-1/2 single files and paired headers/images, including supported gzip variants; </w:t>
      </w:r>
      <w:r>
        <w:rPr>
          <w:b/>
        </w:rPr>
        <w:t>pure Analyze 7.5</w:t>
      </w:r>
      <w:r>
        <w:t xml:space="preserve"> without NIfTI magic is rejected. MNI/BIC </w:t>
      </w:r>
      <w:r>
        <w:rPr>
          <w:rFonts w:ascii="Consolas" w:hAnsi="Consolas"/>
          <w:sz w:val="18"/>
        </w:rPr>
        <w:t>.obj</w:t>
      </w:r>
      <w:r>
        <w:t xml:space="preserve"> is not Wavefront OBJ. FreeSurfer </w:t>
      </w:r>
      <w:r>
        <w:rPr>
          <w:rFonts w:ascii="Consolas" w:hAnsi="Consolas"/>
          <w:sz w:val="18"/>
        </w:rPr>
        <w:t>.pial</w:t>
      </w:r>
      <w:r>
        <w:t xml:space="preserve">, BrainVISA </w:t>
      </w:r>
      <w:r>
        <w:rPr>
          <w:rFonts w:ascii="Consolas" w:hAnsi="Consolas"/>
          <w:sz w:val="18"/>
        </w:rPr>
        <w:t>.mesh</w:t>
      </w:r>
      <w:r>
        <w:t>, MZ3 and GIfTI</w:t>
      </w:r>
      <w:r>
        <w:t xml:space="preserve"> have narrower reader-specific rules. Loading a geometry does not establish coordinate registration.</w:t>
      </w:r>
    </w:p>
    <w:p w14:paraId="1773707E" w14:textId="77777777" w:rsidR="00BC3589" w:rsidRDefault="0080647A">
      <w:pPr>
        <w:pStyle w:val="ListBullet"/>
      </w:pPr>
      <w:r>
        <w:t xml:space="preserve">ROI P Value now converts supported statistical NIfTI metadata but does not infer whether an input is an atlas or statistic map, correct multiple comparisons or prove cluster-level significance. Fiber-tract rendering, arbitrary Plot Edit, GIF/EPS/EMF export, native print and Runtime-only packaging are not available/validated in this build. Python Desktop is available; Docker/browser deployment is not included.</w:t>
      </w:r>
      <w:r>
        <w:rPr>
          <w:b/>
        </w:rPr>
        <w:t/>
      </w:r>
      <w:r>
        <w:t xml:space="preserve"/>
      </w:r>
      <w:r>
        <w:t xml:space="preserve"/>
      </w:r>
      <w:r>
        <w:rPr>
          <w:b/>
        </w:rPr>
        <w:t/>
      </w:r>
      <w:r>
        <w:t xml:space="preserve"/>
      </w:r>
      <w:r>
        <w:t xml:space="preserve"/>
      </w:r>
    </w:p>
    <w:p w14:paraId="42AF46E6" w14:textId="77777777" w:rsidR="00BC3589" w:rsidRDefault="0080647A">
      <w:pPr>
        <w:pStyle w:val="ListBullet"/>
      </w:pPr>
      <w:r>
        <w:lastRenderedPageBreak/>
        <w:t xml:space="preserve">Compatibility belongs to the exact tested edition/build and environment. Python focused installation results cover Windows x64 and Apple M2 macOS; Intel Mac, Linux and untested display configurations are not certified by those results. MATLAB compatibility is documented separately. Development build dates are not release dates.</w:t>
      </w:r>
      <w:r>
        <w:t/>
      </w:r>
    </w:p>
    <w:p w14:paraId="593FB713" w14:textId="77777777" w:rsidR="00BC3589" w:rsidRDefault="0080647A">
      <w:pPr>
        <w:pStyle w:val="ListBullet"/>
      </w:pPr>
      <w:r>
        <w:t>GPU acceleration is operation-specific, not a promi</w:t>
      </w:r>
      <w:r>
        <w:t>se that all rendering or video encoding runs on GPU. Complex PDF/SVG scenes may be rasterized; JPEG/BMP have no transparent background. PNG/TIFF transparency is conditional on an actual alpha-bearing export. Hashes and provenance identify data/configuratio</w:t>
      </w:r>
      <w:r>
        <w:t>n, not anatomical validity, publication rights or pixel identity across systems.</w:t>
      </w:r>
    </w:p>
    <w:p w14:paraId="7C5F45B7" w14:textId="77777777" w:rsidR="00BC3589" w:rsidRDefault="0080647A">
      <w:pPr>
        <w:pStyle w:val="Heading2"/>
      </w:pPr>
      <w:r>
        <w:t>If something goes wrong</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5AC99103" w14:textId="77777777">
        <w:trPr>
          <w:tblHeader/>
        </w:trPr>
        <w:tc>
          <w:tcPr>
            <w:tcW w:w="4910" w:type="dxa"/>
            <w:shd w:val="clear" w:color="auto" w:fill="E8EDF3"/>
            <w:tcMar>
              <w:top w:w="65" w:type="dxa"/>
              <w:left w:w="95" w:type="dxa"/>
              <w:bottom w:w="65" w:type="dxa"/>
              <w:right w:w="95" w:type="dxa"/>
            </w:tcMar>
            <w:vAlign w:val="center"/>
          </w:tcPr>
          <w:p w14:paraId="6E027A4F" w14:textId="77777777" w:rsidR="00BC3589" w:rsidRDefault="0080647A">
            <w:pPr>
              <w:pStyle w:val="TableText"/>
            </w:pPr>
            <w:r>
              <w:rPr>
                <w:b/>
              </w:rPr>
              <w:t>Symptom</w:t>
            </w:r>
          </w:p>
        </w:tc>
        <w:tc>
          <w:tcPr>
            <w:tcW w:w="4910" w:type="dxa"/>
            <w:shd w:val="clear" w:color="auto" w:fill="E8EDF3"/>
            <w:tcMar>
              <w:top w:w="65" w:type="dxa"/>
              <w:left w:w="95" w:type="dxa"/>
              <w:bottom w:w="65" w:type="dxa"/>
              <w:right w:w="95" w:type="dxa"/>
            </w:tcMar>
            <w:vAlign w:val="center"/>
          </w:tcPr>
          <w:p w14:paraId="701B1A37" w14:textId="77777777" w:rsidR="00BC3589" w:rsidRDefault="0080647A">
            <w:pPr>
              <w:pStyle w:val="TableText"/>
            </w:pPr>
            <w:r>
              <w:rPr>
                <w:b/>
              </w:rPr>
              <w:t>First check / safe action</w:t>
            </w:r>
          </w:p>
        </w:tc>
      </w:tr>
      <w:tr w:rsidR="00BC3589" w14:paraId="2AC37A10" w14:textId="77777777">
        <w:trPr>
          <w:cantSplit/>
        </w:trPr>
        <w:tc>
          <w:tcPr>
            <w:tcW w:w="4910" w:type="dxa"/>
            <w:tcMar>
              <w:top w:w="65" w:type="dxa"/>
              <w:left w:w="95" w:type="dxa"/>
              <w:bottom w:w="65" w:type="dxa"/>
              <w:right w:w="95" w:type="dxa"/>
            </w:tcMar>
            <w:vAlign w:val="center"/>
          </w:tcPr>
          <w:p w14:paraId="01CD02A0" w14:textId="77777777" w:rsidR="00BC3589" w:rsidRDefault="0080647A">
            <w:pPr>
              <w:pStyle w:val="TableText"/>
            </w:pPr>
            <w:r>
              <w:t>The launcher is not found or a different BrainNet starts</w:t>
            </w:r>
          </w:p>
        </w:tc>
        <w:tc>
          <w:tcPr>
            <w:tcW w:w="4910" w:type="dxa"/>
            <w:tcMar>
              <w:top w:w="65" w:type="dxa"/>
              <w:left w:w="95" w:type="dxa"/>
              <w:bottom w:w="65" w:type="dxa"/>
              <w:right w:w="95" w:type="dxa"/>
            </w:tcMar>
            <w:vAlign w:val="center"/>
          </w:tcPr>
          <w:p w14:paraId="30EA6222" w14:textId="77777777" w:rsidR="00BC3589" w:rsidRDefault="0080647A">
            <w:pPr>
              <w:pStyle w:val="TableText"/>
            </w:pPr>
            <w:r>
              <w:t xml:space="preserve">Use the current project root containing </w:t>
            </w:r>
            <w:r>
              <w:rPr>
                <w:rFonts w:ascii="Consolas" w:hAnsi="Consolas"/>
                <w:sz w:val="18"/>
              </w:rPr>
              <w:t>BrainNetViewer.m</w:t>
            </w:r>
            <w:r>
              <w:t>, a</w:t>
            </w:r>
            <w:r>
              <w:t>dd that root to the MATLAB path if necessary, and remove conflicting path entries from the session; do not alter the original software folder. See getting started.</w:t>
            </w:r>
          </w:p>
        </w:tc>
      </w:tr>
      <w:tr w:rsidR="00BC3589" w14:paraId="6A356BEB" w14:textId="77777777">
        <w:trPr>
          <w:cantSplit/>
        </w:trPr>
        <w:tc>
          <w:tcPr>
            <w:tcW w:w="4910" w:type="dxa"/>
            <w:tcMar>
              <w:top w:w="65" w:type="dxa"/>
              <w:left w:w="95" w:type="dxa"/>
              <w:bottom w:w="65" w:type="dxa"/>
              <w:right w:w="95" w:type="dxa"/>
            </w:tcMar>
            <w:vAlign w:val="center"/>
          </w:tcPr>
          <w:p w14:paraId="282E7BC6" w14:textId="77777777" w:rsidR="00BC3589" w:rsidRDefault="0080647A">
            <w:pPr>
              <w:pStyle w:val="TableText"/>
            </w:pPr>
            <w:r>
              <w:t>External input cannot become a portable Scene</w:t>
            </w:r>
          </w:p>
        </w:tc>
        <w:tc>
          <w:tcPr>
            <w:tcW w:w="4910" w:type="dxa"/>
            <w:tcMar>
              <w:top w:w="65" w:type="dxa"/>
              <w:left w:w="95" w:type="dxa"/>
              <w:bottom w:w="65" w:type="dxa"/>
              <w:right w:w="95" w:type="dxa"/>
            </w:tcMar>
            <w:vAlign w:val="center"/>
          </w:tcPr>
          <w:p w14:paraId="1A4F2B1B" w14:textId="77777777" w:rsidR="00BC3589" w:rsidRDefault="0080647A">
            <w:pPr>
              <w:pStyle w:val="TableText"/>
            </w:pPr>
            <w:r>
              <w:t xml:space="preserve">Respond to the App's </w:t>
            </w:r>
            <w:r>
              <w:rPr>
                <w:b/>
              </w:rPr>
              <w:t>Stage and Add</w:t>
            </w:r>
            <w:r>
              <w:t xml:space="preserve"> prompt, or deliberately launch with an appropriate data root. Do not hand-edit absolute paths into portable Scene references. Review copied companions and permissions.</w:t>
            </w:r>
          </w:p>
        </w:tc>
      </w:tr>
      <w:tr w:rsidR="00BC3589" w14:paraId="154D1FEF" w14:textId="77777777">
        <w:trPr>
          <w:cantSplit/>
        </w:trPr>
        <w:tc>
          <w:tcPr>
            <w:tcW w:w="4910" w:type="dxa"/>
            <w:tcMar>
              <w:top w:w="65" w:type="dxa"/>
              <w:left w:w="95" w:type="dxa"/>
              <w:bottom w:w="65" w:type="dxa"/>
              <w:right w:w="95" w:type="dxa"/>
            </w:tcMar>
            <w:vAlign w:val="center"/>
          </w:tcPr>
          <w:p w14:paraId="1E7A10A8" w14:textId="77777777" w:rsidR="00BC3589" w:rsidRDefault="0080647A">
            <w:pPr>
              <w:pStyle w:val="TableText"/>
            </w:pPr>
            <w:r>
              <w:t>Scene/preset JSON fails to open, or files/hashes do not match</w:t>
            </w:r>
          </w:p>
        </w:tc>
        <w:tc>
          <w:tcPr>
            <w:tcW w:w="4910" w:type="dxa"/>
            <w:tcMar>
              <w:top w:w="65" w:type="dxa"/>
              <w:left w:w="95" w:type="dxa"/>
              <w:bottom w:w="65" w:type="dxa"/>
              <w:right w:w="95" w:type="dxa"/>
            </w:tcMar>
            <w:vAlign w:val="center"/>
          </w:tcPr>
          <w:p w14:paraId="4BDDC14A" w14:textId="77777777" w:rsidR="00BC3589" w:rsidRDefault="0080647A">
            <w:pPr>
              <w:pStyle w:val="TableText"/>
            </w:pPr>
            <w:r>
              <w:t xml:space="preserve">Use </w:t>
            </w:r>
            <w:r>
              <w:rPr>
                <w:b/>
              </w:rPr>
              <w:t>Open Scene JSON</w:t>
            </w:r>
            <w:r>
              <w:t xml:space="preserve"> for </w:t>
            </w:r>
            <w:r>
              <w:t xml:space="preserve">Scene files and </w:t>
            </w:r>
            <w:r>
              <w:rPr>
                <w:b/>
              </w:rPr>
              <w:t>Load Preset</w:t>
            </w:r>
            <w:r>
              <w:t xml:space="preserve"> for </w:t>
            </w:r>
            <w:r>
              <w:rPr>
                <w:rFonts w:ascii="Consolas" w:hAnsi="Consolas"/>
                <w:sz w:val="18"/>
              </w:rPr>
              <w:t>*.preset.json</w:t>
            </w:r>
            <w:r>
              <w:t>; these schemas are not interchangeable. Check version/required fields, data-root-relative paths, companion files and the original hashes. Do not suppress validation by changing a hash.</w:t>
            </w:r>
          </w:p>
        </w:tc>
      </w:tr>
      <w:tr w:rsidR="00BC3589" w14:paraId="1052297D" w14:textId="77777777">
        <w:trPr>
          <w:cantSplit/>
        </w:trPr>
        <w:tc>
          <w:tcPr>
            <w:tcW w:w="4910" w:type="dxa"/>
            <w:tcMar>
              <w:top w:w="65" w:type="dxa"/>
              <w:left w:w="95" w:type="dxa"/>
              <w:bottom w:w="65" w:type="dxa"/>
              <w:right w:w="95" w:type="dxa"/>
            </w:tcMar>
            <w:vAlign w:val="center"/>
          </w:tcPr>
          <w:p w14:paraId="4ACEC474" w14:textId="77777777" w:rsidR="00BC3589" w:rsidRDefault="0080647A">
            <w:pPr>
              <w:pStyle w:val="TableText"/>
            </w:pPr>
            <w:r>
              <w:t>New file selected but th</w:t>
            </w:r>
            <w:r>
              <w:t>e old image remains / nothing exports</w:t>
            </w:r>
          </w:p>
        </w:tc>
        <w:tc>
          <w:tcPr>
            <w:tcW w:w="4910" w:type="dxa"/>
            <w:tcMar>
              <w:top w:w="65" w:type="dxa"/>
              <w:left w:w="95" w:type="dxa"/>
              <w:bottom w:w="65" w:type="dxa"/>
              <w:right w:w="95" w:type="dxa"/>
            </w:tcMar>
            <w:vAlign w:val="center"/>
          </w:tcPr>
          <w:p w14:paraId="79536B8E" w14:textId="77777777" w:rsidR="00BC3589" w:rsidRDefault="0080647A">
            <w:pPr>
              <w:pStyle w:val="TableText"/>
            </w:pPr>
            <w:r>
              <w:rPr>
                <w:b/>
              </w:rPr>
              <w:t xml:space="preserve">Validate and Load, then Apply or explicit Render Scene. Export requires a current render. Review loaded preset settings and retained volume limits; follow the edition-specific preset behavior in Chapter 12.</w:t>
            </w:r>
            <w:r>
              <w:t xml:space="preserve"/>
            </w:r>
            <w:r>
              <w:rPr>
                <w:b/>
              </w:rPr>
              <w:t/>
            </w:r>
            <w:r>
              <w:t xml:space="preserve"/>
            </w:r>
            <w:r>
              <w:rPr>
                <w:b/>
              </w:rPr>
              <w:t/>
            </w:r>
            <w:r>
              <w:t/>
            </w:r>
            <w:r>
              <w:t/>
            </w:r>
          </w:p>
        </w:tc>
      </w:tr>
      <w:tr w:rsidR="00BC3589" w14:paraId="2B957EBD" w14:textId="77777777">
        <w:trPr>
          <w:cantSplit/>
        </w:trPr>
        <w:tc>
          <w:tcPr>
            <w:tcW w:w="4910" w:type="dxa"/>
            <w:tcMar>
              <w:top w:w="65" w:type="dxa"/>
              <w:left w:w="95" w:type="dxa"/>
              <w:bottom w:w="65" w:type="dxa"/>
              <w:right w:w="95" w:type="dxa"/>
            </w:tcMar>
            <w:vAlign w:val="center"/>
          </w:tcPr>
          <w:p w14:paraId="3B0E6079" w14:textId="77777777" w:rsidR="00BC3589" w:rsidRDefault="0080647A">
            <w:pPr>
              <w:pStyle w:val="TableText"/>
            </w:pPr>
            <w:r>
              <w:t>Wrong side, scale, or atlas region / empty split view</w:t>
            </w:r>
          </w:p>
        </w:tc>
        <w:tc>
          <w:tcPr>
            <w:tcW w:w="4910" w:type="dxa"/>
            <w:tcMar>
              <w:top w:w="65" w:type="dxa"/>
              <w:left w:w="95" w:type="dxa"/>
              <w:bottom w:w="65" w:type="dxa"/>
              <w:right w:w="95" w:type="dxa"/>
            </w:tcMar>
            <w:vAlign w:val="center"/>
          </w:tcPr>
          <w:p w14:paraId="3197E769" w14:textId="77777777" w:rsidR="00BC3589" w:rsidRDefault="0080647A">
            <w:pPr>
              <w:pStyle w:val="TableText"/>
            </w:pPr>
            <w:r>
              <w:t>Check the actual coordinate frame, orientation, units, surface-volume alignment and hemisphere separability. The App does not register data. Use a suppo</w:t>
            </w:r>
            <w:r>
              <w:t>rted whole-surface layout for an inseparable mesh; treat Inspect's AAL/Brodmann result as provisional.</w:t>
            </w:r>
          </w:p>
        </w:tc>
      </w:tr>
      <w:tr w:rsidR="00BC3589" w14:paraId="39A03A71" w14:textId="77777777">
        <w:trPr>
          <w:cantSplit/>
        </w:trPr>
        <w:tc>
          <w:tcPr>
            <w:tcW w:w="4910" w:type="dxa"/>
            <w:tcMar>
              <w:top w:w="65" w:type="dxa"/>
              <w:left w:w="95" w:type="dxa"/>
              <w:bottom w:w="65" w:type="dxa"/>
              <w:right w:w="95" w:type="dxa"/>
            </w:tcMar>
            <w:vAlign w:val="center"/>
          </w:tcPr>
          <w:p w14:paraId="212BD91A" w14:textId="77777777" w:rsidR="00BC3589" w:rsidRDefault="0080647A">
            <w:pPr>
              <w:pStyle w:val="TableText"/>
            </w:pPr>
            <w:r>
              <w:t>ROI P Value metadata error, unsupported file, or custom color error</w:t>
            </w:r>
          </w:p>
        </w:tc>
        <w:tc>
          <w:tcPr>
            <w:tcW w:w="4910" w:type="dxa"/>
            <w:tcMar>
              <w:top w:w="65" w:type="dxa"/>
              <w:left w:w="95" w:type="dxa"/>
              <w:bottom w:w="65" w:type="dxa"/>
              <w:right w:w="95" w:type="dxa"/>
            </w:tcMar>
            <w:vAlign w:val="center"/>
          </w:tcPr>
          <w:p w14:paraId="2A347604" w14:textId="77777777" w:rsidR="00BC3589" w:rsidRDefault="0080647A">
            <w:pPr>
              <w:pStyle w:val="TableText"/>
            </w:pPr>
            <w:r>
              <w:t>Verify NIfTI statistic type/degrees of freedom; do not treat an atlas as a statistic</w:t>
            </w:r>
            <w:r>
              <w:t xml:space="preserve"> map. Otherwise choose a compatible reader/file or provide every selected ROI ID in the custom color table; see ROI rules.</w:t>
            </w:r>
          </w:p>
        </w:tc>
      </w:tr>
      <w:tr w:rsidR="00BC3589" w14:paraId="4CB6DC39" w14:textId="77777777">
        <w:trPr>
          <w:cantSplit/>
        </w:trPr>
        <w:tc>
          <w:tcPr>
            <w:tcW w:w="4910" w:type="dxa"/>
            <w:tcMar>
              <w:top w:w="65" w:type="dxa"/>
              <w:left w:w="95" w:type="dxa"/>
              <w:bottom w:w="65" w:type="dxa"/>
              <w:right w:w="95" w:type="dxa"/>
            </w:tcMar>
            <w:vAlign w:val="center"/>
          </w:tcPr>
          <w:p w14:paraId="52EEC35D" w14:textId="77777777" w:rsidR="00BC3589" w:rsidRDefault="0080647A">
            <w:pPr>
              <w:pStyle w:val="TableText"/>
            </w:pPr>
            <w:r>
              <w:t>GPU, transparency or animation export fails</w:t>
            </w:r>
          </w:p>
        </w:tc>
        <w:tc>
          <w:tcPr>
            <w:tcW w:w="4910" w:type="dxa"/>
            <w:tcMar>
              <w:top w:w="65" w:type="dxa"/>
              <w:left w:w="95" w:type="dxa"/>
              <w:bottom w:w="65" w:type="dxa"/>
              <w:right w:w="95" w:type="dxa"/>
            </w:tcMar>
            <w:vAlign w:val="center"/>
          </w:tcPr>
          <w:p w14:paraId="2CC9971C" w14:textId="77777777" w:rsidR="00BC3589" w:rsidRDefault="0080647A">
            <w:pPr>
              <w:pStyle w:val="TableText"/>
            </w:pPr>
            <w:r>
              <w:t>Try the documented CPU backend where relevant; verify output format, real alpha support,</w:t>
            </w:r>
            <w:r>
              <w:t xml:space="preserve"> video codec availability, even video dimensions, frame/size limits and a </w:t>
            </w:r>
            <w:r>
              <w:rPr>
                <w:b/>
              </w:rPr>
              <w:t>new</w:t>
            </w:r>
            <w:r>
              <w:t xml:space="preserve"> animation folder. Do not overwrite or publish partial output.</w:t>
            </w:r>
          </w:p>
        </w:tc>
      </w:tr>
    </w:tbl>
    <w:p w14:paraId="1E2B4263" w14:textId="77777777" w:rsidR="00BC3589" w:rsidRDefault="0080647A">
      <w:pPr>
        <w:spacing w:after="0"/>
      </w:pPr>
      <w:r>
        <w:rPr>
          <w:sz w:val="6"/>
        </w:rPr>
        <w:t xml:space="preserve"> </w:t>
      </w:r>
    </w:p>
    <w:p w14:paraId="7C9E94F8" w14:textId="77777777" w:rsidR="00BC3589" w:rsidRDefault="0080647A">
      <w:r>
        <w:t xml:space="preserve">For an unresolved reproducible failure, record the edition/build and MATLAB or Python version, data roles and non-sensitive dimensions, exact error, minimal steps, compute backend and output format. Keep participant data and absolute provenance paths out of public reports unless authorized. Verify limitations against the actual package before sharing results.</w:t>
      </w:r>
      <w:r>
        <w:t/>
      </w:r>
    </w:p>
    <w:p>
      <w:pPr>
        <w:pStyle w:val="Heading2"/>
        <w:keepNext/>
      </w:pPr>
      <w:r>
        <w:t xml:space="preserve">Python installation and reporting failures</w:t>
      </w:r>
    </w:p>
    <w:p>
      <w:pPr>
        <w:pStyle w:val="Normal"/>
      </w:pPr>
      <w:r>
        <w:t xml:space="preserve">Confirm the Python executable, version and package import path in the intended virtual environment, then run pip check. Do not add source PYTHONPATH or relax pinned dependency constraints to hide installation errors. Capture the complete error and minimal steps.</w:t>
      </w:r>
    </w:p>
    <w:p>
      <w:pPr>
        <w:pStyle w:val="Normal"/>
      </w:pPr>
      <w:r>
        <w:t xml:space="preserve">Check Scene versus preset, asset companions, root and hashes for reopening failures. Check graphic drivers for off-screen rendering errors. Report operating system, edition/build, interpreter or MATLAB version, GPU, monitor resolution/scaling, format and a complete-window screenshot when relevant. Do not publish sensitive inputs, credentials or local paths.</w:t>
      </w:r>
    </w:p>
    <w:p w14:paraId="6AC5F975" w14:textId="77777777" w:rsidR="00BC3589" w:rsidRDefault="0080647A">
      <w:pPr>
        <w:pStyle w:val="Heading1"/>
        <w:pageBreakBefore/>
      </w:pPr>
      <w:bookmarkStart w:id="17" w:name="bnv_chapter_17"/>
      <w:r>
        <w:lastRenderedPageBreak/>
        <w:t xml:space="preserve">Appendix References and acknowledgments</w:t>
      </w:r>
      <w:r>
        <w:t xml:space="preserve"/>
      </w:r>
      <w:bookmarkEnd w:id="17"/>
    </w:p>
    <w:p w14:paraId="47FFF803" w14:textId="77777777" w:rsidR="00BC3589" w:rsidRDefault="0080647A">
      <w:r>
        <w:t xml:space="preserve">The references below identify the principal software and atlas sources. Cite the actual atlas release, derivative and analysis method used in your study, rather than treating this general list as a substitute for dataset-specific attribution. The 2013 article is the primary software reference for BrainNet Viewer.</w:t>
      </w:r>
      <w:r>
        <w:rPr>
          <w:b/>
        </w:rPr>
        <w:t xml:space="preserve"/>
      </w:r>
      <w:r>
        <w:t xml:space="preserve"/>
      </w:r>
      <w:r>
        <w:t xml:space="preserve"/>
      </w:r>
    </w:p>
    <w:p w14:paraId="41DA6454" w14:textId="77777777" w:rsidR="00BC3589" w:rsidRDefault="0080647A">
      <w:pPr>
        <w:pStyle w:val="Heading2"/>
      </w:pPr>
      <w:r>
        <w:t xml:space="preserve">Software </w:t>
      </w:r>
      <w:r>
        <w:t>and atlas references</w:t>
      </w:r>
    </w:p>
    <w:p w14:paraId="7247D12A" w14:textId="77777777" w:rsidR="00BC3589" w:rsidRDefault="0080647A">
      <w:pPr>
        <w:pStyle w:val="ListBullet"/>
      </w:pPr>
      <w:r>
        <w:t>Xia M, Wang J, He Y (2013). BrainNet Viewer: A Network Visualization Tool for Human Brain Connectomics. PLoS ONE 8: e68910.</w:t>
      </w:r>
    </w:p>
    <w:p w14:paraId="4830329E" w14:textId="77777777" w:rsidR="00BC3589" w:rsidRDefault="0080647A">
      <w:pPr>
        <w:pStyle w:val="ListBullet"/>
      </w:pPr>
      <w:r>
        <w:t>Brodmann K (1909). Vergleichende Lokalisationslehre der Großhirnrinde. Barth, Leipzig.</w:t>
      </w:r>
    </w:p>
    <w:p w14:paraId="7C12A2B3" w14:textId="77777777" w:rsidR="00BC3589" w:rsidRDefault="0080647A">
      <w:pPr>
        <w:pStyle w:val="ListBullet"/>
      </w:pPr>
      <w:r>
        <w:t>Dosenbach NUF, Nardos B,</w:t>
      </w:r>
      <w:r>
        <w:t xml:space="preserve"> Cohen AL, et al. (2010). Prediction of individual brain maturity using fMRI. Science 329: 1358–1361.</w:t>
      </w:r>
    </w:p>
    <w:p w14:paraId="71F89BEB" w14:textId="77777777" w:rsidR="00BC3589" w:rsidRDefault="0080647A">
      <w:pPr>
        <w:pStyle w:val="ListBullet"/>
      </w:pPr>
      <w:r>
        <w:t>Fair DA, Cohen AL, Power JD, et al. (2009). Functional brain networks develop from a local to distributed organization. PLoS Computational Biology 5: e100</w:t>
      </w:r>
      <w:r>
        <w:t>0381.</w:t>
      </w:r>
    </w:p>
    <w:p w14:paraId="69827FFA" w14:textId="77777777" w:rsidR="00BC3589" w:rsidRDefault="0080647A">
      <w:pPr>
        <w:pStyle w:val="ListBullet"/>
      </w:pPr>
      <w:r>
        <w:t>Power JD, Cohen AL, Nelson SM, et al. (2011). Functional network organization of the human brain. Neuron 72: 665–678.</w:t>
      </w:r>
    </w:p>
    <w:p w14:paraId="4E749287" w14:textId="77777777" w:rsidR="00BC3589" w:rsidRDefault="0080647A">
      <w:pPr>
        <w:pStyle w:val="ListBullet"/>
      </w:pPr>
      <w:r>
        <w:t xml:space="preserve">Shattuck DW, Mirza M, Adisetiyo V, et al. (2008). Construction of a 3D probabilistic atlas of human cortical structures. </w:t>
      </w:r>
      <w:r>
        <w:t>NeuroImage 39: 1064–1080.</w:t>
      </w:r>
    </w:p>
    <w:p w14:paraId="692636C8" w14:textId="77777777" w:rsidR="00BC3589" w:rsidRDefault="0080647A">
      <w:pPr>
        <w:pStyle w:val="ListBullet"/>
      </w:pPr>
      <w:r>
        <w:t>Smith SM, Jenkinson M, Woolrich MW, et al. (2004). Advances in functional and structural MR image analysis and implementation as FSL. NeuroImage 23 Suppl 1: S208–S219.</w:t>
      </w:r>
    </w:p>
    <w:p w14:paraId="7A108C84" w14:textId="77777777" w:rsidR="00BC3589" w:rsidRDefault="0080647A">
      <w:pPr>
        <w:pStyle w:val="ListBullet"/>
      </w:pPr>
      <w:r>
        <w:t>Tzourio-Mazoyer N, Landeau B, Papathanassiou D, et al. (2002).</w:t>
      </w:r>
      <w:r>
        <w:t xml:space="preserve"> Automated anatomical labeling of activations in SPM using a macroscopic anatomical parcellation of the MNI MRI single-subject brain. NeuroImage 15: 273–289.</w:t>
      </w:r>
    </w:p>
    <w:p>
      <w:pPr>
        <w:pStyle w:val="Heading2"/>
        <w:keepNext/>
      </w:pPr>
      <w:r>
        <w:t xml:space="preserve">Distributed atlas example sources</w:t>
      </w:r>
    </w:p>
    <w:p>
      <w:pPr>
        <w:pStyle w:val="ListBullet"/>
      </w:pPr>
      <w:r>
        <w:t xml:space="preserve">AAL3v2: https://www.gin.cnrs.fr/fr/outils/aal/</w:t>
      </w:r>
    </w:p>
    <w:p>
      <w:pPr>
        <w:pStyle w:val="ListBullet"/>
      </w:pPr>
      <w:r>
        <w:t xml:space="preserve">Glasser360: https://afni.nimh.nih.gov/pub/dist/atlases/MNI_HCP/MNI_Glasser_HCP_2019_v1.0/</w:t>
      </w:r>
    </w:p>
    <w:p>
      <w:pPr>
        <w:pStyle w:val="ListBullet"/>
      </w:pPr>
      <w:r>
        <w:t xml:space="preserve">Power264: https://github.com/brainspaces/power264</w:t>
      </w:r>
    </w:p>
    <w:p>
      <w:pPr>
        <w:pStyle w:val="ListBullet"/>
      </w:pPr>
      <w:r>
        <w:t xml:space="preserve">Shen278: https://www.nitrc.org/frs/download.php/5785/shenetal_neuroimage2013_funcatlas.zip</w:t>
      </w:r>
    </w:p>
    <w:p>
      <w:pPr>
        <w:pStyle w:val="ListBullet"/>
      </w:pPr>
      <w:r>
        <w:t xml:space="preserve">Schaefer100/200/400Yeo7: https://github.com/ThomasYeoLab/CBIG/tree/master/stable_projects/brain_parcellation/Schaefer2018_LocalGlobal/Parcellations/MNI</w:t>
      </w:r>
    </w:p>
    <w:p>
      <w:pPr>
        <w:pStyle w:val="Normal"/>
      </w:pPr>
      <w:r>
        <w:t xml:space="preserve">Use the paired example files with their unchanged node order. Cite the actual atlas source and derivative used; example connectivity is for visualization, not a normative connectivity reference.</w:t>
      </w:r>
    </w:p>
    <w:p w14:paraId="67EB9970" w14:textId="77777777" w:rsidR="00BC3589" w:rsidRDefault="0080647A">
      <w:pPr>
        <w:pStyle w:val="Heading2"/>
      </w:pPr>
      <w:r>
        <w:t xml:space="preserve">Acknowledgments</w:t>
      </w:r>
    </w:p>
    <w:p w14:paraId="546A56B2" w14:textId="77777777" w:rsidR="00BC3589" w:rsidRDefault="0080647A">
      <w:r>
        <w:t xml:space="preserve">We acknowledge Prof. Alan C. Evans for the ICBM152 surface and the BrainVISA contributors for Colin27 geometry. Distributed templates, atlases, examples and derivatives retain their file-specific provider credits and notices.</w:t>
      </w:r>
      <w:r>
        <w:t xml:space="preserve"/>
      </w:r>
      <w:r>
        <w:t xml:space="preserve"/>
      </w:r>
      <w:r>
        <w:t xml:space="preserve"/>
      </w:r>
    </w:p>
    <w:p w14:paraId="0E8CD1EB" w14:textId="77777777" w:rsidR="00BC3589" w:rsidRDefault="0080647A">
      <w:r>
        <w:t xml:space="preserve">BrainNet Viewer acknowledges assistance from Gaolang Gong, Ni Shu, Zhilei Xu, Jiaying Zhang, Yapei Xie, Alan C. Evans, Xindi Wang, Jinhui Wang, Chaogan Yan, Zhengjia Dai, Teng Xie, Qixiang Lin, Miao Cao and Jin Liu.</w:t>
      </w:r>
      <w:r>
        <w:t xml:space="preserve"/>
      </w:r>
      <w:r>
        <w:rPr>
          <w:b/>
        </w:rPr>
        <w:t xml:space="preserve"/>
      </w:r>
      <w:r>
        <w:t xml:space="preserve"/>
      </w:r>
    </w:p>
    <w:p>
      <w:pPr>
        <w:pStyle w:val="Normal"/>
      </w:pPr>
      <w:r>
        <w:t xml:space="preserve">Contact Mingrui Xia at mxia@bnu.edu.cn or mingruixia@gmail.com.</w:t>
      </w:r>
    </w:p>
    <w:p>
      <w:pPr>
        <w:pStyle w:val="Heading1"/>
        <w:pageBreakBefore/>
        <w:keepNext/>
      </w:pPr>
      <w:bookmarkStart w:id="333" w:name="SharedTutorials"/>
      <w:r>
        <w:t>Appendix Shared tutorials</w:t>
      </w:r>
      <w:bookmarkEnd w:id="333"/>
    </w:p>
    <w:p>
      <w:pPr>
        <w:pStyle w:val="Normal"/>
      </w:pPr>
      <w:r>
        <w:t>These thirteen tutorials combine MATLAB and Python desktop workflows. Follow the edition-labelled instructions for installation, inputs, settings and output. Links are relative to this manual: retain the repository documentation structure when moving the file.</w:t>
      </w:r>
    </w:p>
    <w:p>
      <w:pPr>
        <w:pStyle w:val="Normal"/>
      </w:pPr>
      <w:r>
        <w:t/>
      </w:r>
      <w:hyperlink r:id="rIdSharedTutorial0">
        <w:r>
          <w:rPr>
            <w:color w:val="0563C1"/>
            <w:u w:val="single"/>
          </w:rPr>
          <w:t>Shared tutorial index</w:t>
        </w:r>
      </w:hyperlink>
    </w:p>
    <w:p>
      <w:pPr>
        <w:pStyle w:val="Normal"/>
      </w:pPr>
      <w:r>
        <w:t/>
      </w:r>
      <w:hyperlink r:id="rIdSharedTutorial1">
        <w:r>
          <w:rPr>
            <w:color w:val="0563C1"/>
            <w:u w:val="single"/>
          </w:rPr>
          <w:t>MATLAB and Python topic coverage</w:t>
        </w:r>
      </w:hyperlink>
    </w:p>
    <w:p>
      <w:pPr>
        <w:pStyle w:val="Normal"/>
      </w:pPr>
      <w:r>
        <w:t/>
      </w:r>
      <w:hyperlink r:id="rIdSharedTutorial2">
        <w:r>
          <w:rPr>
            <w:color w:val="0563C1"/>
            <w:u w:val="single"/>
          </w:rPr>
          <w:t>01 Installation and first launch</w:t>
        </w:r>
      </w:hyperlink>
    </w:p>
    <w:p>
      <w:pPr>
        <w:pStyle w:val="Normal"/>
      </w:pPr>
      <w:r>
        <w:t/>
      </w:r>
      <w:hyperlink r:id="rIdSharedTutorial3">
        <w:r>
          <w:rPr>
            <w:color w:val="0563C1"/>
            <w:u w:val="single"/>
          </w:rPr>
          <w:t>02 First surface visualization</w:t>
        </w:r>
      </w:hyperlink>
    </w:p>
    <w:p>
      <w:pPr>
        <w:pStyle w:val="Normal"/>
      </w:pPr>
      <w:r>
        <w:t/>
      </w:r>
      <w:hyperlink r:id="rIdSharedTutorial4">
        <w:r>
          <w:rPr>
            <w:color w:val="0563C1"/>
            <w:u w:val="single"/>
          </w:rPr>
          <w:t>03 Scenes and presets</w:t>
        </w:r>
      </w:hyperlink>
    </w:p>
    <w:p>
      <w:pPr>
        <w:pStyle w:val="Normal"/>
      </w:pPr>
      <w:r>
        <w:t/>
      </w:r>
      <w:hyperlink r:id="rIdSharedTutorial5">
        <w:r>
          <w:rPr>
            <w:color w:val="0563C1"/>
            <w:u w:val="single"/>
          </w:rPr>
          <w:t>04 Nodes modules and connectivity</w:t>
        </w:r>
      </w:hyperlink>
    </w:p>
    <w:p>
      <w:pPr>
        <w:pStyle w:val="Normal"/>
      </w:pPr>
      <w:r>
        <w:t/>
      </w:r>
      <w:hyperlink r:id="rIdSharedTutorial6">
        <w:r>
          <w:rPr>
            <w:color w:val="0563C1"/>
            <w:u w:val="single"/>
          </w:rPr>
          <w:t>05 Vertex maps boundaries and Inspect</w:t>
        </w:r>
      </w:hyperlink>
    </w:p>
    <w:p>
      <w:pPr>
        <w:pStyle w:val="Normal"/>
      </w:pPr>
      <w:r>
        <w:t/>
      </w:r>
      <w:hyperlink r:id="rIdSharedTutorial7">
        <w:r>
          <w:rPr>
            <w:color w:val="0563C1"/>
            <w:u w:val="single"/>
          </w:rPr>
          <w:t>06 Statistical volume to surface mapping</w:t>
        </w:r>
      </w:hyperlink>
    </w:p>
    <w:p>
      <w:pPr>
        <w:pStyle w:val="Normal"/>
      </w:pPr>
      <w:r>
        <w:t/>
      </w:r>
      <w:hyperlink r:id="rIdSharedTutorial8">
        <w:r>
          <w:rPr>
            <w:color w:val="0563C1"/>
            <w:u w:val="single"/>
          </w:rPr>
          <w:t>07 Bilateral AAL insula ROIs</w:t>
        </w:r>
      </w:hyperlink>
    </w:p>
    <w:p>
      <w:pPr>
        <w:pStyle w:val="Normal"/>
      </w:pPr>
      <w:r>
        <w:t/>
      </w:r>
      <w:hyperlink r:id="rIdSharedTutorial9">
        <w:r>
          <w:rPr>
            <w:color w:val="0563C1"/>
            <w:u w:val="single"/>
          </w:rPr>
          <w:t>08 Layouts and figure export</w:t>
        </w:r>
      </w:hyperlink>
    </w:p>
    <w:p>
      <w:pPr>
        <w:pStyle w:val="Normal"/>
      </w:pPr>
      <w:r>
        <w:t/>
      </w:r>
      <w:hyperlink r:id="rIdSharedTutorial10">
        <w:r>
          <w:rPr>
            <w:color w:val="0563C1"/>
            <w:u w:val="single"/>
          </w:rPr>
          <w:t>09 Custom colors and presets</w:t>
        </w:r>
      </w:hyperlink>
    </w:p>
    <w:p>
      <w:pPr>
        <w:pStyle w:val="Normal"/>
      </w:pPr>
      <w:r>
        <w:t/>
      </w:r>
      <w:hyperlink r:id="rIdSharedTutorial11">
        <w:r>
          <w:rPr>
            <w:color w:val="0563C1"/>
            <w:u w:val="single"/>
          </w:rPr>
          <w:t>10 Command line Scene replay</w:t>
        </w:r>
      </w:hyperlink>
    </w:p>
    <w:p>
      <w:pPr>
        <w:pStyle w:val="Normal"/>
      </w:pPr>
      <w:r>
        <w:t/>
      </w:r>
      <w:hyperlink r:id="rIdSharedTutorial12">
        <w:r>
          <w:rPr>
            <w:color w:val="0563C1"/>
            <w:u w:val="single"/>
          </w:rPr>
          <w:t>11 Surface and atlas tools</w:t>
        </w:r>
      </w:hyperlink>
    </w:p>
    <w:p>
      <w:pPr>
        <w:pStyle w:val="Normal"/>
      </w:pPr>
      <w:r>
        <w:t/>
      </w:r>
      <w:hyperlink r:id="rIdSharedTutorial13">
        <w:r>
          <w:rPr>
            <w:color w:val="0563C1"/>
            <w:u w:val="single"/>
          </w:rPr>
          <w:t>12 Camera animation</w:t>
        </w:r>
      </w:hyperlink>
    </w:p>
    <w:p>
      <w:pPr>
        <w:pStyle w:val="Normal"/>
      </w:pPr>
      <w:r>
        <w:t/>
      </w:r>
      <w:hyperlink r:id="rIdSharedTutorial14">
        <w:r>
          <w:rPr>
            <w:color w:val="0563C1"/>
            <w:u w:val="single"/>
          </w:rPr>
          <w:t>13 Performance and reproducibility</w:t>
        </w:r>
      </w:hyperlink>
    </w:p>
    <w:p>
      <w:pPr>
        <w:pStyle w:val="Normal"/>
      </w:pPr>
      <w:r>
        <w:t>Historical illustrations retain their original edition identity; tutorial coverage is not a new software acceptance result. No prebuilt Scene is supplied by these shared lessons.</w:t>
      </w:r>
    </w:p>
    <w:sectPr w:rsidR="00BC3589" w:rsidSect="00034616">
      <w:pgSz w:w="12240" w:h="15840"/>
      <w:pgMar w:top="1181"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a Mingrui">
    <w15:presenceInfo w15:providerId="Windows Live" w15:userId="22f0cf55a7805f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066B"/>
    <w:rsid w:val="005A4BA6"/>
    <w:rsid w:val="0080647A"/>
    <w:rsid w:val="00AA1D8D"/>
    <w:rsid w:val="00B47730"/>
    <w:rsid w:val="00BC35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240D"/>
  <w14:defaultImageDpi w14:val="300"/>
  <w15:docId w15:val="{BA13DEE1-712F-4823-ABD3-197CCBB47D5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00" w:line="269" w:lineRule="auto"/>
    </w:pPr>
    <w:rPr>
      <w:rFonts w:ascii="Arial" w:eastAsia="Arial" w:hAnsi="Arial" w:cs="Arial"/>
      <w:color w:val="000000"/>
      <w:sz w:val="20"/>
    </w:rPr>
  </w:style>
  <w:style w:type="paragraph" w:styleId="Heading1">
    <w:name w:val="heading 1"/>
    <w:basedOn w:val="Normal"/>
    <w:next w:val="Normal"/>
    <w:link w:val="Heading1Char"/>
    <w:uiPriority w:val="9"/>
    <w:qFormat/>
    <w:rsid w:val="00FC693F"/>
    <w:pPr>
      <w:keepNext/>
      <w:spacing w:before="200" w:after="220"/>
      <w:outlineLvl w:val="0"/>
    </w:pPr>
    <w:rPr>
      <w:b/>
      <w:bCs/>
      <w:sz w:val="34"/>
      <w:szCs w:val="28"/>
    </w:rPr>
  </w:style>
  <w:style w:type="paragraph" w:styleId="Heading2">
    <w:name w:val="heading 2"/>
    <w:basedOn w:val="Normal"/>
    <w:next w:val="Normal"/>
    <w:link w:val="Heading2Char"/>
    <w:uiPriority w:val="9"/>
    <w:unhideWhenUsed/>
    <w:qFormat/>
    <w:rsid w:val="00FC693F"/>
    <w:pPr>
      <w:keepNext/>
      <w:spacing w:before="220"/>
      <w:outlineLvl w:val="1"/>
    </w:pPr>
    <w:rPr>
      <w:b/>
      <w:bCs/>
      <w:sz w:val="24"/>
      <w:szCs w:val="26"/>
    </w:rPr>
  </w:style>
  <w:style w:type="paragraph" w:styleId="Heading3">
    <w:name w:val="heading 3"/>
    <w:basedOn w:val="Normal"/>
    <w:next w:val="Normal"/>
    <w:link w:val="Heading3Char"/>
    <w:uiPriority w:val="9"/>
    <w:unhideWhenUsed/>
    <w:qFormat/>
    <w:rsid w:val="00FC693F"/>
    <w:pPr>
      <w:keepNext/>
      <w:spacing w:before="160" w:after="80"/>
      <w:outlineLvl w:val="2"/>
    </w:pPr>
    <w:rPr>
      <w:b/>
      <w:bCs/>
      <w:sz w:val="22"/>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line="252" w:lineRule="auto"/>
    </w:pPr>
    <w:rPr>
      <w:sz w:val="17"/>
    </w:rPr>
  </w:style>
  <w:style w:type="paragraph" w:customStyle="1" w:styleId="FigureCaption">
    <w:name w:val="Figure Caption"/>
    <w:basedOn w:val="Normal"/>
    <w:pPr>
      <w:spacing w:before="20" w:after="240"/>
    </w:pPr>
    <w:rPr>
      <w:b/>
      <w:sz w:val="18"/>
    </w:rPr>
  </w:style>
  <w:style w:type="paragraph" w:customStyle="1" w:styleId="Code">
    <w:name w:val="Code"/>
    <w:basedOn w:val="Normal"/>
    <w:pPr>
      <w:spacing w:before="100" w:after="180"/>
      <w:ind w:left="288"/>
    </w:pPr>
    <w:rPr>
      <w:rFonts w:ascii="Consolas" w:hAnsi="Consolas"/>
      <w:sz w:val="18"/>
    </w:rPr>
  </w:style>
  <w:style w:type="character" w:styleId="CommentReference">
    <w:name w:val="annotation reference"/>
    <w:basedOn w:val="DefaultParagraphFont"/>
    <w:uiPriority w:val="99"/>
    <w:semiHidden/>
    <w:unhideWhenUsed/>
    <w:rsid w:val="005A4BA6"/>
    <w:rPr>
      <w:sz w:val="21"/>
      <w:szCs w:val="21"/>
    </w:rPr>
  </w:style>
  <w:style w:type="paragraph" w:styleId="CommentText">
    <w:name w:val="annotation text"/>
    <w:basedOn w:val="Normal"/>
    <w:link w:val="CommentTextChar"/>
    <w:uiPriority w:val="99"/>
    <w:semiHidden/>
    <w:unhideWhenUsed/>
    <w:rsid w:val="005A4BA6"/>
  </w:style>
  <w:style w:type="character" w:customStyle="1" w:styleId="CommentTextChar">
    <w:name w:val="Comment Text Char"/>
    <w:basedOn w:val="DefaultParagraphFont"/>
    <w:link w:val="CommentText"/>
    <w:uiPriority w:val="99"/>
    <w:semiHidden/>
    <w:rsid w:val="005A4BA6"/>
    <w:rPr>
      <w:rFonts w:ascii="Arial" w:eastAsia="Arial" w:hAnsi="Arial" w:cs="Arial"/>
      <w:color w:val="000000"/>
      <w:sz w:val="20"/>
    </w:rPr>
  </w:style>
  <w:style w:type="paragraph" w:styleId="CommentSubject">
    <w:name w:val="annotation subject"/>
    <w:basedOn w:val="CommentText"/>
    <w:next w:val="CommentText"/>
    <w:link w:val="CommentSubjectChar"/>
    <w:uiPriority w:val="99"/>
    <w:semiHidden/>
    <w:unhideWhenUsed/>
    <w:rsid w:val="005A4BA6"/>
    <w:rPr>
      <w:b/>
      <w:bCs/>
    </w:rPr>
  </w:style>
  <w:style w:type="character" w:customStyle="1" w:styleId="CommentSubjectChar">
    <w:name w:val="Comment Subject Char"/>
    <w:basedOn w:val="CommentTextChar"/>
    <w:link w:val="CommentSubject"/>
    <w:uiPriority w:val="99"/>
    <w:semiHidden/>
    <w:rsid w:val="005A4BA6"/>
    <w:rPr>
      <w:rFonts w:ascii="Arial" w:eastAsia="Arial" w:hAnsi="Arial" w:cs="Arial"/>
      <w:b/>
      <w:bC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SharedTutorial0" Type="http://schemas.openxmlformats.org/officeDocument/2006/relationships/hyperlink" Target="../../tutorials/unified/en/index.md" TargetMode="External"/><Relationship Id="rIdSharedTutorial1" Type="http://schemas.openxmlformats.org/officeDocument/2006/relationships/hyperlink" Target="../../tutorials/unified/en/Topic_Coverage.md" TargetMode="External"/><Relationship Id="rIdSharedTutorial2" Type="http://schemas.openxmlformats.org/officeDocument/2006/relationships/hyperlink" Target="../../tutorials/unified/en/01_Installation_and_First_Launch.md" TargetMode="External"/><Relationship Id="rIdSharedTutorial3" Type="http://schemas.openxmlformats.org/officeDocument/2006/relationships/hyperlink" Target="../../tutorials/unified/en/02_First_Surface_Visualization.md" TargetMode="External"/><Relationship Id="rIdSharedTutorial4" Type="http://schemas.openxmlformats.org/officeDocument/2006/relationships/hyperlink" Target="../../tutorials/unified/en/03_Scenes_and_Presets.md" TargetMode="External"/><Relationship Id="rIdSharedTutorial5" Type="http://schemas.openxmlformats.org/officeDocument/2006/relationships/hyperlink" Target="../../tutorials/unified/en/04_Nodes_Modules_and_Connectivity.md" TargetMode="External"/><Relationship Id="rIdSharedTutorial6" Type="http://schemas.openxmlformats.org/officeDocument/2006/relationships/hyperlink" Target="../../tutorials/unified/en/05_Vertex_Maps_Boundaries_and_Inspect.md" TargetMode="External"/><Relationship Id="rIdSharedTutorial7" Type="http://schemas.openxmlformats.org/officeDocument/2006/relationships/hyperlink" Target="../../tutorials/unified/en/06_Statistical_Volume_to_Surface.md" TargetMode="External"/><Relationship Id="rIdSharedTutorial8" Type="http://schemas.openxmlformats.org/officeDocument/2006/relationships/hyperlink" Target="../../tutorials/unified/en/07_AAL_Insula_ROIs.md" TargetMode="External"/><Relationship Id="rIdSharedTutorial9" Type="http://schemas.openxmlformats.org/officeDocument/2006/relationships/hyperlink" Target="../../tutorials/unified/en/08_Layouts_and_Figure_Export.md" TargetMode="External"/><Relationship Id="rIdSharedTutorial10" Type="http://schemas.openxmlformats.org/officeDocument/2006/relationships/hyperlink" Target="../../tutorials/unified/en/09_Custom_Colors_and_Presets.md" TargetMode="External"/><Relationship Id="rIdSharedTutorial11" Type="http://schemas.openxmlformats.org/officeDocument/2006/relationships/hyperlink" Target="../../tutorials/unified/en/10_Command_Line_Scene_Replay.md" TargetMode="External"/><Relationship Id="rIdSharedTutorial12" Type="http://schemas.openxmlformats.org/officeDocument/2006/relationships/hyperlink" Target="../../tutorials/unified/en/11_Surface_and_Atlas_Tools.md" TargetMode="External"/><Relationship Id="rIdSharedTutorial13" Type="http://schemas.openxmlformats.org/officeDocument/2006/relationships/hyperlink" Target="../../tutorials/unified/en/12_Camera_Animation.md" TargetMode="External"/><Relationship Id="rIdSharedTutorial14" Type="http://schemas.openxmlformats.org/officeDocument/2006/relationships/hyperlink" Target="../../tutorials/unified/en/13_Performance_and_Reproducibil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42</Pages>
  <Words>11948</Words>
  <Characters>68105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BrainNet Viewer User Manual</dc:title>
  <dc:subject/>
  <dc:creator>Mingrui Xia</dc:creator>
  <cp:keywords/>
  <dc:description>generated by python-docx</dc:description>
  <cp:lastModifiedBy>Xia Mingrui</cp:lastModifiedBy>
  <cp:revision>4</cp:revision>
  <dcterms:created xsi:type="dcterms:W3CDTF">2026-10-01T02:35:00Z</dcterms:created>
  <dcterms:modified xsi:type="dcterms:W3CDTF">2026-10-01T04:49:00Z</dcterms:modified>
  <cp:category/>
</cp:coreProperties>
</file>