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Style w:val="3"/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  <w:t>基于数据热度的分层索引策略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  <w:t>将索引分为云端全局索引（冷数据）与边</w:t>
      </w:r>
      <w:r>
        <w:rPr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Hans" w:bidi="ar"/>
        </w:rPr>
        <w:t>端</w:t>
      </w:r>
      <w:r>
        <w:rPr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  <w:t>本地索引（热数据），根据数据访问频率动态调整分层策略。例如，高频查询数据在边缘节点构建轻量化索引，低频数据上传至云端构建复杂索引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Style w:val="3"/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</w:pPr>
      <w:r>
        <w:rPr>
          <w:rStyle w:val="3"/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  <w:t>索引压缩与卸载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  <w:t>根据边缘节点的实时资源（CPU、内存）动态压缩索引结构（如剪枝冗余分支）或卸载部分索引至邻近节点/云端。例如，资源紧张时，边缘节点仅保留高频查询的索引分支，低频分支迁移至云端存储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Style w:val="3"/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</w:pPr>
      <w:r>
        <w:rPr>
          <w:rStyle w:val="3"/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  <w:t>在线索引更新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  <w:t>基于边缘端实时数据流，动态更新索引模型，避免全局重构。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caps w:val="0"/>
          <w:color w:val="404040"/>
          <w:spacing w:val="0"/>
          <w:kern w:val="0"/>
          <w:sz w:val="28"/>
          <w:szCs w:val="28"/>
          <w:lang w:val="en-US" w:eastAsia="zh-CN" w:bidi="ar"/>
        </w:rPr>
      </w:pPr>
    </w:p>
    <w:p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epSeek-CJK-patc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E7B1D5"/>
    <w:multiLevelType w:val="singleLevel"/>
    <w:tmpl w:val="67E7B1D5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3F61BD"/>
    <w:rsid w:val="DF3F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Office_4.0.0.6524_F1E327BC-269C-435d-A152-05C5408002CA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2025-03-29T16:36:00Z</dcterms:created>
  <dc:creator>w24</dc:creator>
  <cp:lastModifiedBy>w24</cp:lastModifiedBy>
  <dcterms:modified xsi:type="dcterms:W3CDTF">2025-03-30T15:08:06Z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2052-4.0.0.6524</vt:lpwstr>
  </property>
</Properties>
</file>