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22BC8" w14:textId="0E35A9DB" w:rsidR="007A1DD9" w:rsidRPr="00C13107" w:rsidRDefault="000C30D2" w:rsidP="007A1DD9">
      <w:pPr>
        <w:spacing w:line="360" w:lineRule="auto"/>
        <w:rPr>
          <w:b/>
          <w:bCs/>
          <w:sz w:val="28"/>
        </w:rPr>
      </w:pPr>
      <w:r w:rsidRPr="000C30D2">
        <w:rPr>
          <w:b/>
          <w:bCs/>
          <w:sz w:val="28"/>
          <w:highlight w:val="yellow"/>
        </w:rPr>
        <w:t xml:space="preserve">2 </w:t>
      </w:r>
      <w:r w:rsidRPr="000C30D2">
        <w:rPr>
          <w:b/>
          <w:bCs/>
          <w:sz w:val="28"/>
          <w:highlight w:val="yellow"/>
        </w:rPr>
        <w:t>第二课堂：热点案例研讨（长页面）</w:t>
      </w:r>
    </w:p>
    <w:p w14:paraId="2845ECBA" w14:textId="77777777" w:rsidR="007A1DD9" w:rsidRPr="007A1DD9" w:rsidRDefault="007A1DD9" w:rsidP="000C30D2">
      <w:pPr>
        <w:spacing w:line="360" w:lineRule="auto"/>
        <w:rPr>
          <w:rFonts w:ascii="楷体" w:eastAsia="楷体" w:hAnsi="楷体" w:hint="eastAsia"/>
          <w:sz w:val="24"/>
          <w:szCs w:val="24"/>
        </w:rPr>
      </w:pPr>
    </w:p>
    <w:p w14:paraId="47FEA266" w14:textId="77777777" w:rsidR="000C30D2" w:rsidRPr="00E641F6" w:rsidRDefault="000C30D2" w:rsidP="000C30D2">
      <w:pPr>
        <w:spacing w:line="360" w:lineRule="auto"/>
        <w:ind w:firstLineChars="200" w:firstLine="482"/>
        <w:jc w:val="center"/>
        <w:rPr>
          <w:rFonts w:ascii="宋体" w:eastAsia="宋体" w:hAnsi="宋体" w:hint="eastAsia"/>
          <w:b/>
          <w:bCs/>
          <w:sz w:val="24"/>
          <w:szCs w:val="24"/>
        </w:rPr>
      </w:pPr>
      <w:r w:rsidRPr="00E641F6">
        <w:rPr>
          <w:rFonts w:ascii="宋体" w:eastAsia="宋体" w:hAnsi="宋体" w:hint="eastAsia"/>
          <w:b/>
          <w:bCs/>
          <w:sz w:val="24"/>
          <w:szCs w:val="24"/>
        </w:rPr>
        <w:t>案例一：AI生成内容（AIGC）的传播伦理与信任危机</w:t>
      </w:r>
    </w:p>
    <w:p w14:paraId="0EA8FD46" w14:textId="17234757" w:rsidR="000C30D2" w:rsidRPr="00E641F6" w:rsidRDefault="000C30D2" w:rsidP="000C30D2">
      <w:pPr>
        <w:spacing w:line="360" w:lineRule="auto"/>
        <w:ind w:firstLineChars="200" w:firstLine="482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文献材料</w:t>
      </w:r>
    </w:p>
    <w:p w14:paraId="04090E38" w14:textId="77777777" w:rsidR="000C30D2" w:rsidRPr="00C310AE" w:rsidRDefault="000C30D2" w:rsidP="000C30D2">
      <w:pPr>
        <w:pStyle w:val="af7"/>
        <w:widowControl w:val="0"/>
        <w:numPr>
          <w:ilvl w:val="0"/>
          <w:numId w:val="1"/>
        </w:numPr>
        <w:ind w:firstLineChars="0"/>
        <w:jc w:val="both"/>
        <w:rPr>
          <w:rFonts w:ascii="宋体" w:eastAsia="宋体" w:hAnsi="宋体" w:hint="eastAsia"/>
          <w:sz w:val="24"/>
        </w:rPr>
      </w:pPr>
      <w:r w:rsidRPr="00C310AE">
        <w:rPr>
          <w:rFonts w:ascii="宋体" w:eastAsia="宋体" w:hAnsi="宋体" w:hint="eastAsia"/>
          <w:sz w:val="24"/>
        </w:rPr>
        <w:t>陈昌凤， 张梦. 由数据决定？AIGC的价值观和伦理问题[J]. 新闻与写作， 2023(4): 15-23.</w:t>
      </w:r>
    </w:p>
    <w:p w14:paraId="6A733F20" w14:textId="77777777" w:rsidR="000C30D2" w:rsidRPr="00C310AE" w:rsidRDefault="000C30D2" w:rsidP="000C30D2">
      <w:pPr>
        <w:pStyle w:val="af7"/>
        <w:widowControl w:val="0"/>
        <w:numPr>
          <w:ilvl w:val="0"/>
          <w:numId w:val="1"/>
        </w:numPr>
        <w:ind w:firstLineChars="0"/>
        <w:jc w:val="both"/>
        <w:rPr>
          <w:rFonts w:ascii="宋体" w:eastAsia="宋体" w:hAnsi="宋体" w:hint="eastAsia"/>
          <w:sz w:val="24"/>
        </w:rPr>
      </w:pPr>
      <w:r w:rsidRPr="00C310AE">
        <w:rPr>
          <w:rFonts w:ascii="宋体" w:eastAsia="宋体" w:hAnsi="宋体" w:hint="eastAsia"/>
          <w:sz w:val="24"/>
        </w:rPr>
        <w:t>彭兰. 从ChatGPT透视智能传播与人机关系的全景及前景[J]. 新闻大学， 2023(4): 1-16.</w:t>
      </w:r>
    </w:p>
    <w:p w14:paraId="6249A516" w14:textId="77777777" w:rsidR="000C30D2" w:rsidRPr="00C310AE" w:rsidRDefault="000C30D2" w:rsidP="000C30D2">
      <w:pPr>
        <w:pStyle w:val="af7"/>
        <w:widowControl w:val="0"/>
        <w:numPr>
          <w:ilvl w:val="0"/>
          <w:numId w:val="1"/>
        </w:numPr>
        <w:ind w:firstLineChars="0"/>
        <w:jc w:val="both"/>
        <w:rPr>
          <w:rFonts w:ascii="宋体" w:eastAsia="宋体" w:hAnsi="宋体" w:hint="eastAsia"/>
          <w:sz w:val="24"/>
        </w:rPr>
      </w:pPr>
      <w:r w:rsidRPr="00C310AE">
        <w:rPr>
          <w:rFonts w:ascii="宋体" w:eastAsia="宋体" w:hAnsi="宋体" w:hint="eastAsia"/>
          <w:sz w:val="24"/>
        </w:rPr>
        <w:t>宋伟锋. 生成式AI传播范式：AI生成内容版权风险与规制建构——以全球首例AIGC侵权案为缘由[J]. 新闻界， 2023(10): 45-53.</w:t>
      </w:r>
    </w:p>
    <w:p w14:paraId="7C2B8F8A" w14:textId="1205E99E" w:rsidR="000C30D2" w:rsidRPr="000C30D2" w:rsidRDefault="000C30D2" w:rsidP="000C30D2">
      <w:pPr>
        <w:pStyle w:val="af7"/>
        <w:widowControl w:val="0"/>
        <w:numPr>
          <w:ilvl w:val="0"/>
          <w:numId w:val="1"/>
        </w:numPr>
        <w:ind w:firstLineChars="0"/>
        <w:jc w:val="both"/>
        <w:rPr>
          <w:rFonts w:ascii="宋体" w:eastAsia="宋体" w:hAnsi="宋体" w:hint="eastAsia"/>
          <w:sz w:val="24"/>
        </w:rPr>
      </w:pPr>
      <w:r w:rsidRPr="00C310AE">
        <w:rPr>
          <w:rFonts w:ascii="宋体" w:eastAsia="宋体" w:hAnsi="宋体" w:hint="eastAsia"/>
          <w:sz w:val="24"/>
        </w:rPr>
        <w:t>人民日报. AI一本正经胡说八道，不能只当笑话看[N]. 人民日报， 2026-05-30(05).</w:t>
      </w:r>
    </w:p>
    <w:p w14:paraId="2E2E8B62" w14:textId="3F7480D0" w:rsidR="000C30D2" w:rsidRPr="00E641F6" w:rsidRDefault="000C30D2" w:rsidP="000C30D2">
      <w:pPr>
        <w:spacing w:line="360" w:lineRule="auto"/>
        <w:ind w:firstLineChars="200" w:firstLine="482"/>
        <w:rPr>
          <w:rFonts w:ascii="宋体" w:eastAsia="宋体" w:hAnsi="宋体" w:hint="eastAsia"/>
          <w:b/>
          <w:bCs/>
          <w:sz w:val="24"/>
          <w:szCs w:val="24"/>
        </w:rPr>
      </w:pPr>
      <w:r w:rsidRPr="00E641F6">
        <w:rPr>
          <w:rFonts w:ascii="宋体" w:eastAsia="宋体" w:hAnsi="宋体" w:hint="eastAsia"/>
          <w:b/>
          <w:bCs/>
          <w:sz w:val="24"/>
          <w:szCs w:val="24"/>
        </w:rPr>
        <w:t>观点综述</w:t>
      </w:r>
    </w:p>
    <w:p w14:paraId="4AA5F7F5" w14:textId="77777777" w:rsidR="000C30D2" w:rsidRPr="00C310AE" w:rsidRDefault="000C30D2" w:rsidP="000C30D2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C310AE">
        <w:rPr>
          <w:rFonts w:ascii="宋体" w:eastAsia="宋体" w:hAnsi="宋体" w:hint="eastAsia"/>
          <w:sz w:val="24"/>
          <w:szCs w:val="24"/>
        </w:rPr>
        <w:t>关于AIGC引发的传播伦理与信任危机，现有讨论主要从技术逻辑、法律规制与社会治理三个层面展开，三者共同指向一个核心问题：当机器可以批量生产逼真的虚假信息，“真实”</w:t>
      </w:r>
      <w:r>
        <w:rPr>
          <w:rFonts w:ascii="宋体" w:eastAsia="宋体" w:hAnsi="宋体" w:hint="eastAsia"/>
          <w:sz w:val="24"/>
          <w:szCs w:val="24"/>
        </w:rPr>
        <w:t>是否还</w:t>
      </w:r>
      <w:r w:rsidRPr="00C310AE">
        <w:rPr>
          <w:rFonts w:ascii="宋体" w:eastAsia="宋体" w:hAnsi="宋体" w:hint="eastAsia"/>
          <w:sz w:val="24"/>
          <w:szCs w:val="24"/>
        </w:rPr>
        <w:t>靠得住？</w:t>
      </w:r>
    </w:p>
    <w:p w14:paraId="5C26452C" w14:textId="77777777" w:rsidR="000C30D2" w:rsidRPr="00C310AE" w:rsidRDefault="000C30D2" w:rsidP="000C30D2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C310AE">
        <w:rPr>
          <w:rFonts w:ascii="宋体" w:eastAsia="宋体" w:hAnsi="宋体" w:hint="eastAsia"/>
          <w:sz w:val="24"/>
          <w:szCs w:val="24"/>
        </w:rPr>
        <w:t>从技术逻辑来看，AIGC对传统传播理论的冲击是根本性的。经典传播学以“人”作为信息的生产者和接收者，但生成式AI已经在内容生产中扮演了“准行动者”的角色。有学者指出，这不仅是效率的提升，更动摇了“作者”“作品”“创造性”等概念的前提。更现实的问题是，AIGC的“价值观对齐”尚未解决——大模型的输出高度依赖训练数据，而数据本身携带着既有社会的偏见。这意味着，AI不仅可能“一本正经地胡说八道”，还可能系统性地放大性别、种族和阶层的刻板印象。当虚假信息可以低成本、高保真地批量生产时，“后真相”就从一种政治现象变成了一种技术常态。</w:t>
      </w:r>
    </w:p>
    <w:p w14:paraId="43389AA7" w14:textId="77777777" w:rsidR="000C30D2" w:rsidRPr="00C310AE" w:rsidRDefault="000C30D2" w:rsidP="000C30D2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C310AE">
        <w:rPr>
          <w:rFonts w:ascii="宋体" w:eastAsia="宋体" w:hAnsi="宋体" w:hint="eastAsia"/>
          <w:sz w:val="24"/>
          <w:szCs w:val="24"/>
        </w:rPr>
        <w:t>从法律规制来看，版权归属和侵权责任是争议焦点。以全球首例AIGC侵权案为切口，学界和业界形成了两派意见。一派认为，现行版权法的“独创性”标准以人的智力活动为前提，无法适用于AI生成物，需要建立全新的权利归属框架。另一派则担心，过早或过严的立法会扼杀技术创新，主张先通过技术手段（如水印、溯源）和市场机制来应对。双方并非完全对立，争论的实质是治理的节奏</w:t>
      </w:r>
      <w:r w:rsidRPr="00C310AE">
        <w:rPr>
          <w:rFonts w:ascii="宋体" w:eastAsia="宋体" w:hAnsi="宋体" w:hint="eastAsia"/>
          <w:sz w:val="24"/>
          <w:szCs w:val="24"/>
        </w:rPr>
        <w:lastRenderedPageBreak/>
        <w:t>和力度问题。《人民日报》的评论从公共政策出发，强调不能把AI“幻觉”当成笑话看，而应建立内容标识、算法审计和行业自律相结合的综合治理体系。</w:t>
      </w:r>
    </w:p>
    <w:p w14:paraId="6D91C132" w14:textId="77777777" w:rsidR="000C30D2" w:rsidRDefault="000C30D2" w:rsidP="000C30D2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C310AE">
        <w:rPr>
          <w:rFonts w:ascii="宋体" w:eastAsia="宋体" w:hAnsi="宋体" w:hint="eastAsia"/>
          <w:sz w:val="24"/>
          <w:szCs w:val="24"/>
        </w:rPr>
        <w:t>总体而言，现有研究已经从最初的“技术兴奋”转向了“风险审视”。学者们普遍认为，AIGC的信任危机是技术缺陷、法律空白和伦理滞后的叠加结果。更深层的问题是，当任何图像、音频、视频都可以被伪造时，“眼见为实”这一现代社会的基本认知规则正在被动摇。未来的治理，需要在技术标准、法律框架和全球协作之间找到平衡。</w:t>
      </w:r>
    </w:p>
    <w:p w14:paraId="0BAD94C7" w14:textId="77777777" w:rsidR="000C30D2" w:rsidRPr="004E51DD" w:rsidRDefault="000C30D2" w:rsidP="000C30D2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1D314247" w14:textId="77777777" w:rsidR="000C30D2" w:rsidRDefault="000C30D2" w:rsidP="000C30D2">
      <w:pPr>
        <w:spacing w:line="360" w:lineRule="auto"/>
        <w:ind w:firstLineChars="200" w:firstLine="482"/>
        <w:jc w:val="center"/>
        <w:rPr>
          <w:rFonts w:ascii="宋体" w:eastAsia="宋体" w:hAnsi="宋体" w:hint="eastAsia"/>
          <w:b/>
          <w:bCs/>
          <w:sz w:val="24"/>
          <w:szCs w:val="24"/>
        </w:rPr>
      </w:pPr>
      <w:r w:rsidRPr="00E641F6">
        <w:rPr>
          <w:rFonts w:ascii="宋体" w:eastAsia="宋体" w:hAnsi="宋体" w:hint="eastAsia"/>
          <w:b/>
          <w:bCs/>
          <w:sz w:val="24"/>
          <w:szCs w:val="24"/>
        </w:rPr>
        <w:t>案例二：算法推荐与信息茧房争议</w:t>
      </w:r>
    </w:p>
    <w:p w14:paraId="6FF10331" w14:textId="07C8018B" w:rsidR="000C30D2" w:rsidRPr="00E641F6" w:rsidRDefault="000C30D2" w:rsidP="000C30D2">
      <w:pPr>
        <w:spacing w:line="360" w:lineRule="auto"/>
        <w:ind w:firstLineChars="200" w:firstLine="482"/>
        <w:jc w:val="left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文献材料：</w:t>
      </w:r>
    </w:p>
    <w:p w14:paraId="74778C7B" w14:textId="77777777" w:rsidR="000C30D2" w:rsidRPr="00B940AF" w:rsidRDefault="000C30D2" w:rsidP="000C30D2">
      <w:pPr>
        <w:pStyle w:val="af7"/>
        <w:widowControl w:val="0"/>
        <w:numPr>
          <w:ilvl w:val="0"/>
          <w:numId w:val="2"/>
        </w:numPr>
        <w:ind w:firstLineChars="0"/>
        <w:jc w:val="both"/>
        <w:rPr>
          <w:rFonts w:ascii="宋体" w:eastAsia="宋体" w:hAnsi="宋体" w:hint="eastAsia"/>
          <w:sz w:val="24"/>
        </w:rPr>
      </w:pPr>
      <w:r w:rsidRPr="00B940AF">
        <w:rPr>
          <w:rFonts w:ascii="宋体" w:eastAsia="宋体" w:hAnsi="宋体" w:hint="eastAsia"/>
          <w:sz w:val="24"/>
        </w:rPr>
        <w:t>人民日报评论. “萝卜纸巾考试”：主动收起偏见，打破信息茧房 | 睡前聊一会儿[N/OL]. 人民日报评论， 2023-12-20.</w:t>
      </w:r>
    </w:p>
    <w:p w14:paraId="2955402C" w14:textId="77777777" w:rsidR="000C30D2" w:rsidRPr="00B940AF" w:rsidRDefault="000C30D2" w:rsidP="000C30D2">
      <w:pPr>
        <w:pStyle w:val="af7"/>
        <w:widowControl w:val="0"/>
        <w:numPr>
          <w:ilvl w:val="0"/>
          <w:numId w:val="2"/>
        </w:numPr>
        <w:ind w:firstLineChars="0"/>
        <w:jc w:val="both"/>
        <w:rPr>
          <w:rFonts w:ascii="宋体" w:eastAsia="宋体" w:hAnsi="宋体" w:hint="eastAsia"/>
          <w:sz w:val="24"/>
        </w:rPr>
      </w:pPr>
      <w:r w:rsidRPr="00B940AF">
        <w:rPr>
          <w:rFonts w:ascii="宋体" w:eastAsia="宋体" w:hAnsi="宋体" w:hint="eastAsia"/>
          <w:sz w:val="24"/>
        </w:rPr>
        <w:t>之江轩（浙江宣传）. 评论区也被“定制”了意味着什么[N/OL]. 浙江宣传， 2024-03-15.</w:t>
      </w:r>
    </w:p>
    <w:p w14:paraId="468BAAA1" w14:textId="77777777" w:rsidR="000C30D2" w:rsidRPr="00B940AF" w:rsidRDefault="000C30D2" w:rsidP="000C30D2">
      <w:pPr>
        <w:pStyle w:val="af7"/>
        <w:widowControl w:val="0"/>
        <w:numPr>
          <w:ilvl w:val="0"/>
          <w:numId w:val="2"/>
        </w:numPr>
        <w:ind w:firstLineChars="0"/>
        <w:jc w:val="both"/>
        <w:rPr>
          <w:rFonts w:ascii="宋体" w:eastAsia="宋体" w:hAnsi="宋体" w:hint="eastAsia"/>
          <w:sz w:val="24"/>
        </w:rPr>
      </w:pPr>
      <w:r w:rsidRPr="00B940AF">
        <w:rPr>
          <w:rFonts w:ascii="宋体" w:eastAsia="宋体" w:hAnsi="宋体" w:hint="eastAsia"/>
          <w:sz w:val="24"/>
        </w:rPr>
        <w:t>新周刊. 哪有什么“算法对立”，你只是想在“茧房”里躲一躲[J]. 新周刊， 2023(22): 28-31.</w:t>
      </w:r>
    </w:p>
    <w:p w14:paraId="771DC9BD" w14:textId="77777777" w:rsidR="000C30D2" w:rsidRPr="00B940AF" w:rsidRDefault="000C30D2" w:rsidP="000C30D2">
      <w:pPr>
        <w:pStyle w:val="af7"/>
        <w:widowControl w:val="0"/>
        <w:numPr>
          <w:ilvl w:val="0"/>
          <w:numId w:val="2"/>
        </w:numPr>
        <w:ind w:firstLineChars="0"/>
        <w:jc w:val="both"/>
        <w:rPr>
          <w:rFonts w:ascii="宋体" w:eastAsia="宋体" w:hAnsi="宋体" w:hint="eastAsia"/>
          <w:sz w:val="24"/>
        </w:rPr>
      </w:pPr>
      <w:r w:rsidRPr="00B940AF">
        <w:rPr>
          <w:rFonts w:ascii="宋体" w:eastAsia="宋体" w:hAnsi="宋体" w:hint="eastAsia"/>
          <w:sz w:val="24"/>
        </w:rPr>
        <w:t>周勇， 付晓静. 导致信息茧房的多重因素及“破茧”路径[J]. 现代传播， 2023, 45(9): 150-156.</w:t>
      </w:r>
    </w:p>
    <w:p w14:paraId="4CD13D0A" w14:textId="72FB3AD1" w:rsidR="000C30D2" w:rsidRDefault="000C30D2" w:rsidP="000C30D2">
      <w:pPr>
        <w:pStyle w:val="af7"/>
        <w:widowControl w:val="0"/>
        <w:numPr>
          <w:ilvl w:val="0"/>
          <w:numId w:val="2"/>
        </w:numPr>
        <w:ind w:firstLineChars="0"/>
        <w:jc w:val="both"/>
        <w:rPr>
          <w:rFonts w:ascii="宋体" w:eastAsia="宋体" w:hAnsi="宋体" w:hint="eastAsia"/>
          <w:sz w:val="24"/>
        </w:rPr>
      </w:pPr>
      <w:r w:rsidRPr="00B940AF">
        <w:rPr>
          <w:rFonts w:ascii="宋体" w:eastAsia="宋体" w:hAnsi="宋体" w:hint="eastAsia"/>
          <w:sz w:val="24"/>
        </w:rPr>
        <w:t>刘强. “信息茧房”的误读与算法推送的必要——兼论内容分发中社会伦理困境的解决之道[J]. 新闻记者， 2024(1): 60-70.</w:t>
      </w:r>
    </w:p>
    <w:p w14:paraId="5C7E7D68" w14:textId="27E90F86" w:rsidR="000C30D2" w:rsidRPr="00E641F6" w:rsidRDefault="000C30D2" w:rsidP="000C30D2">
      <w:pPr>
        <w:spacing w:line="360" w:lineRule="auto"/>
        <w:ind w:firstLineChars="200" w:firstLine="482"/>
        <w:rPr>
          <w:rFonts w:ascii="宋体" w:eastAsia="宋体" w:hAnsi="宋体" w:hint="eastAsia"/>
          <w:b/>
          <w:bCs/>
          <w:sz w:val="24"/>
          <w:szCs w:val="24"/>
        </w:rPr>
      </w:pPr>
      <w:r w:rsidRPr="00E641F6">
        <w:rPr>
          <w:rFonts w:ascii="宋体" w:eastAsia="宋体" w:hAnsi="宋体" w:hint="eastAsia"/>
          <w:b/>
          <w:bCs/>
          <w:sz w:val="24"/>
          <w:szCs w:val="24"/>
        </w:rPr>
        <w:t>观点综述</w:t>
      </w:r>
    </w:p>
    <w:p w14:paraId="7B9DDC37" w14:textId="77777777" w:rsidR="000C30D2" w:rsidRPr="00B940AF" w:rsidRDefault="000C30D2" w:rsidP="000C30D2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B940AF">
        <w:rPr>
          <w:rFonts w:ascii="宋体" w:eastAsia="宋体" w:hAnsi="宋体" w:hint="eastAsia"/>
          <w:sz w:val="24"/>
          <w:szCs w:val="24"/>
        </w:rPr>
        <w:t>算法推荐是否必然导致“信息茧房”，是近年来争议较大的话题。公共舆论和学术研究给出了两种不同的回答，分歧的实质是对“技术究竟有多大的塑造力”这一老问题的不同判断。</w:t>
      </w:r>
    </w:p>
    <w:p w14:paraId="72161739" w14:textId="77777777" w:rsidR="000C30D2" w:rsidRPr="00B940AF" w:rsidRDefault="000C30D2" w:rsidP="000C30D2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B940AF">
        <w:rPr>
          <w:rFonts w:ascii="宋体" w:eastAsia="宋体" w:hAnsi="宋体" w:hint="eastAsia"/>
          <w:sz w:val="24"/>
          <w:szCs w:val="24"/>
        </w:rPr>
        <w:t>公共舆论更多持“技术批判”的立场。《人民日报》以“萝卜纸巾考试”为例，指出算法推荐可能让用户陷入同质化信息的包围，建议公众主动收起偏见、跨出舒适圈去接触多元信息。《浙江宣传》则从“评论区也被定制”这一现象切入，揭示算法不仅决定用户看到什么内容，还决定了用户看到什么评论、参与什么样的讨论，这种“定制”使人们在不知不觉中被封闭在信息孤岛中。文章警示，</w:t>
      </w:r>
      <w:r w:rsidRPr="00B940AF">
        <w:rPr>
          <w:rFonts w:ascii="宋体" w:eastAsia="宋体" w:hAnsi="宋体" w:hint="eastAsia"/>
          <w:sz w:val="24"/>
          <w:szCs w:val="24"/>
        </w:rPr>
        <w:lastRenderedPageBreak/>
        <w:t>算法推荐看似贴心，实则在消解公共讨论的多样性。这两篇评论的共同判断是：算法对信息环境的塑造力是真实存在的，用户需要保持警觉并主动“破茧”。</w:t>
      </w:r>
    </w:p>
    <w:p w14:paraId="5485DF9D" w14:textId="77777777" w:rsidR="000C30D2" w:rsidRPr="00B940AF" w:rsidRDefault="000C30D2" w:rsidP="000C30D2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B940AF">
        <w:rPr>
          <w:rFonts w:ascii="宋体" w:eastAsia="宋体" w:hAnsi="宋体" w:hint="eastAsia"/>
          <w:sz w:val="24"/>
          <w:szCs w:val="24"/>
        </w:rPr>
        <w:t>学术研究则普遍更为审慎，倾向于“多维归因”。《新周刊》的一篇文章甚至提出，所谓“算法对立”未必真实存在，人们只是想在“茧房”里躲一躲——选择性接触是人的固有心理倾向，算法只是迎合了这种倾向。周勇与付晓静的研究进一步指出，信息茧房的成因是多方面的，包括用户的选择性接触心理、社交圈层的同质化、平台商业逻辑的驱动以及算法推荐技术本身。仅靠调整算法难以完全“破茧”，更需要提升用户的媒介素养和信息选择能力。刘强的研究则为算法推荐做了某种“辩护”：算法推荐解决了信息过载时代的内容分发效率问题，没有算法的筛选，用户反而会被海量信息淹没，因此不能简单否定算法推送的价值。真正的困境在于如何优化算法透明度、赋予用户更多选择权，而非废除算法。</w:t>
      </w:r>
    </w:p>
    <w:p w14:paraId="2EE07842" w14:textId="77777777" w:rsidR="000C30D2" w:rsidRPr="00B940AF" w:rsidRDefault="000C30D2" w:rsidP="000C30D2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B940AF">
        <w:rPr>
          <w:rFonts w:ascii="宋体" w:eastAsia="宋体" w:hAnsi="宋体" w:hint="eastAsia"/>
          <w:sz w:val="24"/>
          <w:szCs w:val="24"/>
        </w:rPr>
        <w:t>两派观点的分歧，源于对技术与人关系的不同预设。公共舆论更关注技术的潜在风险，倾向于从用户保护的角度提出警示；学术研究则更注重实证检验和多重因素的交织，避免单一归因。一个正在形成的共识是：算法推荐确实可能加剧信息窄化，但它不是唯一原因，也不是不可克服的。未来的治理需要平台、用户和监管三方共同努力——平台应提高算法透明度、提供“关闭个性化推荐”选项，用户应有意识地拓展信息来源，监管则应制定算法伦理规范。三者缺一不可。</w:t>
      </w:r>
    </w:p>
    <w:p w14:paraId="747236DE" w14:textId="77777777" w:rsidR="000C30D2" w:rsidRPr="004E51DD" w:rsidRDefault="000C30D2" w:rsidP="000C30D2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</w:p>
    <w:p w14:paraId="5CAFDA02" w14:textId="77777777" w:rsidR="000C30D2" w:rsidRPr="00E641F6" w:rsidRDefault="000C30D2" w:rsidP="000C30D2">
      <w:pPr>
        <w:spacing w:line="360" w:lineRule="auto"/>
        <w:ind w:firstLineChars="200" w:firstLine="482"/>
        <w:jc w:val="center"/>
        <w:rPr>
          <w:rFonts w:ascii="宋体" w:eastAsia="宋体" w:hAnsi="宋体" w:hint="eastAsia"/>
          <w:b/>
          <w:bCs/>
          <w:sz w:val="24"/>
          <w:szCs w:val="24"/>
        </w:rPr>
      </w:pPr>
      <w:r w:rsidRPr="00E641F6">
        <w:rPr>
          <w:rFonts w:ascii="宋体" w:eastAsia="宋体" w:hAnsi="宋体" w:hint="eastAsia"/>
          <w:b/>
          <w:bCs/>
          <w:sz w:val="24"/>
          <w:szCs w:val="24"/>
        </w:rPr>
        <w:t>案例三：网红舆情与MCN机构治理乱象</w:t>
      </w:r>
    </w:p>
    <w:p w14:paraId="614B6633" w14:textId="7C9F3C28" w:rsidR="000C30D2" w:rsidRPr="00E641F6" w:rsidRDefault="000C30D2" w:rsidP="000C30D2">
      <w:pPr>
        <w:spacing w:line="360" w:lineRule="auto"/>
        <w:ind w:firstLineChars="200" w:firstLine="482"/>
        <w:rPr>
          <w:rFonts w:ascii="宋体" w:eastAsia="宋体" w:hAnsi="宋体" w:hint="eastAsia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文献材料</w:t>
      </w:r>
    </w:p>
    <w:p w14:paraId="249CACD0" w14:textId="77777777" w:rsidR="000C30D2" w:rsidRPr="00B940AF" w:rsidRDefault="000C30D2" w:rsidP="000C30D2">
      <w:pPr>
        <w:pStyle w:val="af7"/>
        <w:widowControl w:val="0"/>
        <w:numPr>
          <w:ilvl w:val="0"/>
          <w:numId w:val="3"/>
        </w:numPr>
        <w:ind w:firstLineChars="0"/>
        <w:jc w:val="both"/>
        <w:rPr>
          <w:rFonts w:ascii="宋体" w:eastAsia="宋体" w:hAnsi="宋体" w:hint="eastAsia"/>
          <w:sz w:val="24"/>
        </w:rPr>
      </w:pPr>
      <w:r w:rsidRPr="00B940AF">
        <w:rPr>
          <w:rFonts w:ascii="宋体" w:eastAsia="宋体" w:hAnsi="宋体" w:hint="eastAsia"/>
          <w:sz w:val="24"/>
        </w:rPr>
        <w:t>之江轩（浙江宣传）. 网红不该拿生命博流量[N/OL]. 浙江宣传， 2024-04-20.</w:t>
      </w:r>
    </w:p>
    <w:p w14:paraId="299E6BD3" w14:textId="77777777" w:rsidR="000C30D2" w:rsidRPr="00B940AF" w:rsidRDefault="000C30D2" w:rsidP="000C30D2">
      <w:pPr>
        <w:pStyle w:val="af7"/>
        <w:widowControl w:val="0"/>
        <w:numPr>
          <w:ilvl w:val="0"/>
          <w:numId w:val="3"/>
        </w:numPr>
        <w:ind w:firstLineChars="0"/>
        <w:jc w:val="both"/>
        <w:rPr>
          <w:rFonts w:ascii="宋体" w:eastAsia="宋体" w:hAnsi="宋体" w:hint="eastAsia"/>
          <w:sz w:val="24"/>
        </w:rPr>
      </w:pPr>
      <w:r w:rsidRPr="00B940AF">
        <w:rPr>
          <w:rFonts w:ascii="宋体" w:eastAsia="宋体" w:hAnsi="宋体" w:hint="eastAsia"/>
          <w:sz w:val="24"/>
        </w:rPr>
        <w:t>新周刊. 网红“塌房”，怎么越来越快？[J]. 新周刊， 2023(15): 52-55.</w:t>
      </w:r>
    </w:p>
    <w:p w14:paraId="3D9B4356" w14:textId="77777777" w:rsidR="000C30D2" w:rsidRPr="00B940AF" w:rsidRDefault="000C30D2" w:rsidP="000C30D2">
      <w:pPr>
        <w:pStyle w:val="af7"/>
        <w:widowControl w:val="0"/>
        <w:numPr>
          <w:ilvl w:val="0"/>
          <w:numId w:val="3"/>
        </w:numPr>
        <w:ind w:firstLineChars="0"/>
        <w:jc w:val="both"/>
        <w:rPr>
          <w:rFonts w:ascii="宋体" w:eastAsia="宋体" w:hAnsi="宋体" w:hint="eastAsia"/>
          <w:sz w:val="24"/>
        </w:rPr>
      </w:pPr>
      <w:r w:rsidRPr="00B940AF">
        <w:rPr>
          <w:rFonts w:ascii="宋体" w:eastAsia="宋体" w:hAnsi="宋体" w:hint="eastAsia"/>
          <w:sz w:val="24"/>
        </w:rPr>
        <w:t>邹振东. 旺仔小乔，有意思的三个问题[J]. 青年记者， 2024(2): 45-48.</w:t>
      </w:r>
    </w:p>
    <w:p w14:paraId="0873113D" w14:textId="77777777" w:rsidR="000C30D2" w:rsidRPr="00B940AF" w:rsidRDefault="000C30D2" w:rsidP="000C30D2">
      <w:pPr>
        <w:pStyle w:val="af7"/>
        <w:widowControl w:val="0"/>
        <w:numPr>
          <w:ilvl w:val="0"/>
          <w:numId w:val="3"/>
        </w:numPr>
        <w:ind w:firstLineChars="0"/>
        <w:jc w:val="both"/>
        <w:rPr>
          <w:rFonts w:ascii="宋体" w:eastAsia="宋体" w:hAnsi="宋体" w:hint="eastAsia"/>
          <w:sz w:val="24"/>
        </w:rPr>
      </w:pPr>
      <w:r w:rsidRPr="00B940AF">
        <w:rPr>
          <w:rFonts w:ascii="宋体" w:eastAsia="宋体" w:hAnsi="宋体" w:hint="eastAsia"/>
          <w:sz w:val="24"/>
        </w:rPr>
        <w:t>半月谈评论员. “旺仔小乔”现象背后：网红经济的浮躁与隐忧[J]. 半月谈， 2024(5): 20-22.</w:t>
      </w:r>
    </w:p>
    <w:p w14:paraId="41690037" w14:textId="77777777" w:rsidR="000C30D2" w:rsidRPr="00B940AF" w:rsidRDefault="000C30D2" w:rsidP="000C30D2">
      <w:pPr>
        <w:pStyle w:val="af7"/>
        <w:widowControl w:val="0"/>
        <w:numPr>
          <w:ilvl w:val="0"/>
          <w:numId w:val="3"/>
        </w:numPr>
        <w:ind w:firstLineChars="0"/>
        <w:jc w:val="both"/>
        <w:rPr>
          <w:rFonts w:ascii="宋体" w:eastAsia="宋体" w:hAnsi="宋体" w:hint="eastAsia"/>
          <w:sz w:val="24"/>
        </w:rPr>
      </w:pPr>
      <w:r w:rsidRPr="00B940AF">
        <w:rPr>
          <w:rFonts w:ascii="宋体" w:eastAsia="宋体" w:hAnsi="宋体" w:hint="eastAsia"/>
          <w:sz w:val="24"/>
        </w:rPr>
        <w:t>张建军. 热闹的“网红”：网络直播平台发展中的问题及对策[J]. 中国</w:t>
      </w:r>
      <w:r w:rsidRPr="00B940AF">
        <w:rPr>
          <w:rFonts w:ascii="宋体" w:eastAsia="宋体" w:hAnsi="宋体" w:hint="eastAsia"/>
          <w:sz w:val="24"/>
        </w:rPr>
        <w:lastRenderedPageBreak/>
        <w:t>广播电视学刊， 2022(11): 55-58.</w:t>
      </w:r>
    </w:p>
    <w:p w14:paraId="743A1A84" w14:textId="77777777" w:rsidR="000C30D2" w:rsidRDefault="000C30D2" w:rsidP="000C30D2">
      <w:pPr>
        <w:pStyle w:val="af7"/>
        <w:widowControl w:val="0"/>
        <w:numPr>
          <w:ilvl w:val="0"/>
          <w:numId w:val="3"/>
        </w:numPr>
        <w:ind w:firstLineChars="0"/>
        <w:jc w:val="both"/>
        <w:rPr>
          <w:rFonts w:ascii="宋体" w:eastAsia="宋体" w:hAnsi="宋体" w:hint="eastAsia"/>
          <w:sz w:val="24"/>
        </w:rPr>
      </w:pPr>
      <w:r w:rsidRPr="00B940AF">
        <w:rPr>
          <w:rFonts w:ascii="宋体" w:eastAsia="宋体" w:hAnsi="宋体" w:hint="eastAsia"/>
          <w:sz w:val="24"/>
        </w:rPr>
        <w:t>赵曙光. 我国网红现象的发展历程、特征分析与治理对策[J]. 新闻爱好者， 2023(6): 72-75.</w:t>
      </w:r>
    </w:p>
    <w:p w14:paraId="5C9C2EF8" w14:textId="6F90FA8E" w:rsidR="000C30D2" w:rsidRPr="00E641F6" w:rsidRDefault="000C30D2" w:rsidP="000C30D2">
      <w:pPr>
        <w:spacing w:line="360" w:lineRule="auto"/>
        <w:ind w:firstLineChars="200" w:firstLine="482"/>
        <w:rPr>
          <w:rFonts w:ascii="宋体" w:eastAsia="宋体" w:hAnsi="宋体" w:hint="eastAsia"/>
          <w:b/>
          <w:bCs/>
          <w:sz w:val="24"/>
          <w:szCs w:val="24"/>
        </w:rPr>
      </w:pPr>
      <w:r w:rsidRPr="00E641F6">
        <w:rPr>
          <w:rFonts w:ascii="宋体" w:eastAsia="宋体" w:hAnsi="宋体" w:hint="eastAsia"/>
          <w:b/>
          <w:bCs/>
          <w:sz w:val="24"/>
          <w:szCs w:val="24"/>
        </w:rPr>
        <w:t>观点综述</w:t>
      </w:r>
      <w:r>
        <w:rPr>
          <w:rFonts w:ascii="宋体" w:eastAsia="宋体" w:hAnsi="宋体" w:hint="eastAsia"/>
          <w:b/>
          <w:bCs/>
          <w:sz w:val="24"/>
          <w:szCs w:val="24"/>
        </w:rPr>
        <w:t>：</w:t>
      </w:r>
    </w:p>
    <w:p w14:paraId="6EC2C9D1" w14:textId="77777777" w:rsidR="000C30D2" w:rsidRPr="00B940AF" w:rsidRDefault="000C30D2" w:rsidP="000C30D2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B940AF">
        <w:rPr>
          <w:rFonts w:ascii="宋体" w:eastAsia="宋体" w:hAnsi="宋体" w:hint="eastAsia"/>
          <w:sz w:val="24"/>
          <w:szCs w:val="24"/>
        </w:rPr>
        <w:t>网红“塌房”事件频发，舆论场上主要有两种解释角度：一种聚焦于个体的道德责任，另一种着眼于平台和MCN机构的结构性压力。两者并不矛盾，而是解释了同一现象的不同层次。</w:t>
      </w:r>
    </w:p>
    <w:p w14:paraId="41C53C14" w14:textId="77777777" w:rsidR="000C30D2" w:rsidRPr="00B940AF" w:rsidRDefault="000C30D2" w:rsidP="000C30D2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B940AF">
        <w:rPr>
          <w:rFonts w:ascii="宋体" w:eastAsia="宋体" w:hAnsi="宋体" w:hint="eastAsia"/>
          <w:sz w:val="24"/>
          <w:szCs w:val="24"/>
        </w:rPr>
        <w:t>从个体道德层面看，公共媒体的评论普遍认为，部分网红为追逐流量而不断突破底线，是“塌房”的直接原因。《浙江宣传》以“网红不该拿生命博流量”为题，批评了一些网红为博眼球而挑战安全底线甚至生命危险的行为，指出流量不能成为一切行为的通行证。《新周刊》则观察到，网红“塌房”的速度越来越快——从爆红到翻车，周期从年缩短到月甚至周。文章分析认为，这与网红经济的快消化逻辑有关：快速批量生产网红，也意味着快速被消费、快速被遗忘、快速被抛弃。邹振东以“旺仔小乔”为个案，提出三个值得思考的问题：网红究竟代表自己还是代表粉丝的期待？粉丝爱的是真实的网红还是想象中的完美人设？当预期落空，谁该负责？这些问题将讨论引向了网红与粉丝之间的情感契约问题。《半月谈》的评论则从宏观角度指出，网红经济在满足大众娱乐需求的同时，也带来了浮躁心态和价值观扭曲，需要引起警惕。</w:t>
      </w:r>
    </w:p>
    <w:p w14:paraId="469EAD7F" w14:textId="77777777" w:rsidR="000C30D2" w:rsidRPr="00B940AF" w:rsidRDefault="000C30D2" w:rsidP="000C30D2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B940AF">
        <w:rPr>
          <w:rFonts w:ascii="宋体" w:eastAsia="宋体" w:hAnsi="宋体" w:hint="eastAsia"/>
          <w:sz w:val="24"/>
          <w:szCs w:val="24"/>
        </w:rPr>
        <w:t>从结构性层面看，学术研究倾向于把问题归因于平台资本和MCN机构的工业化运作逻辑。张建军的研究指出，网络直播平台在快速发展中暴露出一系列问题，包括内容低俗化、主播行为失范、平台监管缺位等，这些问题的根源在于平台对流量和商业利益的单一追求。赵曙光则梳理了我国网红现象的发展历程，认为网红经济已经形成了一套完整的产业链：MCN机构负责批量孵化、平台提供流量支持、品牌方投入广告预算，网红只是这个链条上的一个环节。在这种结构下，个体的行为失范往往是被系统激励的——越出格，越有流量；越有流量，平台越推。当一位网红“塌房”后被迅速切割，这本身就是风险控制机制的体现：个体的可替代性，正是资本逻辑的冷酷之处。</w:t>
      </w:r>
    </w:p>
    <w:p w14:paraId="5072BFFF" w14:textId="77777777" w:rsidR="000C30D2" w:rsidRDefault="000C30D2" w:rsidP="000C30D2">
      <w:pPr>
        <w:spacing w:line="360" w:lineRule="auto"/>
        <w:ind w:firstLineChars="200" w:firstLine="480"/>
        <w:rPr>
          <w:rFonts w:ascii="宋体" w:eastAsia="宋体" w:hAnsi="宋体" w:hint="eastAsia"/>
          <w:sz w:val="24"/>
          <w:szCs w:val="24"/>
        </w:rPr>
      </w:pPr>
      <w:r w:rsidRPr="00B940AF">
        <w:rPr>
          <w:rFonts w:ascii="宋体" w:eastAsia="宋体" w:hAnsi="宋体" w:hint="eastAsia"/>
          <w:sz w:val="24"/>
          <w:szCs w:val="24"/>
        </w:rPr>
        <w:t>综合两种视角，网红“塌房”既是个人选择的结果，也是系统压力的产物。个体道德归因直接、符合直觉，但容易停留在“处理个案”；结构批判揭示了深</w:t>
      </w:r>
      <w:r w:rsidRPr="00B940AF">
        <w:rPr>
          <w:rFonts w:ascii="宋体" w:eastAsia="宋体" w:hAnsi="宋体" w:hint="eastAsia"/>
          <w:sz w:val="24"/>
          <w:szCs w:val="24"/>
        </w:rPr>
        <w:lastRenderedPageBreak/>
        <w:t>层原因，但若走向极端，可能弱化个体的道德责任。更合理的判断是：网红乱象是结构压力与个体选择共同作用的结果。治理上，既不能只靠封禁个案，也不能等待结构自动改变。它需要穿透到MCN机构的运营规范、平台的分配责任，同时也要重视行业自律、法律法规和公众监督——在制度与个体之间找到系统的回应。</w:t>
      </w:r>
    </w:p>
    <w:p w14:paraId="0F83B6BB" w14:textId="77777777" w:rsidR="009A00D4" w:rsidRPr="000C30D2" w:rsidRDefault="009A00D4"/>
    <w:sectPr w:rsidR="009A00D4" w:rsidRPr="000C30D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AAE397" w14:textId="77777777" w:rsidR="00982E83" w:rsidRDefault="00982E83" w:rsidP="007A1DD9">
      <w:r>
        <w:separator/>
      </w:r>
    </w:p>
  </w:endnote>
  <w:endnote w:type="continuationSeparator" w:id="0">
    <w:p w14:paraId="2B28F179" w14:textId="77777777" w:rsidR="00982E83" w:rsidRDefault="00982E83" w:rsidP="007A1D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BA7BBF" w14:textId="77777777" w:rsidR="00982E83" w:rsidRDefault="00982E83" w:rsidP="007A1DD9">
      <w:r>
        <w:separator/>
      </w:r>
    </w:p>
  </w:footnote>
  <w:footnote w:type="continuationSeparator" w:id="0">
    <w:p w14:paraId="317F4DFF" w14:textId="77777777" w:rsidR="00982E83" w:rsidRDefault="00982E83" w:rsidP="007A1DD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0C4125"/>
    <w:multiLevelType w:val="hybridMultilevel"/>
    <w:tmpl w:val="F8906BF4"/>
    <w:lvl w:ilvl="0" w:tplc="B2ACEE8E">
      <w:start w:val="1"/>
      <w:numFmt w:val="decimal"/>
      <w:lvlText w:val="[%1]"/>
      <w:lvlJc w:val="left"/>
      <w:pPr>
        <w:ind w:left="92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" w15:restartNumberingAfterBreak="0">
    <w:nsid w:val="3A27292B"/>
    <w:multiLevelType w:val="hybridMultilevel"/>
    <w:tmpl w:val="18EA2B0E"/>
    <w:lvl w:ilvl="0" w:tplc="B2ACEE8E">
      <w:start w:val="1"/>
      <w:numFmt w:val="decimal"/>
      <w:lvlText w:val="[%1]"/>
      <w:lvlJc w:val="left"/>
      <w:pPr>
        <w:ind w:left="92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" w15:restartNumberingAfterBreak="0">
    <w:nsid w:val="56B34C93"/>
    <w:multiLevelType w:val="hybridMultilevel"/>
    <w:tmpl w:val="AFE20046"/>
    <w:lvl w:ilvl="0" w:tplc="B2ACEE8E">
      <w:start w:val="1"/>
      <w:numFmt w:val="decimal"/>
      <w:lvlText w:val="[%1]"/>
      <w:lvlJc w:val="left"/>
      <w:pPr>
        <w:ind w:left="92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num w:numId="1" w16cid:durableId="1249073993">
    <w:abstractNumId w:val="1"/>
  </w:num>
  <w:num w:numId="2" w16cid:durableId="663625962">
    <w:abstractNumId w:val="2"/>
  </w:num>
  <w:num w:numId="3" w16cid:durableId="19656938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836"/>
    <w:rsid w:val="00053836"/>
    <w:rsid w:val="000A3658"/>
    <w:rsid w:val="000C30D2"/>
    <w:rsid w:val="000D429F"/>
    <w:rsid w:val="001C1B75"/>
    <w:rsid w:val="001F6529"/>
    <w:rsid w:val="00385C16"/>
    <w:rsid w:val="006B0712"/>
    <w:rsid w:val="006F3060"/>
    <w:rsid w:val="00711A89"/>
    <w:rsid w:val="007A1DD9"/>
    <w:rsid w:val="008D5BAE"/>
    <w:rsid w:val="008D63DE"/>
    <w:rsid w:val="00970907"/>
    <w:rsid w:val="00982E83"/>
    <w:rsid w:val="009A00D4"/>
    <w:rsid w:val="00A77CFA"/>
    <w:rsid w:val="00BF3306"/>
    <w:rsid w:val="00D5098E"/>
    <w:rsid w:val="00DB4625"/>
    <w:rsid w:val="00E23B78"/>
    <w:rsid w:val="00FC2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A367D7"/>
  <w15:chartTrackingRefBased/>
  <w15:docId w15:val="{11553A61-AB06-450A-ABB4-96E50C7B2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 w:qFormat="1"/>
    <w:lsdException w:name="endnote reference" w:semiHidden="1" w:uiPriority="0" w:unhideWhenUsed="1" w:qFormat="1"/>
    <w:lsdException w:name="endnote text" w:semiHidden="1" w:uiPriority="0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iPriority="0" w:unhideWhenUsed="1" w:qFormat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A1DD9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qFormat/>
    <w:rsid w:val="00970907"/>
    <w:pPr>
      <w:spacing w:beforeAutospacing="1" w:afterAutospacing="1"/>
      <w:jc w:val="left"/>
      <w:outlineLvl w:val="0"/>
    </w:pPr>
    <w:rPr>
      <w:rFonts w:ascii="宋体" w:eastAsia="宋体" w:hAnsi="宋体" w:hint="eastAsia"/>
      <w:b/>
      <w:bCs/>
      <w:kern w:val="44"/>
      <w:sz w:val="48"/>
      <w:szCs w:val="48"/>
    </w:rPr>
  </w:style>
  <w:style w:type="paragraph" w:styleId="2">
    <w:name w:val="heading 2"/>
    <w:basedOn w:val="a"/>
    <w:next w:val="a"/>
    <w:link w:val="20"/>
    <w:unhideWhenUsed/>
    <w:qFormat/>
    <w:rsid w:val="00970907"/>
    <w:pPr>
      <w:spacing w:beforeAutospacing="1" w:afterAutospacing="1"/>
      <w:jc w:val="left"/>
      <w:outlineLvl w:val="1"/>
    </w:pPr>
    <w:rPr>
      <w:rFonts w:ascii="宋体" w:eastAsia="宋体" w:hAnsi="宋体" w:hint="eastAsia"/>
      <w:b/>
      <w:bCs/>
      <w:kern w:val="0"/>
      <w:sz w:val="36"/>
      <w:szCs w:val="36"/>
    </w:rPr>
  </w:style>
  <w:style w:type="paragraph" w:styleId="3">
    <w:name w:val="heading 3"/>
    <w:basedOn w:val="a"/>
    <w:next w:val="a"/>
    <w:link w:val="30"/>
    <w:unhideWhenUsed/>
    <w:qFormat/>
    <w:rsid w:val="00970907"/>
    <w:pPr>
      <w:spacing w:beforeAutospacing="1" w:afterAutospacing="1"/>
      <w:jc w:val="left"/>
      <w:outlineLvl w:val="2"/>
    </w:pPr>
    <w:rPr>
      <w:rFonts w:ascii="宋体" w:eastAsia="宋体" w:hAnsi="宋体" w:cstheme="majorBidi" w:hint="eastAsia"/>
      <w:b/>
      <w:bCs/>
      <w:kern w:val="0"/>
      <w:sz w:val="27"/>
      <w:szCs w:val="27"/>
    </w:rPr>
  </w:style>
  <w:style w:type="paragraph" w:styleId="4">
    <w:name w:val="heading 4"/>
    <w:basedOn w:val="a"/>
    <w:next w:val="a"/>
    <w:link w:val="40"/>
    <w:semiHidden/>
    <w:unhideWhenUsed/>
    <w:qFormat/>
    <w:rsid w:val="00711A89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semiHidden/>
    <w:unhideWhenUsed/>
    <w:qFormat/>
    <w:rsid w:val="00711A8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semiHidden/>
    <w:unhideWhenUsed/>
    <w:qFormat/>
    <w:rsid w:val="00711A89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"/>
    <w:next w:val="a"/>
    <w:link w:val="70"/>
    <w:semiHidden/>
    <w:unhideWhenUsed/>
    <w:qFormat/>
    <w:rsid w:val="00711A89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"/>
    <w:next w:val="a"/>
    <w:link w:val="80"/>
    <w:semiHidden/>
    <w:unhideWhenUsed/>
    <w:qFormat/>
    <w:rsid w:val="00711A89"/>
    <w:pPr>
      <w:keepNext/>
      <w:keepLines/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basedOn w:val="a"/>
    <w:next w:val="a"/>
    <w:link w:val="90"/>
    <w:semiHidden/>
    <w:unhideWhenUsed/>
    <w:qFormat/>
    <w:rsid w:val="00711A89"/>
    <w:pPr>
      <w:keepNext/>
      <w:keepLines/>
      <w:spacing w:before="240" w:after="64" w:line="320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WPSOffice1">
    <w:name w:val="WPSOffice手动目录 1"/>
    <w:rsid w:val="00711A89"/>
  </w:style>
  <w:style w:type="paragraph" w:customStyle="1" w:styleId="WPSOffice2">
    <w:name w:val="WPSOffice手动目录 2"/>
    <w:rsid w:val="00711A89"/>
    <w:pPr>
      <w:ind w:leftChars="200" w:left="200"/>
    </w:pPr>
  </w:style>
  <w:style w:type="character" w:customStyle="1" w:styleId="10">
    <w:name w:val="标题 1 字符"/>
    <w:basedOn w:val="a0"/>
    <w:link w:val="1"/>
    <w:rsid w:val="00711A89"/>
    <w:rPr>
      <w:rFonts w:ascii="宋体" w:hAnsi="宋体" w:cstheme="minorBidi"/>
      <w:b/>
      <w:bCs/>
      <w:kern w:val="44"/>
      <w:sz w:val="48"/>
      <w:szCs w:val="48"/>
    </w:rPr>
  </w:style>
  <w:style w:type="character" w:customStyle="1" w:styleId="20">
    <w:name w:val="标题 2 字符"/>
    <w:basedOn w:val="a0"/>
    <w:link w:val="2"/>
    <w:rsid w:val="00711A89"/>
    <w:rPr>
      <w:rFonts w:ascii="宋体" w:hAnsi="宋体" w:cstheme="minorBidi"/>
      <w:b/>
      <w:bCs/>
      <w:sz w:val="36"/>
      <w:szCs w:val="36"/>
    </w:rPr>
  </w:style>
  <w:style w:type="paragraph" w:styleId="TOC1">
    <w:name w:val="toc 1"/>
    <w:basedOn w:val="a"/>
    <w:next w:val="a"/>
    <w:rsid w:val="00711A89"/>
  </w:style>
  <w:style w:type="paragraph" w:styleId="TOC2">
    <w:name w:val="toc 2"/>
    <w:basedOn w:val="a"/>
    <w:next w:val="a"/>
    <w:rsid w:val="00711A89"/>
    <w:pPr>
      <w:ind w:leftChars="200" w:left="420"/>
    </w:pPr>
  </w:style>
  <w:style w:type="character" w:customStyle="1" w:styleId="30">
    <w:name w:val="标题 3 字符"/>
    <w:basedOn w:val="a0"/>
    <w:link w:val="3"/>
    <w:rsid w:val="00711A89"/>
    <w:rPr>
      <w:rFonts w:ascii="宋体" w:hAnsi="宋体" w:cstheme="majorBidi"/>
      <w:b/>
      <w:bCs/>
      <w:sz w:val="27"/>
      <w:szCs w:val="27"/>
    </w:rPr>
  </w:style>
  <w:style w:type="character" w:customStyle="1" w:styleId="40">
    <w:name w:val="标题 4 字符"/>
    <w:basedOn w:val="a0"/>
    <w:link w:val="4"/>
    <w:semiHidden/>
    <w:rsid w:val="00711A89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50">
    <w:name w:val="标题 5 字符"/>
    <w:basedOn w:val="a0"/>
    <w:link w:val="5"/>
    <w:semiHidden/>
    <w:rsid w:val="00711A89"/>
    <w:rPr>
      <w:rFonts w:asciiTheme="minorHAnsi" w:eastAsiaTheme="minorEastAsia" w:hAnsiTheme="minorHAnsi" w:cstheme="minorBidi"/>
      <w:b/>
      <w:bCs/>
      <w:kern w:val="2"/>
      <w:sz w:val="28"/>
      <w:szCs w:val="28"/>
    </w:rPr>
  </w:style>
  <w:style w:type="character" w:customStyle="1" w:styleId="60">
    <w:name w:val="标题 6 字符"/>
    <w:basedOn w:val="a0"/>
    <w:link w:val="6"/>
    <w:semiHidden/>
    <w:rsid w:val="00711A89"/>
    <w:rPr>
      <w:rFonts w:asciiTheme="majorHAnsi" w:eastAsiaTheme="majorEastAsia" w:hAnsiTheme="majorHAnsi" w:cstheme="majorBidi"/>
      <w:b/>
      <w:bCs/>
      <w:kern w:val="2"/>
      <w:sz w:val="24"/>
      <w:szCs w:val="24"/>
    </w:rPr>
  </w:style>
  <w:style w:type="character" w:customStyle="1" w:styleId="70">
    <w:name w:val="标题 7 字符"/>
    <w:basedOn w:val="a0"/>
    <w:link w:val="7"/>
    <w:semiHidden/>
    <w:rsid w:val="00711A89"/>
    <w:rPr>
      <w:rFonts w:asciiTheme="minorHAnsi" w:eastAsiaTheme="minorEastAsia" w:hAnsiTheme="minorHAnsi" w:cstheme="minorBidi"/>
      <w:b/>
      <w:bCs/>
      <w:kern w:val="2"/>
      <w:sz w:val="24"/>
      <w:szCs w:val="24"/>
    </w:rPr>
  </w:style>
  <w:style w:type="character" w:customStyle="1" w:styleId="80">
    <w:name w:val="标题 8 字符"/>
    <w:basedOn w:val="a0"/>
    <w:link w:val="8"/>
    <w:semiHidden/>
    <w:rsid w:val="00711A89"/>
    <w:rPr>
      <w:rFonts w:asciiTheme="majorHAnsi" w:eastAsiaTheme="majorEastAsia" w:hAnsiTheme="majorHAnsi" w:cstheme="majorBidi"/>
      <w:kern w:val="2"/>
      <w:sz w:val="24"/>
      <w:szCs w:val="24"/>
    </w:rPr>
  </w:style>
  <w:style w:type="character" w:customStyle="1" w:styleId="90">
    <w:name w:val="标题 9 字符"/>
    <w:basedOn w:val="a0"/>
    <w:link w:val="9"/>
    <w:semiHidden/>
    <w:rsid w:val="00711A89"/>
    <w:rPr>
      <w:rFonts w:asciiTheme="majorHAnsi" w:eastAsiaTheme="majorEastAsia" w:hAnsiTheme="majorHAnsi" w:cstheme="majorBidi"/>
      <w:kern w:val="2"/>
      <w:sz w:val="21"/>
      <w:szCs w:val="21"/>
    </w:rPr>
  </w:style>
  <w:style w:type="paragraph" w:styleId="a3">
    <w:name w:val="Title"/>
    <w:basedOn w:val="a"/>
    <w:next w:val="a"/>
    <w:link w:val="a4"/>
    <w:qFormat/>
    <w:rsid w:val="00711A89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rsid w:val="00711A89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a5">
    <w:name w:val="Subtitle"/>
    <w:basedOn w:val="a"/>
    <w:next w:val="a"/>
    <w:link w:val="a6"/>
    <w:qFormat/>
    <w:rsid w:val="00711A89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a6">
    <w:name w:val="副标题 字符"/>
    <w:basedOn w:val="a0"/>
    <w:link w:val="a5"/>
    <w:rsid w:val="00711A89"/>
    <w:rPr>
      <w:rFonts w:asciiTheme="minorHAnsi" w:eastAsiaTheme="minorEastAsia" w:hAnsiTheme="minorHAnsi" w:cstheme="minorBidi"/>
      <w:b/>
      <w:bCs/>
      <w:kern w:val="28"/>
      <w:sz w:val="32"/>
      <w:szCs w:val="32"/>
    </w:rPr>
  </w:style>
  <w:style w:type="character" w:styleId="a7">
    <w:name w:val="Intense Emphasis"/>
    <w:basedOn w:val="a0"/>
    <w:uiPriority w:val="21"/>
    <w:qFormat/>
    <w:rsid w:val="00711A89"/>
    <w:rPr>
      <w:i/>
      <w:iCs/>
      <w:color w:val="5B9BD5" w:themeColor="accent1"/>
    </w:rPr>
  </w:style>
  <w:style w:type="character" w:styleId="a8">
    <w:name w:val="Intense Reference"/>
    <w:basedOn w:val="a0"/>
    <w:uiPriority w:val="32"/>
    <w:qFormat/>
    <w:rsid w:val="00711A89"/>
    <w:rPr>
      <w:b/>
      <w:bCs/>
      <w:smallCaps/>
      <w:color w:val="5B9BD5" w:themeColor="accent1"/>
      <w:spacing w:val="5"/>
    </w:rPr>
  </w:style>
  <w:style w:type="character" w:customStyle="1" w:styleId="11">
    <w:name w:val="未处理的提及1"/>
    <w:basedOn w:val="a0"/>
    <w:uiPriority w:val="99"/>
    <w:semiHidden/>
    <w:unhideWhenUsed/>
    <w:qFormat/>
    <w:rsid w:val="00970907"/>
    <w:rPr>
      <w:color w:val="605E5C"/>
      <w:shd w:val="clear" w:color="auto" w:fill="E1DFDD"/>
    </w:rPr>
  </w:style>
  <w:style w:type="paragraph" w:styleId="a9">
    <w:name w:val="header"/>
    <w:basedOn w:val="a"/>
    <w:link w:val="aa"/>
    <w:uiPriority w:val="99"/>
    <w:unhideWhenUsed/>
    <w:qFormat/>
    <w:rsid w:val="0097090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970907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b">
    <w:name w:val="footer"/>
    <w:basedOn w:val="a"/>
    <w:link w:val="ac"/>
    <w:uiPriority w:val="99"/>
    <w:unhideWhenUsed/>
    <w:qFormat/>
    <w:rsid w:val="0097090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qFormat/>
    <w:rsid w:val="00970907"/>
    <w:rPr>
      <w:rFonts w:asciiTheme="minorHAnsi" w:eastAsiaTheme="minorEastAsia" w:hAnsiTheme="minorHAnsi" w:cstheme="minorBidi"/>
      <w:kern w:val="2"/>
      <w:sz w:val="18"/>
      <w:szCs w:val="18"/>
    </w:rPr>
  </w:style>
  <w:style w:type="character" w:styleId="ad">
    <w:name w:val="page number"/>
    <w:basedOn w:val="a0"/>
    <w:qFormat/>
    <w:rsid w:val="00970907"/>
  </w:style>
  <w:style w:type="character" w:styleId="ae">
    <w:name w:val="endnote reference"/>
    <w:basedOn w:val="a0"/>
    <w:qFormat/>
    <w:rsid w:val="00970907"/>
    <w:rPr>
      <w:vertAlign w:val="superscript"/>
    </w:rPr>
  </w:style>
  <w:style w:type="paragraph" w:styleId="af">
    <w:name w:val="endnote text"/>
    <w:basedOn w:val="a"/>
    <w:link w:val="af0"/>
    <w:qFormat/>
    <w:rsid w:val="00970907"/>
    <w:pPr>
      <w:snapToGrid w:val="0"/>
      <w:jc w:val="left"/>
    </w:pPr>
  </w:style>
  <w:style w:type="character" w:customStyle="1" w:styleId="af0">
    <w:name w:val="尾注文本 字符"/>
    <w:basedOn w:val="a0"/>
    <w:link w:val="af"/>
    <w:rsid w:val="00970907"/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af1">
    <w:name w:val="Body Text Indent"/>
    <w:basedOn w:val="a"/>
    <w:link w:val="af2"/>
    <w:uiPriority w:val="99"/>
    <w:semiHidden/>
    <w:unhideWhenUsed/>
    <w:qFormat/>
    <w:rsid w:val="00970907"/>
    <w:pPr>
      <w:spacing w:after="120"/>
      <w:ind w:leftChars="200" w:left="420"/>
    </w:pPr>
  </w:style>
  <w:style w:type="character" w:customStyle="1" w:styleId="af2">
    <w:name w:val="正文文本缩进 字符"/>
    <w:basedOn w:val="a0"/>
    <w:link w:val="af1"/>
    <w:uiPriority w:val="99"/>
    <w:semiHidden/>
    <w:rsid w:val="00970907"/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21">
    <w:name w:val="Body Text First Indent 2"/>
    <w:basedOn w:val="af1"/>
    <w:link w:val="22"/>
    <w:qFormat/>
    <w:rsid w:val="00970907"/>
    <w:pPr>
      <w:ind w:firstLineChars="200" w:firstLine="420"/>
    </w:pPr>
    <w:rPr>
      <w:szCs w:val="24"/>
    </w:rPr>
  </w:style>
  <w:style w:type="character" w:customStyle="1" w:styleId="22">
    <w:name w:val="正文文本首行缩进 2 字符"/>
    <w:basedOn w:val="af2"/>
    <w:link w:val="21"/>
    <w:rsid w:val="00970907"/>
    <w:rPr>
      <w:rFonts w:asciiTheme="minorHAnsi" w:eastAsiaTheme="minorEastAsia" w:hAnsiTheme="minorHAnsi" w:cstheme="minorBidi"/>
      <w:kern w:val="2"/>
      <w:sz w:val="21"/>
      <w:szCs w:val="24"/>
    </w:rPr>
  </w:style>
  <w:style w:type="character" w:styleId="af3">
    <w:name w:val="Hyperlink"/>
    <w:basedOn w:val="a0"/>
    <w:uiPriority w:val="99"/>
    <w:qFormat/>
    <w:rsid w:val="00970907"/>
    <w:rPr>
      <w:color w:val="0000FF"/>
      <w:u w:val="single"/>
    </w:rPr>
  </w:style>
  <w:style w:type="character" w:styleId="af4">
    <w:name w:val="Strong"/>
    <w:basedOn w:val="a0"/>
    <w:qFormat/>
    <w:rsid w:val="00970907"/>
    <w:rPr>
      <w:b/>
    </w:rPr>
  </w:style>
  <w:style w:type="character" w:styleId="af5">
    <w:name w:val="Emphasis"/>
    <w:basedOn w:val="a0"/>
    <w:qFormat/>
    <w:rsid w:val="00970907"/>
    <w:rPr>
      <w:i/>
    </w:rPr>
  </w:style>
  <w:style w:type="paragraph" w:styleId="af6">
    <w:name w:val="Normal (Web)"/>
    <w:basedOn w:val="a"/>
    <w:qFormat/>
    <w:rsid w:val="00970907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af7">
    <w:name w:val="List Paragraph"/>
    <w:basedOn w:val="a"/>
    <w:uiPriority w:val="34"/>
    <w:qFormat/>
    <w:rsid w:val="00970907"/>
    <w:pPr>
      <w:widowControl/>
      <w:spacing w:line="360" w:lineRule="auto"/>
      <w:ind w:firstLineChars="200" w:firstLine="420"/>
      <w:jc w:val="left"/>
    </w:pPr>
    <w:rPr>
      <w:szCs w:val="24"/>
      <w14:ligatures w14:val="standardContextual"/>
    </w:rPr>
  </w:style>
  <w:style w:type="paragraph" w:styleId="TOC">
    <w:name w:val="TOC Heading"/>
    <w:basedOn w:val="1"/>
    <w:next w:val="a"/>
    <w:uiPriority w:val="39"/>
    <w:unhideWhenUsed/>
    <w:qFormat/>
    <w:rsid w:val="00970907"/>
    <w:pPr>
      <w:keepNext/>
      <w:keepLines/>
      <w:widowControl/>
      <w:spacing w:before="240" w:beforeAutospacing="0" w:afterAutospacing="0" w:line="259" w:lineRule="auto"/>
      <w:outlineLvl w:val="9"/>
    </w:pPr>
    <w:rPr>
      <w:rFonts w:asciiTheme="majorHAnsi" w:eastAsiaTheme="majorEastAsia" w:hAnsiTheme="majorHAnsi" w:cstheme="majorBidi" w:hint="default"/>
      <w:b w:val="0"/>
      <w:bCs w:val="0"/>
      <w:color w:val="2E74B5" w:themeColor="accent1" w:themeShade="BF"/>
      <w:kern w:val="0"/>
      <w:sz w:val="32"/>
      <w:szCs w:val="32"/>
    </w:rPr>
  </w:style>
  <w:style w:type="paragraph" w:styleId="af8">
    <w:name w:val="Quote"/>
    <w:basedOn w:val="a"/>
    <w:next w:val="a"/>
    <w:link w:val="af9"/>
    <w:uiPriority w:val="29"/>
    <w:rsid w:val="0005383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9">
    <w:name w:val="引用 字符"/>
    <w:basedOn w:val="a0"/>
    <w:link w:val="af8"/>
    <w:uiPriority w:val="29"/>
    <w:rsid w:val="00053836"/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1"/>
      <w:szCs w:val="22"/>
    </w:rPr>
  </w:style>
  <w:style w:type="paragraph" w:styleId="afa">
    <w:name w:val="Intense Quote"/>
    <w:basedOn w:val="a"/>
    <w:next w:val="a"/>
    <w:link w:val="afb"/>
    <w:uiPriority w:val="30"/>
    <w:rsid w:val="0005383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fb">
    <w:name w:val="明显引用 字符"/>
    <w:basedOn w:val="a0"/>
    <w:link w:val="afa"/>
    <w:uiPriority w:val="30"/>
    <w:rsid w:val="00053836"/>
    <w:rPr>
      <w:rFonts w:asciiTheme="minorHAnsi" w:eastAsiaTheme="minorEastAsia" w:hAnsiTheme="minorHAnsi" w:cstheme="minorBidi"/>
      <w:i/>
      <w:iCs/>
      <w:color w:val="2E74B5" w:themeColor="accent1" w:themeShade="BF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526</Words>
  <Characters>3000</Characters>
  <Application>Microsoft Office Word</Application>
  <DocSecurity>0</DocSecurity>
  <Lines>25</Lines>
  <Paragraphs>7</Paragraphs>
  <ScaleCrop>false</ScaleCrop>
  <Company/>
  <LinksUpToDate>false</LinksUpToDate>
  <CharactersWithSpaces>3519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会娟 黄</dc:creator>
  <cp:keywords/>
  <dc:description/>
  <cp:lastModifiedBy>会娟 黄</cp:lastModifiedBy>
  <cp:revision>5</cp:revision>
  <dcterms:created xsi:type="dcterms:W3CDTF">2026-06-23T18:37:00Z</dcterms:created>
  <dcterms:modified xsi:type="dcterms:W3CDTF">2026-06-23T18:52:00Z</dcterms:modified>
</cp:coreProperties>
</file>