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8B0" w14:textId="77777777" w:rsidR="00122C2B" w:rsidRDefault="00675FDF">
      <w:pPr>
        <w:pStyle w:val="1"/>
        <w:numPr>
          <w:ilvl w:val="0"/>
          <w:numId w:val="2"/>
        </w:numPr>
        <w:tabs>
          <w:tab w:val="left" w:pos="360"/>
        </w:tabs>
        <w:ind w:left="0" w:firstLine="0"/>
      </w:pPr>
      <w:bookmarkStart w:id="0" w:name="_Toc76061559"/>
      <w:bookmarkStart w:id="1" w:name="_GoBack"/>
      <w:bookmarkEnd w:id="1"/>
      <w:r>
        <w:rPr>
          <w:rFonts w:hint="eastAsia"/>
        </w:rPr>
        <w:t>白鹭山</w:t>
      </w:r>
      <w:r>
        <w:t>隧道开挖神经网络分析</w:t>
      </w:r>
      <w:bookmarkEnd w:id="0"/>
    </w:p>
    <w:p w14:paraId="51E54DC4" w14:textId="77777777" w:rsidR="00122C2B" w:rsidRDefault="00675FDF">
      <w:pPr>
        <w:pStyle w:val="2"/>
        <w:numPr>
          <w:ilvl w:val="1"/>
          <w:numId w:val="2"/>
        </w:numPr>
        <w:tabs>
          <w:tab w:val="left" w:pos="360"/>
        </w:tabs>
        <w:ind w:left="0" w:firstLine="0"/>
      </w:pPr>
      <w:bookmarkStart w:id="2" w:name="_Toc76061560"/>
      <w:r>
        <w:t>工程概</w:t>
      </w:r>
      <w:r>
        <w:rPr>
          <w:rFonts w:hint="eastAsia"/>
        </w:rPr>
        <w:t>况</w:t>
      </w:r>
      <w:bookmarkEnd w:id="2"/>
    </w:p>
    <w:p w14:paraId="64E52C58" w14:textId="77777777" w:rsidR="00122C2B" w:rsidRDefault="00675FDF">
      <w:pPr>
        <w:ind w:firstLine="420"/>
      </w:pPr>
      <w:r>
        <w:rPr>
          <w:rFonts w:hint="eastAsia"/>
        </w:rPr>
        <w:t>白鹭山隧道位于吉安市安福县章庄乡附近，为一座分离式隧道，其起止桩号为</w:t>
      </w:r>
      <w:r>
        <w:t>ZK49+925</w:t>
      </w:r>
      <w:r>
        <w:t>～</w:t>
      </w:r>
      <w:r>
        <w:t>ZK52+835/YK49+930</w:t>
      </w:r>
      <w:r>
        <w:t>～</w:t>
      </w:r>
      <w:r>
        <w:t>YK52+815</w:t>
      </w:r>
      <w:r>
        <w:t>，隧道长度为</w:t>
      </w:r>
      <w:r>
        <w:t xml:space="preserve">2910/2885 </w:t>
      </w:r>
      <w:r>
        <w:t>米，净空（宽</w:t>
      </w:r>
      <w:r>
        <w:t>×</w:t>
      </w:r>
      <w:r>
        <w:t>高）</w:t>
      </w:r>
      <w:r>
        <w:t xml:space="preserve">10.75*5 </w:t>
      </w:r>
      <w:r>
        <w:t>米。按照</w:t>
      </w:r>
      <w:r>
        <w:rPr>
          <w:rFonts w:hint="eastAsia"/>
        </w:rPr>
        <w:t>《公路隧道设计规范第一册土建部分》（</w:t>
      </w:r>
      <w:r>
        <w:t>JTG 3370.1-2018</w:t>
      </w:r>
      <w:r>
        <w:t>）分级，该隧道属于公路长隧道。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板岩。隧道入口段地层主要为残积层及全强风化板岩，电阻率低，为极破碎至破碎围岩，质地软。隧道进洞口处均为浅埋偏压段，处理不当极易发生塌方。隧道洞身工程地质情况复杂，岩性主要以板岩夹变质砂岩、千枚岩，为破碎至较破碎，局部较完整岩体。洞身段</w:t>
      </w:r>
      <w:proofErr w:type="gramStart"/>
      <w:r>
        <w:rPr>
          <w:rFonts w:hint="eastAsia"/>
        </w:rPr>
        <w:t>大地电</w:t>
      </w:r>
      <w:proofErr w:type="gramEnd"/>
      <w:r>
        <w:rPr>
          <w:rFonts w:hint="eastAsia"/>
        </w:rPr>
        <w:t>磁测深及高密度电</w:t>
      </w:r>
      <w:proofErr w:type="gramStart"/>
      <w:r>
        <w:rPr>
          <w:rFonts w:hint="eastAsia"/>
        </w:rPr>
        <w:t>法显</w:t>
      </w:r>
      <w:proofErr w:type="gramEnd"/>
      <w:r>
        <w:rPr>
          <w:rFonts w:hint="eastAsia"/>
        </w:rPr>
        <w:t>示多处为低阻异常区，推测为裂隙带或断层破碎带，在这些裂隙密集带中，为破碎岩体。隧道出口段地层主要为低阻区，主要为残积层及全强板岩，为极破碎至破碎围岩。其中隧道左幅：Ⅲ级围岩占</w:t>
      </w:r>
      <w:r>
        <w:t>19.9%</w:t>
      </w:r>
      <w:r>
        <w:t>，</w:t>
      </w:r>
      <w:r>
        <w:t>Ⅳ</w:t>
      </w:r>
      <w:r>
        <w:t>级围岩占</w:t>
      </w:r>
      <w:r>
        <w:t>58.1%</w:t>
      </w:r>
      <w:r>
        <w:t>，</w:t>
      </w:r>
      <w:r>
        <w:t>Ⅴ</w:t>
      </w:r>
      <w:r>
        <w:t>级围岩占</w:t>
      </w:r>
      <w:r>
        <w:t>22.0%</w:t>
      </w:r>
      <w:r>
        <w:t>。隧道右幅：</w:t>
      </w:r>
      <w:r>
        <w:t>Ⅲ</w:t>
      </w:r>
      <w:r>
        <w:rPr>
          <w:rFonts w:hint="eastAsia"/>
        </w:rPr>
        <w:t>级围岩占</w:t>
      </w:r>
      <w:r>
        <w:t>19.4%</w:t>
      </w:r>
      <w:r>
        <w:t>，</w:t>
      </w:r>
      <w:r>
        <w:t>Ⅳ</w:t>
      </w:r>
      <w:r>
        <w:t>级围岩占</w:t>
      </w:r>
      <w:r>
        <w:t>58.9%</w:t>
      </w:r>
      <w:r>
        <w:t>，</w:t>
      </w:r>
      <w:r>
        <w:t>Ⅴ</w:t>
      </w:r>
      <w:r>
        <w:t>级围岩占</w:t>
      </w:r>
      <w:r>
        <w:t>21.7%</w:t>
      </w:r>
      <w:r>
        <w:t>。</w:t>
      </w:r>
      <w:r>
        <w:rPr>
          <w:rFonts w:hint="eastAsia"/>
        </w:rPr>
        <w:t>隧道开挖方法为双侧壁导坑法。</w:t>
      </w:r>
    </w:p>
    <w:p w14:paraId="46E32B7F" w14:textId="77777777" w:rsidR="00122C2B" w:rsidRDefault="00675FDF">
      <w:pPr>
        <w:pStyle w:val="2"/>
        <w:numPr>
          <w:ilvl w:val="1"/>
          <w:numId w:val="2"/>
        </w:numPr>
        <w:tabs>
          <w:tab w:val="left" w:pos="360"/>
        </w:tabs>
        <w:ind w:left="0" w:firstLine="0"/>
      </w:pPr>
      <w:bookmarkStart w:id="3" w:name="_Toc76061561"/>
      <w:r>
        <w:t>初始模型</w:t>
      </w:r>
      <w:bookmarkEnd w:id="3"/>
    </w:p>
    <w:p w14:paraId="140886D3" w14:textId="77777777" w:rsidR="00122C2B" w:rsidRDefault="00675FDF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14:paraId="2628FE68" w14:textId="77777777" w:rsidR="00122C2B" w:rsidRDefault="00675FDF">
      <w:pPr>
        <w:keepNext/>
        <w:ind w:firstLine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 wp14:anchorId="207DB573" wp14:editId="11A6B31A">
            <wp:extent cx="5274310" cy="3075305"/>
            <wp:effectExtent l="0" t="0" r="2540" b="0"/>
            <wp:docPr id="27" name="图片 27" descr="C:\Users\keyman\Documents\Tencent Files\1769879981\FileRecv\MobileFile\Image\~KPTJ](EA72Q@IRZ]__UV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keyman\Documents\Tencent Files\1769879981\FileRecv\MobileFile\Image\~KPTJ](EA72Q@IRZ]__UV4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A6A3" w14:textId="4D0C91A5" w:rsidR="00122C2B" w:rsidRDefault="00675FDF">
      <w:pPr>
        <w:pStyle w:val="a9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73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白鹭山隧道几何模型</w:t>
      </w:r>
    </w:p>
    <w:p w14:paraId="6669804C" w14:textId="77777777" w:rsidR="00122C2B" w:rsidRDefault="00122C2B">
      <w:pPr>
        <w:pStyle w:val="a4"/>
        <w:ind w:firstLine="400"/>
        <w:jc w:val="center"/>
        <w:rPr>
          <w:rFonts w:ascii="宋体" w:hAnsi="宋体"/>
        </w:rPr>
      </w:pPr>
    </w:p>
    <w:p w14:paraId="786BCF94" w14:textId="77777777" w:rsidR="00122C2B" w:rsidRDefault="00675FDF">
      <w:pPr>
        <w:pStyle w:val="2"/>
        <w:numPr>
          <w:ilvl w:val="1"/>
          <w:numId w:val="2"/>
        </w:numPr>
        <w:tabs>
          <w:tab w:val="left" w:pos="360"/>
        </w:tabs>
        <w:ind w:left="0" w:firstLine="0"/>
      </w:pPr>
      <w:bookmarkStart w:id="4" w:name="_Toc76061566"/>
      <w:r>
        <w:rPr>
          <w:rFonts w:hint="eastAsia"/>
        </w:rPr>
        <w:t>神经网络计算结果及其分析</w:t>
      </w:r>
      <w:bookmarkEnd w:id="4"/>
    </w:p>
    <w:p w14:paraId="5B075727" w14:textId="77777777" w:rsidR="00122C2B" w:rsidRDefault="00675FDF">
      <w:pPr>
        <w:ind w:firstLine="420"/>
      </w:pPr>
      <w:r>
        <w:rPr>
          <w:noProof/>
        </w:rPr>
        <w:drawing>
          <wp:inline distT="0" distB="0" distL="0" distR="0" wp14:anchorId="4331BA5F" wp14:editId="65C7A4C1">
            <wp:extent cx="5274310" cy="2767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4CB5" w14:textId="77777777" w:rsidR="00122C2B" w:rsidRDefault="00675FDF" w:rsidP="004A406F">
      <w:pPr>
        <w:pStyle w:val="a"/>
      </w:pPr>
      <w:r>
        <w:rPr>
          <w:rFonts w:hint="eastAsia"/>
        </w:rPr>
        <w:t>白鹭山隧道出口预测输出和期望输出图</w:t>
      </w:r>
    </w:p>
    <w:p w14:paraId="043697EB" w14:textId="77777777" w:rsidR="00122C2B" w:rsidRDefault="00122C2B">
      <w:pPr>
        <w:pStyle w:val="a"/>
        <w:numPr>
          <w:ilvl w:val="0"/>
          <w:numId w:val="0"/>
        </w:numPr>
        <w:ind w:left="840"/>
        <w:jc w:val="both"/>
      </w:pPr>
    </w:p>
    <w:p w14:paraId="3D6ED5E2" w14:textId="77777777" w:rsidR="00122C2B" w:rsidRDefault="00675FDF">
      <w:pPr>
        <w:ind w:firstLine="420"/>
      </w:pPr>
      <w:r>
        <w:rPr>
          <w:noProof/>
        </w:rPr>
        <w:lastRenderedPageBreak/>
        <w:drawing>
          <wp:inline distT="0" distB="0" distL="0" distR="0" wp14:anchorId="37085C93" wp14:editId="56D452C9">
            <wp:extent cx="5274310" cy="2743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0BD4" w14:textId="77777777" w:rsidR="00122C2B" w:rsidRDefault="00675FDF">
      <w:pPr>
        <w:pStyle w:val="a"/>
      </w:pPr>
      <w:r>
        <w:rPr>
          <w:rFonts w:hint="eastAsia"/>
        </w:rPr>
        <w:t>白鹭山隧道出口预测误差图</w:t>
      </w:r>
    </w:p>
    <w:p w14:paraId="62A29DDA" w14:textId="77777777" w:rsidR="00122C2B" w:rsidRDefault="00675FDF">
      <w:pPr>
        <w:ind w:firstLine="420"/>
      </w:pPr>
      <w:r>
        <w:rPr>
          <w:rFonts w:hint="eastAsia"/>
        </w:rPr>
        <w:t>由图</w:t>
      </w:r>
      <w:r w:rsidR="004A406F">
        <w:t>2</w:t>
      </w:r>
      <w:r>
        <w:rPr>
          <w:rFonts w:hint="eastAsia"/>
        </w:rPr>
        <w:t>可知，白鹭山隧道出口预测输出和期望输出结果基本吻合，走势基本一致。由图</w:t>
      </w:r>
      <w:r w:rsidR="004A406F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3</w:t>
      </w:r>
      <w:r>
        <w:rPr>
          <w:rFonts w:hint="eastAsia"/>
        </w:rPr>
        <w:t>~0.0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14:paraId="138EAC3C" w14:textId="77777777" w:rsidR="00122C2B" w:rsidRDefault="00675FDF">
      <w:pPr>
        <w:ind w:firstLine="420"/>
      </w:pPr>
      <w:r>
        <w:rPr>
          <w:noProof/>
        </w:rPr>
        <w:drawing>
          <wp:inline distT="0" distB="0" distL="0" distR="0" wp14:anchorId="2A78CBA0" wp14:editId="77289476">
            <wp:extent cx="5274310" cy="2786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2CD2" w14:textId="77777777" w:rsidR="00122C2B" w:rsidRDefault="00675FDF">
      <w:pPr>
        <w:pStyle w:val="a"/>
      </w:pPr>
      <w:r>
        <w:rPr>
          <w:rFonts w:hint="eastAsia"/>
        </w:rPr>
        <w:t>白鹭山隧道入口预测输出和期望输出图</w:t>
      </w:r>
    </w:p>
    <w:p w14:paraId="2E2E68E1" w14:textId="77777777" w:rsidR="00122C2B" w:rsidRDefault="00675FDF">
      <w:pPr>
        <w:pStyle w:val="a"/>
        <w:numPr>
          <w:ilvl w:val="0"/>
          <w:numId w:val="0"/>
        </w:numPr>
        <w:jc w:val="both"/>
      </w:pPr>
      <w:r>
        <w:rPr>
          <w:noProof/>
        </w:rPr>
        <w:lastRenderedPageBreak/>
        <w:drawing>
          <wp:inline distT="0" distB="0" distL="0" distR="0" wp14:anchorId="6AD45CD0" wp14:editId="6FF991C5">
            <wp:extent cx="5274310" cy="2788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7E" w14:textId="77777777" w:rsidR="00122C2B" w:rsidRDefault="00675FDF">
      <w:pPr>
        <w:pStyle w:val="a"/>
      </w:pPr>
      <w:r>
        <w:rPr>
          <w:rFonts w:hint="eastAsia"/>
        </w:rPr>
        <w:t>白鹭山隧道入口预测误差图</w:t>
      </w:r>
    </w:p>
    <w:p w14:paraId="7FAEECBF" w14:textId="77777777" w:rsidR="00122C2B" w:rsidRDefault="00675FDF">
      <w:pPr>
        <w:ind w:firstLine="420"/>
      </w:pPr>
      <w:r>
        <w:rPr>
          <w:rFonts w:hint="eastAsia"/>
        </w:rPr>
        <w:t>由图</w:t>
      </w:r>
      <w:r w:rsidR="004A406F">
        <w:t>4</w:t>
      </w:r>
      <w:r>
        <w:rPr>
          <w:rFonts w:hint="eastAsia"/>
        </w:rPr>
        <w:t>可知，白鹭山隧道入口预测输出和期望输出结果基本吻合，走势基本一致。由图</w:t>
      </w:r>
      <w:r w:rsidR="004A406F">
        <w:t>5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3</w:t>
      </w:r>
      <w:r>
        <w:rPr>
          <w:rFonts w:hint="eastAsia"/>
        </w:rPr>
        <w:t>~0.0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14:paraId="74BD62A1" w14:textId="77777777" w:rsidR="00122C2B" w:rsidRDefault="00122C2B">
      <w:pPr>
        <w:widowControl/>
        <w:spacing w:line="240" w:lineRule="auto"/>
        <w:ind w:firstLineChars="0" w:firstLine="0"/>
        <w:jc w:val="left"/>
      </w:pPr>
    </w:p>
    <w:sectPr w:rsidR="00122C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709DA" w14:textId="77777777" w:rsidR="004E3718" w:rsidRDefault="004E3718">
      <w:pPr>
        <w:spacing w:line="240" w:lineRule="auto"/>
        <w:ind w:firstLine="420"/>
      </w:pPr>
      <w:r>
        <w:separator/>
      </w:r>
    </w:p>
  </w:endnote>
  <w:endnote w:type="continuationSeparator" w:id="0">
    <w:p w14:paraId="3B4BFDC6" w14:textId="77777777" w:rsidR="004E3718" w:rsidRDefault="004E371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DA5F9" w14:textId="77777777" w:rsidR="004A406F" w:rsidRDefault="004A40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9C51E" w14:textId="77777777" w:rsidR="004A406F" w:rsidRDefault="004A40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06D1" w14:textId="77777777" w:rsidR="004A406F" w:rsidRDefault="004A40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52ECE" w14:textId="77777777" w:rsidR="004E3718" w:rsidRDefault="004E3718">
      <w:pPr>
        <w:ind w:firstLine="420"/>
      </w:pPr>
      <w:r>
        <w:separator/>
      </w:r>
    </w:p>
  </w:footnote>
  <w:footnote w:type="continuationSeparator" w:id="0">
    <w:p w14:paraId="7957E227" w14:textId="77777777" w:rsidR="004E3718" w:rsidRDefault="004E37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7C11" w14:textId="77777777" w:rsidR="004A406F" w:rsidRDefault="004A40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ECAC6" w14:textId="77777777" w:rsidR="004A406F" w:rsidRDefault="004A406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5A4F4" w14:textId="77777777" w:rsidR="004A406F" w:rsidRDefault="004A406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AF8C2ECA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6"/>
    <w:rsid w:val="00122C2B"/>
    <w:rsid w:val="00371559"/>
    <w:rsid w:val="00385739"/>
    <w:rsid w:val="004A406F"/>
    <w:rsid w:val="004E3718"/>
    <w:rsid w:val="005675D2"/>
    <w:rsid w:val="006246D1"/>
    <w:rsid w:val="00675FDF"/>
    <w:rsid w:val="00E72540"/>
    <w:rsid w:val="00FE4316"/>
    <w:rsid w:val="794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1475C"/>
  <w15:docId w15:val="{362F5878-E2A8-4E88-BC05-84A6A7C0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9">
    <w:name w:val="表格"/>
    <w:basedOn w:val="a0"/>
    <w:link w:val="aa"/>
    <w:qFormat/>
    <w:pPr>
      <w:jc w:val="center"/>
      <w:textAlignment w:val="center"/>
    </w:pPr>
    <w:rPr>
      <w:b/>
      <w:sz w:val="18"/>
    </w:rPr>
  </w:style>
  <w:style w:type="character" w:customStyle="1" w:styleId="aa">
    <w:name w:val="表格 字符"/>
    <w:basedOn w:val="a1"/>
    <w:link w:val="a9"/>
    <w:rPr>
      <w:rFonts w:ascii="Times New Roman" w:eastAsia="宋体" w:hAnsi="Times New Roman"/>
      <w:b/>
      <w:sz w:val="18"/>
    </w:rPr>
  </w:style>
  <w:style w:type="paragraph" w:customStyle="1" w:styleId="a">
    <w:name w:val="图号"/>
    <w:basedOn w:val="a0"/>
    <w:link w:val="ab"/>
    <w:qFormat/>
    <w:pPr>
      <w:numPr>
        <w:numId w:val="1"/>
      </w:numPr>
      <w:ind w:firstLineChars="0" w:firstLine="0"/>
      <w:jc w:val="center"/>
    </w:pPr>
  </w:style>
  <w:style w:type="character" w:customStyle="1" w:styleId="ab">
    <w:name w:val="图号 字符"/>
    <w:basedOn w:val="a1"/>
    <w:link w:val="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>中山大学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geit</dc:creator>
  <cp:lastModifiedBy>Administrator</cp:lastModifiedBy>
  <cp:revision>7</cp:revision>
  <cp:lastPrinted>2021-12-17T03:07:00Z</cp:lastPrinted>
  <dcterms:created xsi:type="dcterms:W3CDTF">2021-11-18T07:31:00Z</dcterms:created>
  <dcterms:modified xsi:type="dcterms:W3CDTF">2021-12-17T03:07:00Z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2E69EB94125141A89CAC9E507C522C4A</vt:lpwstr>
  </property>
</Properties>
</file>