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25C" w:rsidRDefault="00B91AFF">
      <w:pPr>
        <w:pStyle w:val="1"/>
        <w:numPr>
          <w:ilvl w:val="0"/>
          <w:numId w:val="2"/>
        </w:numPr>
      </w:pPr>
      <w:bookmarkStart w:id="0" w:name="_Toc76061519"/>
      <w:bookmarkStart w:id="1" w:name="_Toc76061600"/>
      <w:r>
        <w:rPr>
          <w:rFonts w:hint="eastAsia"/>
        </w:rPr>
        <w:t>先锋顶隧道开挖神经网络分析</w:t>
      </w:r>
      <w:bookmarkEnd w:id="0"/>
    </w:p>
    <w:p w:rsidR="0033325C" w:rsidRDefault="00B91AFF">
      <w:pPr>
        <w:pStyle w:val="2"/>
        <w:numPr>
          <w:ilvl w:val="1"/>
          <w:numId w:val="2"/>
        </w:numPr>
      </w:pPr>
      <w:bookmarkStart w:id="2" w:name="_Toc76061520"/>
      <w:r>
        <w:rPr>
          <w:rFonts w:hint="eastAsia"/>
        </w:rPr>
        <w:t>工程概况</w:t>
      </w:r>
      <w:bookmarkEnd w:id="2"/>
    </w:p>
    <w:p w:rsidR="0033325C" w:rsidRDefault="00B91AFF">
      <w:pPr>
        <w:ind w:firstLine="420"/>
      </w:pPr>
      <w:r>
        <w:rPr>
          <w:rFonts w:hint="eastAsia"/>
        </w:rPr>
        <w:t>先锋顶隧道位于宜春市湖田镇里公塘村附近，隧道起于里公塘水库内侧冲沟，穿越山体终于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洲里附近，为一座分离式隧道，其起止桩号为</w:t>
      </w:r>
      <w:r>
        <w:t xml:space="preserve"> ZK8+840</w:t>
      </w:r>
      <w:r>
        <w:t>～</w:t>
      </w:r>
      <w:r>
        <w:t>ZK10+108/YK8+830</w:t>
      </w:r>
      <w:r>
        <w:t>～</w:t>
      </w:r>
      <w:r>
        <w:t>YK10+110</w:t>
      </w:r>
      <w:r>
        <w:t>，隧</w:t>
      </w:r>
      <w:r>
        <w:rPr>
          <w:rFonts w:hint="eastAsia"/>
        </w:rPr>
        <w:t>道长度为</w:t>
      </w:r>
      <w:r>
        <w:t xml:space="preserve"> 1268/1280 </w:t>
      </w:r>
      <w:r>
        <w:t>米，单幅隧道净空（宽</w:t>
      </w:r>
      <w:r>
        <w:t>×</w:t>
      </w:r>
      <w:r>
        <w:t>高）</w:t>
      </w:r>
      <w:r>
        <w:t xml:space="preserve">14.75*5 </w:t>
      </w:r>
      <w:r>
        <w:t>米。进口洞门形式拟</w:t>
      </w:r>
      <w:proofErr w:type="gramStart"/>
      <w:r>
        <w:t>采用端墙式</w:t>
      </w:r>
      <w:proofErr w:type="gramEnd"/>
      <w:r>
        <w:t>，出</w:t>
      </w:r>
      <w:r>
        <w:rPr>
          <w:rFonts w:hint="eastAsia"/>
        </w:rPr>
        <w:t>洞口洞门形式拟</w:t>
      </w:r>
      <w:proofErr w:type="gramStart"/>
      <w:r>
        <w:rPr>
          <w:rFonts w:hint="eastAsia"/>
        </w:rPr>
        <w:t>采用端墙式</w:t>
      </w:r>
      <w:proofErr w:type="gramEnd"/>
      <w:r>
        <w:rPr>
          <w:rFonts w:hint="eastAsia"/>
        </w:rPr>
        <w:t>，电力照明，机械通风，按照《公路隧道设计规范》第一册</w:t>
      </w:r>
      <w:r>
        <w:t xml:space="preserve"> </w:t>
      </w:r>
      <w:r>
        <w:t>土建工</w:t>
      </w:r>
      <w:r>
        <w:rPr>
          <w:rFonts w:hint="eastAsia"/>
        </w:rPr>
        <w:t>程（</w:t>
      </w:r>
      <w:r>
        <w:t>JTG 3370.1-2018</w:t>
      </w:r>
      <w:r>
        <w:t>）表</w:t>
      </w:r>
      <w:r>
        <w:t xml:space="preserve"> 1.0.4 </w:t>
      </w:r>
      <w:r>
        <w:t>分级，该隧道属于公路长隧道。</w:t>
      </w:r>
      <w:proofErr w:type="gramStart"/>
      <w:r>
        <w:rPr>
          <w:rFonts w:hint="eastAsia"/>
        </w:rPr>
        <w:t>本次隧址区内</w:t>
      </w:r>
      <w:proofErr w:type="gramEnd"/>
      <w:r>
        <w:rPr>
          <w:rFonts w:hint="eastAsia"/>
        </w:rPr>
        <w:t>岩性主要为炭质灰岩、变质石英砂岩、板岩、千枚状砂岩、千枚岩等。隧道入口段地层主要为残坡积层及炭质灰岩、灰岩夹页岩，为极破碎至破碎围岩。发育有断层泥，为土质碎石围岩，散体状结构。隧道洞身工程地质情况复杂，岩性主要以变质石英砂岩、板岩、千枚状砂岩、千枚岩、变质砂岩等，为破碎至较破碎，局部较完整岩体。洞身</w:t>
      </w:r>
      <w:proofErr w:type="gramStart"/>
      <w:r>
        <w:rPr>
          <w:rFonts w:hint="eastAsia"/>
        </w:rPr>
        <w:t>赋水丰富，隧址</w:t>
      </w:r>
      <w:proofErr w:type="gramEnd"/>
      <w:r>
        <w:rPr>
          <w:rFonts w:hint="eastAsia"/>
        </w:rPr>
        <w:t>区内发育有裂隙密集带，在这些裂隙密集带中，为破碎岩体。隧道出口段地层主要为残积层及全强风化千枚状砂岩，为极破碎至破碎围岩，为类土质碎石围岩，散体状结构。隧道区岩体破碎，围岩等级低，隧道左</w:t>
      </w:r>
      <w:r>
        <w:rPr>
          <w:rFonts w:hint="eastAsia"/>
        </w:rPr>
        <w:t>幅：Ⅳ级围岩占</w:t>
      </w:r>
      <w:r>
        <w:t>53.78%</w:t>
      </w:r>
      <w:r>
        <w:rPr>
          <w:rFonts w:hint="eastAsia"/>
        </w:rPr>
        <w:t>，Ⅴ级围岩占</w:t>
      </w:r>
      <w:r>
        <w:t>46.22%</w:t>
      </w:r>
      <w:r>
        <w:rPr>
          <w:rFonts w:hint="eastAsia"/>
        </w:rPr>
        <w:t>。隧道右幅：Ⅳ级围岩占</w:t>
      </w:r>
      <w:r>
        <w:t>60.86%</w:t>
      </w:r>
      <w:r>
        <w:rPr>
          <w:rFonts w:hint="eastAsia"/>
        </w:rPr>
        <w:t>，Ⅴ级围岩占</w:t>
      </w:r>
      <w:r>
        <w:t>39.14%</w:t>
      </w:r>
      <w:r>
        <w:rPr>
          <w:rFonts w:hint="eastAsia"/>
        </w:rPr>
        <w:t>。隧道开挖方法为双侧壁导坑法。</w:t>
      </w:r>
    </w:p>
    <w:p w:rsidR="0033325C" w:rsidRDefault="00B91AFF">
      <w:pPr>
        <w:pStyle w:val="2"/>
        <w:numPr>
          <w:ilvl w:val="1"/>
          <w:numId w:val="2"/>
        </w:numPr>
      </w:pPr>
      <w:bookmarkStart w:id="3" w:name="_Toc76061521"/>
      <w:r>
        <w:rPr>
          <w:rFonts w:hint="eastAsia"/>
        </w:rPr>
        <w:t>初始模型</w:t>
      </w:r>
      <w:bookmarkEnd w:id="3"/>
    </w:p>
    <w:p w:rsidR="0033325C" w:rsidRDefault="00B91AFF">
      <w:pPr>
        <w:ind w:firstLine="420"/>
      </w:pPr>
      <w:r>
        <w:rPr>
          <w:rFonts w:hint="eastAsia"/>
        </w:rPr>
        <w:t>依据施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截面洞型取</w:t>
      </w:r>
      <w:proofErr w:type="gramEnd"/>
      <w:r>
        <w:rPr>
          <w:rFonts w:hint="eastAsia"/>
        </w:rPr>
        <w:t>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</w:t>
      </w:r>
      <w:r>
        <w:t>5</w:t>
      </w:r>
      <w:r>
        <w:rPr>
          <w:rFonts w:hint="eastAsia"/>
        </w:rPr>
        <w:t>倍隧道净宽的区域，深度的分析范围取为距离隧道内轮廓底部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:rsidR="0033325C" w:rsidRDefault="00B91AFF">
      <w:pPr>
        <w:pStyle w:val="a4"/>
        <w:keepNext/>
        <w:ind w:firstLine="361"/>
      </w:pPr>
      <w:r>
        <w:rPr>
          <w:noProof/>
        </w:rPr>
        <w:lastRenderedPageBreak/>
        <w:drawing>
          <wp:inline distT="0" distB="0" distL="0" distR="0">
            <wp:extent cx="5274310" cy="3090545"/>
            <wp:effectExtent l="0" t="0" r="2540" b="14605"/>
            <wp:docPr id="3" name="图片 3" descr="C:\Users\keyman\AppData\Local\Temp\WeChat Files\71caeb1b29c43b03e4720ae7297c3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keyman\AppData\Local\Temp\WeChat Files\71caeb1b29c43b03e4720ae7297c3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5C" w:rsidRDefault="00B91AFF">
      <w:pPr>
        <w:pStyle w:val="a4"/>
        <w:ind w:firstLine="36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E1766">
        <w:t>1</w:t>
      </w:r>
      <w:r>
        <w:t xml:space="preserve"> </w:t>
      </w:r>
      <w:r>
        <w:rPr>
          <w:rFonts w:hint="eastAsia"/>
        </w:rPr>
        <w:t>先锋顶隧道几何模型</w:t>
      </w:r>
      <w:bookmarkStart w:id="4" w:name="_Toc76061526"/>
    </w:p>
    <w:p w:rsidR="0033325C" w:rsidRDefault="00B91AFF">
      <w:pPr>
        <w:pStyle w:val="2"/>
      </w:pPr>
      <w:r>
        <w:rPr>
          <w:rFonts w:hint="eastAsia"/>
        </w:rPr>
        <w:t>1</w:t>
      </w:r>
      <w:r>
        <w:t>3.3</w:t>
      </w:r>
      <w:r>
        <w:t xml:space="preserve"> </w:t>
      </w:r>
      <w:r>
        <w:rPr>
          <w:rFonts w:hint="eastAsia"/>
        </w:rPr>
        <w:t>神经网络计算结果及其分析</w:t>
      </w:r>
      <w:bookmarkEnd w:id="4"/>
    </w:p>
    <w:p w:rsidR="0033325C" w:rsidRDefault="00B91AFF">
      <w:pPr>
        <w:ind w:firstLine="420"/>
      </w:pPr>
      <w:r>
        <w:rPr>
          <w:noProof/>
        </w:rPr>
        <w:drawing>
          <wp:inline distT="0" distB="0" distL="0" distR="0">
            <wp:extent cx="5274310" cy="2802255"/>
            <wp:effectExtent l="0" t="0" r="2540" b="171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C" w:rsidRDefault="00B91AFF" w:rsidP="008E1766">
      <w:pPr>
        <w:pStyle w:val="a"/>
      </w:pPr>
      <w:r>
        <w:rPr>
          <w:rFonts w:hint="eastAsia"/>
        </w:rPr>
        <w:t>先锋顶隧道出口预测输出和期望输出图</w:t>
      </w:r>
    </w:p>
    <w:p w:rsidR="0033325C" w:rsidRDefault="00B91AFF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797810"/>
            <wp:effectExtent l="0" t="0" r="254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C" w:rsidRDefault="00B91AFF">
      <w:pPr>
        <w:pStyle w:val="a"/>
      </w:pPr>
      <w:r>
        <w:rPr>
          <w:rFonts w:hint="eastAsia"/>
        </w:rPr>
        <w:t>先锋顶隧道出口预测误差图</w:t>
      </w:r>
    </w:p>
    <w:p w:rsidR="0033325C" w:rsidRDefault="00B91AFF">
      <w:pPr>
        <w:ind w:firstLine="420"/>
      </w:pPr>
      <w:r>
        <w:rPr>
          <w:rFonts w:hint="eastAsia"/>
        </w:rPr>
        <w:t>由图</w:t>
      </w:r>
      <w:r w:rsidR="008E1766">
        <w:t>2</w:t>
      </w:r>
      <w:r>
        <w:rPr>
          <w:rFonts w:hint="eastAsia"/>
        </w:rPr>
        <w:t>可知，先锋顶隧道出口预测输出和期望输出结果基本吻合，走势基本一致。由图</w:t>
      </w:r>
      <w:r w:rsidR="008E1766">
        <w:t>3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2</w:t>
      </w:r>
      <w:r>
        <w:rPr>
          <w:rFonts w:hint="eastAsia"/>
        </w:rPr>
        <w:t>~0.</w:t>
      </w:r>
      <w:r>
        <w:t>2</w:t>
      </w:r>
      <w:r>
        <w:rPr>
          <w:rFonts w:hint="eastAsia"/>
        </w:rPr>
        <w:t>之间，误差范围较小，表明神经网络预测结果基本满足要求。</w:t>
      </w:r>
    </w:p>
    <w:p w:rsidR="0033325C" w:rsidRPr="008E1766" w:rsidRDefault="0033325C" w:rsidP="008E1766">
      <w:pPr>
        <w:widowControl/>
        <w:ind w:firstLineChars="0" w:firstLine="0"/>
        <w:jc w:val="left"/>
        <w:rPr>
          <w:rFonts w:ascii="宋体" w:hAnsi="宋体" w:hint="eastAsia"/>
        </w:rPr>
      </w:pPr>
      <w:bookmarkStart w:id="5" w:name="_GoBack"/>
      <w:bookmarkEnd w:id="1"/>
      <w:bookmarkEnd w:id="5"/>
    </w:p>
    <w:sectPr w:rsidR="0033325C" w:rsidRPr="008E176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AFF" w:rsidRDefault="00B91AFF">
      <w:pPr>
        <w:spacing w:line="240" w:lineRule="auto"/>
        <w:ind w:firstLine="420"/>
      </w:pPr>
      <w:r>
        <w:separator/>
      </w:r>
    </w:p>
  </w:endnote>
  <w:endnote w:type="continuationSeparator" w:id="0">
    <w:p w:rsidR="00B91AFF" w:rsidRDefault="00B91AF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AFF" w:rsidRDefault="00B91AFF">
      <w:pPr>
        <w:ind w:firstLine="420"/>
      </w:pPr>
      <w:r>
        <w:separator/>
      </w:r>
    </w:p>
  </w:footnote>
  <w:footnote w:type="continuationSeparator" w:id="0">
    <w:p w:rsidR="00B91AFF" w:rsidRDefault="00B91AFF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7BAE"/>
    <w:multiLevelType w:val="multilevel"/>
    <w:tmpl w:val="09EA7BAE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3876AB"/>
    <w:multiLevelType w:val="multilevel"/>
    <w:tmpl w:val="DC6472FC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308FE"/>
    <w:rsid w:val="0033325C"/>
    <w:rsid w:val="008E1766"/>
    <w:rsid w:val="00B91AFF"/>
    <w:rsid w:val="6063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9E62D"/>
  <w15:docId w15:val="{CB2103AC-73B4-420E-9807-16BB875D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"/>
    <w:basedOn w:val="a0"/>
    <w:qFormat/>
    <w:pPr>
      <w:jc w:val="center"/>
      <w:textAlignment w:val="center"/>
    </w:pPr>
    <w:rPr>
      <w:b/>
      <w:sz w:val="18"/>
    </w:rPr>
  </w:style>
  <w:style w:type="paragraph" w:customStyle="1" w:styleId="a">
    <w:name w:val="图号"/>
    <w:basedOn w:val="a0"/>
    <w:qFormat/>
    <w:pPr>
      <w:numPr>
        <w:numId w:val="1"/>
      </w:numPr>
      <w:ind w:firstLineChars="0"/>
      <w:jc w:val="center"/>
    </w:pPr>
  </w:style>
  <w:style w:type="paragraph" w:styleId="a5">
    <w:name w:val="List Paragraph"/>
    <w:basedOn w:val="a0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754</Characters>
  <Application>Microsoft Office Word</Application>
  <DocSecurity>0</DocSecurity>
  <Lines>6</Lines>
  <Paragraphs>1</Paragraphs>
  <ScaleCrop>false</ScaleCrop>
  <Company>中山大学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安哥</dc:creator>
  <cp:lastModifiedBy>Administrator</cp:lastModifiedBy>
  <cp:revision>2</cp:revision>
  <dcterms:created xsi:type="dcterms:W3CDTF">2021-11-18T07:53:00Z</dcterms:created>
  <dcterms:modified xsi:type="dcterms:W3CDTF">2021-12-17T03:18:00Z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FB3A0860D71A4081A29A3093C54E3E05</vt:lpwstr>
  </property>
</Properties>
</file>