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TR-19 Approval Packet</w:t>
      </w:r>
    </w:p>
    <w:p>
      <w:r>
        <w:t xml:space="preserve"/>
      </w:r>
    </w:p>
    <w:p>
      <w:r>
        <w:t xml:space="preserve">Approved before travel: hotel rate up to 245.00 per night for two nights.</w:t>
      </w:r>
    </w:p>
    <w:p>
      <w:r>
        <w:t xml:space="preserve">Approved before travel: workshop registration for the April 4 training session.</w:t>
      </w:r>
    </w:p>
    <w:p>
      <w:r>
        <w:t xml:space="preserve">This approval does not cover premium WiFi, gifts, alcohol, or commuting.</w:t>
      </w:r>
    </w:p>
    <w:p>
      <w:r>
        <w:t xml:space="preserve">Noise: a separate trip TR-18 had rental-car approval; do not apply it to TR-19.</w:t>
      </w:r>
    </w:p>
    <w:p>
      <w:r>
        <w:t xml:space="preserve">Noise: a catering pre-approval template appears below but is not part of the travel claim.</w:t>
      </w:r>
    </w:p>
    <w:p>
      <w:r>
        <w:t xml:space="preserve">Noise: the word approved appears in an email footer for procurement templates; it is not a finance exception.</w:t>
      </w:r>
    </w:p>
    <w:p>
      <w:r>
        <w:t xml:space="preserve">Clarification: airport rideshare is governed by normal policy and is not a special exception.</w:t>
      </w:r>
    </w:p>
    <w:sectPr/>
  </w:body>
</w:document>
</file>