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Operations Support Requirement Memo</w:t>
      </w:r>
    </w:p>
    <w:p>
      <w:r>
        <w:t xml:space="preserve"/>
      </w:r>
    </w:p>
    <w:p>
      <w:r>
        <w:t xml:space="preserve">For the next term, operations systems must have vendor support response of four hours or better.</w:t>
      </w:r>
    </w:p>
    <w:p>
      <w:r>
        <w:t xml:space="preserve">A next-business-day target is not acceptable for this team.</w:t>
      </w:r>
    </w:p>
    <w:p>
      <w:r>
        <w:t xml:space="preserve">Noise: analytics-only tools may use email support, but CloudBox is not analytics-only.</w:t>
      </w:r>
    </w:p>
    <w:p>
      <w:r>
        <w:t xml:space="preserve">Noise: procurement requested a legal review for Enterprise, but no Enterprise recommendation is required if Premium satisfies support and cost goals.</w:t>
      </w:r>
    </w:p>
    <w:p>
      <w:r>
        <w:t xml:space="preserve">Noise: sandbox environments may use slower support. Production CloudBox usage is the relevant scope.</w:t>
      </w:r>
    </w:p>
    <w:p>
      <w:r>
        <w:t xml:space="preserve">Clarification: four-hour support satisfies the requirement; one-hour support also satisfies it but may cost more.</w:t>
      </w:r>
    </w:p>
    <w:sectPr/>
  </w:body>
</w:document>
</file>