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费用报销流程 上线需求汇总</w:t>
      </w:r>
    </w:p>
    <w:p>
      <w:r>
        <w:t>synthetic：本文档为演示用途合成材料，不含真实公司信息。</w:t>
      </w:r>
    </w:p>
    <w:p>
      <w:r>
        <w:t>提出部门：计划财务部　|　适用范围：公司全体在职员工　|　发起入口：OA 系统（移动端与 PC 端均可发起）</w:t>
      </w:r>
    </w:p>
    <w:p>
      <w:pPr>
        <w:pStyle w:val="Heading2"/>
      </w:pPr>
      <w:r>
        <w:t>一、审批主链路</w:t>
      </w:r>
    </w:p>
    <w:p>
      <w:r>
        <w:t>起草（报销人本人）→ 部门主管审批 → （按报销总额是否达到大额门槛）财务初审 → 财务负责人审批 → 结束。是否加送财务两级审批，由报销总额是否达到大额门槛决定，不是每次都走完整链路。</w:t>
      </w:r>
    </w:p>
    <w:p>
      <w:pPr>
        <w:pStyle w:val="Heading2"/>
      </w:pPr>
      <w:r>
        <w:t>二、按报销总额的分级规则</w:t>
      </w:r>
    </w:p>
    <w:p>
      <w:r>
        <w:t>1. 部门主管审批通过后：若报销总额低于大额门槛，到部门主管即结束，不再上报；达到或超过大额门槛的，送财务初审。</w:t>
      </w:r>
    </w:p>
    <w:p>
      <w:r>
        <w:t>2. 财务初审通过后，送财务负责人审批。</w:t>
      </w:r>
    </w:p>
    <w:p>
      <w:r>
        <w:t>3. 财务负责人审批通过后，流程结束。</w:t>
      </w:r>
    </w:p>
    <w:p>
      <w:r>
        <w:t>4. 任何一级审批选择“不同意”，均退回起草人重新修改。</w:t>
      </w:r>
    </w:p>
    <w:p>
      <w:r>
        <w:t>备注：大额门槛目前内部讨论中有两种说法，一说 5 万元，一说 3 万元（见审批权限矩阵与讨论群聊），需财务部最终书面确认，已登记进上线待确认清单。</w:t>
      </w:r>
    </w:p>
    <w:p>
      <w:pPr>
        <w:pStyle w:val="Heading2"/>
      </w:pPr>
      <w:r>
        <w:t>三、费用类型（固定可选项）</w:t>
      </w:r>
    </w:p>
    <w:p>
      <w:r>
        <w:t>差旅费、招待费、办公用品、培训费。（注：差旅申请（出差前审批）不在本流程内，本流程只管报销、事后走款。）</w:t>
      </w:r>
    </w:p>
    <w:p>
      <w:pPr>
        <w:pStyle w:val="Heading2"/>
      </w:pPr>
      <w:r>
        <w:t>四、发起页填写内容</w:t>
      </w:r>
    </w:p>
    <w:p>
      <w:r>
        <w:t>报销人、所属部门由系统按登录人自动带出，报销人不可编辑。</w:t>
      </w:r>
    </w:p>
    <w:p>
      <w:r>
        <w:t>报销人需填写：费用类型、费用明细、报销总额、收款账户、报销事由。选择差旅费时，还需填写出差城市与酒店每晚，供差旅标准比对（见《差旅费报销标准》）。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