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Halogen Compounds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16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硝酸银测试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Acidified AgNO₃ identifies halogenoalkane type by precipitate colour/rate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构型翻转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Walden inversion in SN2: product has opposite configuration to reactant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离去基团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Group that departs with the electron pair during substitution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氯氟烃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Chlorofluorocarbon; ozone-depleting refrigerant/propellant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E2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One-step elimination with simultaneous bond breaking and formation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where nucleophile replaces a leaving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反应活性顺序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RI &gt; RBr &gt; RCl due to decreasing C–X bond strength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E1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Two-step elimination through carbocation intermediate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外消旋化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Formation of equal amounts of both enantiomers, as in SN1 at chiral centre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伯卤代烷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Halogenoalkane where the halogen-bearing carbon is bonded to one alkyl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格氏试剂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Organomagnesium halide RMgX; useful for C–C bond formation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SN1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Two-step substitution: rate depends on one species; forms carbocation intermediate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消除反应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Removal of atoms from adjacent carbons to form a double bond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仲卤代烷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Halogenoalkane where the halogen-bearing carbon is bonded to two alkyl groups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叔卤代烷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Halogenoalkane where the halogen-bearing carbon is bonded to three alkyl groups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with water (or aqueous NaOH) to replace halogen with OH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臭氧层破坏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Destruction of stratospheric ozone by radical chain reaction with Cl·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SN2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One-step substitution: rate depends on two species; backside attack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亲核性强弱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Measure of nucleophile's ability to donate electron pair to electrophile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卤代烷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Alkane in which one or more H atoms are replaced by halogen atoms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