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Electrochemistry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20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电池电动势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E°cell = E°cathode – E°anode; positive value indicates feasible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电解槽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Cell in which electrolysis is carried out using external power supply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氧化还原反应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involving transfer of electrons between species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能斯特方程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Shows how electrode potential varies with concentration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可行性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is feasible if Ecell &gt; 0 (or ΔG &lt; 0)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电动势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Electromotive force; maximum potential difference produced by a cell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歧化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Element simultaneously oxidised and reduced in the same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法拉第常数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Charge carried by one mole of electrons: 96500 C mol⁻¹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标准电极电位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Electrode potential measured under standard conditions (E°)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腐蚀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Oxidation of metals by environment; iron rusting is an electrochemical process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电极电位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EMF of a half-cell measured relative to standard hydrogen electrode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阴极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Electrode where reduction occurs (gains electrons)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还原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Gain of electrons; decrease in oxidation number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Loss of electrons; increase in oxidation number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半电池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One electrode and its electrolyte in an electrochemical cell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阳极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Electrode where oxidation occurs (loses electrons)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电化学电池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Device that converts chemical energy into electrical energy via redox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燃料电池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Electrochemical cell generating electricity from fuel oxidation (e.g. H₂/O₂)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标准氢电极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Reference electrode with E° = 0 V; H₂/H⁺ at 1 atm, 1 mol dm⁻³, 298 K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盐桥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Allows ion flow between half-cells to maintain electrical neutrality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Use of electric current to drive a non-spontaneous redox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法拉第定律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Mass of product in electrolysis is proportional to charge passed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电池符号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Shorthand representation: anode | solution || solution | cathode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____/23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