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Reaction Kinetics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22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反应速率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change in concentration of a reactant or product per unit time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活化能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minimum energy required for a reaction to occur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阿伦尼乌斯常数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(pre-exponential factor) in the Arrhenius equation, related to frequency of collisions with correct orientation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零级反应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order where rate is independent of concentration of that reactant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决速步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slowest step in a reaction mechanism that determines the overall rate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半衰期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time taken for the concentration of a reactant to fall to half its initial value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一级反应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order where rate is directly proportional to concentration of that reactant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多相催化剂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catalyst that is in a different phase from the reactants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催化剂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substance that increases reaction rate without being consumed overall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频率因子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pre-exponential factor A in the Arrhenius equation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反应级数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power to which a concentration is raised in the rate equation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速率方程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 expression relating the rate of reaction to the concentrations of reactants: rate = k[A]ᵐ[B]ⁿ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中间体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species formed during a reaction that is consumed in a later step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速率常数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k in the rate equation; its value depends on temperature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阿伦尼乌斯方程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k = Ae^(-Ea/RT), relating rate constant to temperature and activation energy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初始速率法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method of determining reaction orders by measuring rates at the start of the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总反应级数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The sum of the individual orders of all reactants in the rate equation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反应机理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step-by-step description of how a reaction proceeds at the molecular level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二级反应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order where rate is proportional to the square of the concentration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均相催化剂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 catalyst that is in the same phase as the reactants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____/20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