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Carboxylic Acids &amp; Derivatives</w:t>
      </w:r>
      <w:r/>
    </w:p>
    <w:p>
      <w:pPr>
        <w:spacing w:after="40"/>
        <w:jc w:val="center"/>
      </w:pPr>
      <w:r>
        <w:rPr>
          <w:color w:val="64748B"/>
          <w:sz w:val="20"/>
        </w:rPr>
        <w:t>Chapter 26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等电点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pH at which amino acid has equal + and – charges; net charge = 0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霍夫曼降解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Amide + Br₂/NaOH → primary amine with one fewer carbon atom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缩聚物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Polymer formed with elimination of small molecule (e.g. H₂O or HCl)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羧酸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Compound containing –COOH group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聚酯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Condensation polymer formed between diol and dicarboxylic acid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酸酐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RCO–O–OCR; less reactive acylating agent than acyl chloride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酰胺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Compound with –CONH₂ group; formed from carboxylic acid + amine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伯胺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Amine with one alkyl/aryl group on N: RNH₂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胺的碱性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Amines are weak bases; lone pair on N accepts protons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Compound with one or more –NH₂ groups; basic due to lone pair on 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两性离子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Internal salt form of amino acid at isoelectric point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聚酰胺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Condensation polymer formed between diamine and dicarboxylic acid (e.g. nylon)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氨基酸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Compound with both –NH₂ and –COOH groups; building block of proteins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亲核酰基取代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Mechanism for reactions of acyl chlorides and anhydrides with nucleophiles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Compound formed from alcohol + carboxylic acid/acyl chloride; contains –COO–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仲胺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Amine with two alkyl/aryl groups on N: R₂NH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酯的水解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Ester + H₂O → acid + alcohol (acid catalysed); ester + NaOH → salt + alcohol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肽键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–CO–NH– linkage between amino acids in a peptide/protein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皂化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Alkaline hydrolysis of ester to produce alcohol and carboxylate salt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酰氯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RCOX; very reactive acylating agent; reacts vigorously with water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____/20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