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Analytical Chemistry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30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分子离子峰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peak at the highest m/z in a mass spectrum corresponding to M⁺, the molecular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四峰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NMR peak split into 4 lines due to 3 neighbouring equivalent protons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吸收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process by which radiation is taken up by a substance, causing molecular vibrations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化学位移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position of an NMR peak measured in ppm relative to TMS (δ = 0)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质谱法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technique for identifying compounds by measuring the mass-to-charge ratios of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波数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number of wavelengths per centimetre (cm⁻¹); used to indicate position of IR absorption peaks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指纹区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region of an IR spectrum below 1500 cm⁻¹ that is unique to each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等价质子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Protons in the same chemical environment that give a single NMR signal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积分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area under an NMR peak, proportional to the number of equivalent protons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核磁共振光谱法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technique using the behaviour of atomic nuclei in a magnetic field to determine molecular structure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四甲基硅烷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Tetramethylsilane, Si(CH₃)₄; the reference standard for NMR chemical shift (δ = 0 ppm)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质子核磁共振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NMR spectroscopy using ¹H nuclei; the most common type used in organic structure determination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三峰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NMR peak split into 3 lines due to 2 neighbouring equivalent protons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红外光谱法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technique that identifies functional groups by measuring absorption of infrared radiation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双峰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NMR peak split into 2 lines due to 1 neighbouring proton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碎片化模式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characteristic way a molecule breaks apart in a mass spectrometer, used for identification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自旋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自旋偶合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Interaction between neighbouring nuclear spins that causes peak splitting in NMR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-13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核磁共振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NMR spectroscopy using ¹³C nuclei; each unique carbon environment gives one peak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基峰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most intense peak in a mass spectrum, set to 100% relative abundance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n+1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规则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¹H NMR peak is split into (n+1) lines by n equivalent neighbouring protons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