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Project Group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Please provide the following information regarding the project group members: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•</w:t>
      </w:r>
      <w:r w:rsidDel="00000000" w:rsidR="00000000" w:rsidRPr="00000000">
        <w:rPr>
          <w:b w:val="1"/>
          <w:sz w:val="25"/>
          <w:szCs w:val="25"/>
          <w:rtl w:val="0"/>
        </w:rPr>
        <w:t xml:space="preserve">A list of project group members.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Roman Sydorchuk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Spencer Sumner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Kacper Malysa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Yurun Liu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Mingxi Xia </w:t>
      </w:r>
    </w:p>
    <w:p w:rsidR="00000000" w:rsidDel="00000000" w:rsidP="00000000" w:rsidRDefault="00000000" w:rsidRPr="00000000" w14:paraId="00000009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•</w:t>
      </w:r>
      <w:r w:rsidDel="00000000" w:rsidR="00000000" w:rsidRPr="00000000">
        <w:rPr>
          <w:b w:val="1"/>
          <w:sz w:val="25"/>
          <w:szCs w:val="25"/>
          <w:rtl w:val="0"/>
        </w:rPr>
        <w:t xml:space="preserve">A designated project group leader.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Kacper Malysa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Project Topic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Please provide the following information regarding the project topic area:</w:t>
      </w:r>
    </w:p>
    <w:p w:rsidR="00000000" w:rsidDel="00000000" w:rsidP="00000000" w:rsidRDefault="00000000" w:rsidRPr="00000000" w14:paraId="0000000F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•</w:t>
      </w:r>
      <w:r w:rsidDel="00000000" w:rsidR="00000000" w:rsidRPr="00000000">
        <w:rPr>
          <w:b w:val="1"/>
          <w:sz w:val="25"/>
          <w:szCs w:val="25"/>
          <w:rtl w:val="0"/>
        </w:rPr>
        <w:t xml:space="preserve">Application subject area (e.g., astronomy, biology, social services, etc.)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Subject area is public health, specifically public health responses to the COVID-19 epidemic within the United States. The question of interest is the overall effectiveness of various public health policies instituted in response to the pandemic.  </w:t>
      </w:r>
    </w:p>
    <w:p w:rsidR="00000000" w:rsidDel="00000000" w:rsidP="00000000" w:rsidRDefault="00000000" w:rsidRPr="00000000" w14:paraId="00000012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•</w:t>
      </w:r>
      <w:r w:rsidDel="00000000" w:rsidR="00000000" w:rsidRPr="00000000">
        <w:rPr>
          <w:b w:val="1"/>
          <w:sz w:val="25"/>
          <w:szCs w:val="25"/>
          <w:rtl w:val="0"/>
        </w:rPr>
        <w:t xml:space="preserve">Specific data set and sources (e.g., Kaggle, Google Public Datasets, etc.)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Data retrieved from the C3 AI COVID-19 Data Lake, as well as the Kaiser Family Foundation’s State Data and Policy Actions webpage. </w:t>
      </w:r>
    </w:p>
    <w:p w:rsidR="00000000" w:rsidDel="00000000" w:rsidP="00000000" w:rsidRDefault="00000000" w:rsidRPr="00000000" w14:paraId="00000015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Data Lake: </w:t>
      </w:r>
    </w:p>
    <w:p w:rsidR="00000000" w:rsidDel="00000000" w:rsidP="00000000" w:rsidRDefault="00000000" w:rsidRPr="00000000" w14:paraId="00000017">
      <w:pPr>
        <w:pageBreakBefore w:val="0"/>
        <w:rPr>
          <w:sz w:val="25"/>
          <w:szCs w:val="25"/>
        </w:rPr>
      </w:pPr>
      <w:hyperlink r:id="rId6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https://c3.ai/products/c3-ai-covid-19-data-lake/</w:t>
        </w:r>
      </w:hyperlink>
      <w:r w:rsidDel="00000000" w:rsidR="00000000" w:rsidRPr="00000000">
        <w:rPr>
          <w:sz w:val="25"/>
          <w:szCs w:val="25"/>
          <w:rtl w:val="0"/>
        </w:rPr>
        <w:t xml:space="preserve"> (must request access)</w:t>
      </w:r>
    </w:p>
    <w:p w:rsidR="00000000" w:rsidDel="00000000" w:rsidP="00000000" w:rsidRDefault="00000000" w:rsidRPr="00000000" w14:paraId="00000018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KFF State Data: </w:t>
      </w:r>
      <w:hyperlink r:id="rId7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https://www.kff.org/coronavirus-covid-19/issue-brief/state-data-and-policy-actions-to-address-coronavirus/</w:t>
        </w:r>
      </w:hyperlink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•</w:t>
      </w:r>
      <w:r w:rsidDel="00000000" w:rsidR="00000000" w:rsidRPr="00000000">
        <w:rPr>
          <w:b w:val="1"/>
          <w:sz w:val="25"/>
          <w:szCs w:val="25"/>
          <w:rtl w:val="0"/>
        </w:rPr>
        <w:t xml:space="preserve">Reference resources (e.g., Articles, Papers, Existing Works, etc.)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Nature Article on large scale anti-contagion policies and their effect on COVID rates.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Hsiang, S., Allen, D., Annan-Phan, 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The effect of large-scale anti-contagion policies on the COVID-19 pandemic.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584, 262–267 (2020).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https://doi.org/10.1038/s41586-020-2404-8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https://www.nature.com/articles/s41586-020-2404-8#citeas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State-wide effects of shelter-in-place orders on COVID infections within the United States.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hd w:fill="ffffff" w:val="clear"/>
        <w:spacing w:line="360" w:lineRule="auto"/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1c1d1e"/>
          <w:sz w:val="21"/>
          <w:szCs w:val="21"/>
          <w:highlight w:val="white"/>
          <w:rtl w:val="0"/>
        </w:rPr>
        <w:t xml:space="preserve">Dave, D., Friedson, A.I., Matsuzawa, K. and Sabia, J.J. (2020), WHEN DO SHELTER‐IN‐PLACE ORDERS FIGHT COVID‐19 BEST? POLICY HETEROGENEITY ACROSS STATES AND ADOPTION TIME. Econ Inq. doi:</w:t>
      </w:r>
      <w:hyperlink r:id="rId10">
        <w:r w:rsidDel="00000000" w:rsidR="00000000" w:rsidRPr="00000000">
          <w:rPr>
            <w:color w:val="005274"/>
            <w:sz w:val="21"/>
            <w:szCs w:val="21"/>
            <w:highlight w:val="white"/>
            <w:rtl w:val="0"/>
          </w:rPr>
          <w:t xml:space="preserve">10.1111/ecin.12944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shd w:fill="ffffff" w:val="clear"/>
        <w:spacing w:line="360" w:lineRule="auto"/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https://onlinelibrary.wiley.com/doi/full/10.1111/ecin.12944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•</w:t>
      </w:r>
      <w:r w:rsidDel="00000000" w:rsidR="00000000" w:rsidRPr="00000000">
        <w:rPr>
          <w:b w:val="1"/>
          <w:sz w:val="25"/>
          <w:szCs w:val="25"/>
          <w:rtl w:val="0"/>
        </w:rPr>
        <w:t xml:space="preserve">Supplemental resources (e.g., Reference Datasets, Software, etc.)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RStudio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c3.ai COVID-19 API Documentation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Github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Communication: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Whatsapp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Google Hangouts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nlinelibrary.wiley.com/doi/full/10.1111/ecin.12944" TargetMode="External"/><Relationship Id="rId10" Type="http://schemas.openxmlformats.org/officeDocument/2006/relationships/hyperlink" Target="https://doi.org/10.1111/ecin.12944" TargetMode="External"/><Relationship Id="rId9" Type="http://schemas.openxmlformats.org/officeDocument/2006/relationships/hyperlink" Target="https://www.nature.com/articles/s41586-020-2404-8#citeas" TargetMode="External"/><Relationship Id="rId5" Type="http://schemas.openxmlformats.org/officeDocument/2006/relationships/styles" Target="styles.xml"/><Relationship Id="rId6" Type="http://schemas.openxmlformats.org/officeDocument/2006/relationships/hyperlink" Target="https://c3.ai/products/c3-ai-covid-19-data-lake/" TargetMode="External"/><Relationship Id="rId7" Type="http://schemas.openxmlformats.org/officeDocument/2006/relationships/hyperlink" Target="https://www.kff.org/coronavirus-covid-19/issue-brief/state-data-and-policy-actions-to-address-coronavirus/" TargetMode="External"/><Relationship Id="rId8" Type="http://schemas.openxmlformats.org/officeDocument/2006/relationships/hyperlink" Target="https://doi.org/10.1038/s41586-020-2404-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