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A5111" w:rsidRPr="0050433E" w:rsidRDefault="00000000" w:rsidP="0050433E">
      <w:pPr>
        <w:pStyle w:val="Title"/>
        <w:spacing w:after="0"/>
        <w:jc w:val="center"/>
        <w:rPr>
          <w:rFonts w:ascii="Times New Roman" w:hAnsi="Times New Roman" w:cs="Times New Roman"/>
        </w:rPr>
      </w:pPr>
      <w:r w:rsidRPr="0050433E">
        <w:rPr>
          <w:rFonts w:ascii="Times New Roman" w:hAnsi="Times New Roman" w:cs="Times New Roman"/>
        </w:rPr>
        <w:t>Online Appendix</w:t>
      </w:r>
    </w:p>
    <w:p w:rsidR="0050433E" w:rsidRDefault="0050433E" w:rsidP="0050433E">
      <w:pPr>
        <w:spacing w:after="0" w:line="240" w:lineRule="auto"/>
        <w:jc w:val="center"/>
        <w:rPr>
          <w:rFonts w:cs="Times New Roman"/>
          <w:i/>
          <w:lang w:eastAsia="zh-CN"/>
        </w:rPr>
      </w:pPr>
    </w:p>
    <w:p w:rsidR="006A5111" w:rsidRPr="00C04694" w:rsidRDefault="00000000" w:rsidP="0050433E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C04694">
        <w:rPr>
          <w:rFonts w:cs="Times New Roman"/>
          <w:i/>
          <w:sz w:val="24"/>
          <w:szCs w:val="24"/>
        </w:rPr>
        <w:t>Representative Bureaucracy in Private Philanthropy: Testing Discretion and Racial Representation in Community Foundation Grantmaking</w:t>
      </w:r>
    </w:p>
    <w:p w:rsidR="0050433E" w:rsidRDefault="0050433E" w:rsidP="0050433E">
      <w:pPr>
        <w:pStyle w:val="Heading1"/>
        <w:spacing w:before="0" w:line="240" w:lineRule="auto"/>
        <w:rPr>
          <w:rFonts w:ascii="Times New Roman" w:hAnsi="Times New Roman" w:cs="Times New Roman"/>
          <w:lang w:eastAsia="zh-CN"/>
        </w:rPr>
      </w:pPr>
    </w:p>
    <w:p w:rsidR="0050433E" w:rsidRPr="0050433E" w:rsidRDefault="00000000" w:rsidP="003563E9">
      <w:pPr>
        <w:pStyle w:val="Heading1"/>
        <w:spacing w:before="0" w:line="480" w:lineRule="auto"/>
        <w:rPr>
          <w:rFonts w:ascii="Times New Roman" w:hAnsi="Times New Roman" w:cs="Times New Roman"/>
          <w:lang w:eastAsia="zh-CN"/>
        </w:rPr>
      </w:pPr>
      <w:bookmarkStart w:id="0" w:name="OLE_LINK46"/>
      <w:bookmarkStart w:id="1" w:name="OLE_LINK47"/>
      <w:r w:rsidRPr="0050433E">
        <w:rPr>
          <w:rFonts w:ascii="Times New Roman" w:hAnsi="Times New Roman" w:cs="Times New Roman"/>
        </w:rPr>
        <w:t>Appendix A Community Foundation Year Analysis</w:t>
      </w:r>
    </w:p>
    <w:p w:rsidR="006A5111" w:rsidRPr="0050433E" w:rsidRDefault="00000000" w:rsidP="0050433E">
      <w:pPr>
        <w:spacing w:after="0" w:line="480" w:lineRule="auto"/>
        <w:ind w:firstLine="720"/>
        <w:jc w:val="both"/>
        <w:rPr>
          <w:rFonts w:cs="Times New Roman"/>
          <w:sz w:val="24"/>
          <w:szCs w:val="24"/>
        </w:rPr>
      </w:pPr>
      <w:r w:rsidRPr="0050433E">
        <w:rPr>
          <w:rFonts w:cs="Times New Roman"/>
          <w:sz w:val="24"/>
          <w:szCs w:val="24"/>
        </w:rPr>
        <w:t>The dependent variable in the primary analysis is a grantee</w:t>
      </w:r>
      <w:r w:rsidR="0050433E" w:rsidRPr="0050433E">
        <w:rPr>
          <w:rFonts w:cs="Times New Roman"/>
          <w:sz w:val="24"/>
          <w:szCs w:val="24"/>
          <w:lang w:eastAsia="zh-CN"/>
        </w:rPr>
        <w:t>’</w:t>
      </w:r>
      <w:r w:rsidRPr="0050433E">
        <w:rPr>
          <w:rFonts w:cs="Times New Roman"/>
          <w:sz w:val="24"/>
          <w:szCs w:val="24"/>
        </w:rPr>
        <w:t>s percentage share of a community foundation</w:t>
      </w:r>
      <w:r w:rsidR="0050433E">
        <w:rPr>
          <w:rFonts w:cs="Times New Roman"/>
          <w:sz w:val="24"/>
          <w:szCs w:val="24"/>
          <w:lang w:eastAsia="zh-CN"/>
        </w:rPr>
        <w:t>’</w:t>
      </w:r>
      <w:r w:rsidRPr="0050433E">
        <w:rPr>
          <w:rFonts w:cs="Times New Roman"/>
          <w:sz w:val="24"/>
          <w:szCs w:val="24"/>
        </w:rPr>
        <w:t>s annual grant volume. Grantee observations within the same foundation-year therefore share a common denominator and operate within the same grant environment. Clustering standard errors at the community foundation level accounts for within-foundation correlation in estimated uncertainty, but it does not remove the compositional structure of the outcome.</w:t>
      </w:r>
    </w:p>
    <w:p w:rsidR="006A5111" w:rsidRPr="0050433E" w:rsidRDefault="00000000" w:rsidP="0050433E">
      <w:pPr>
        <w:spacing w:after="0" w:line="480" w:lineRule="auto"/>
        <w:ind w:firstLine="720"/>
        <w:jc w:val="both"/>
        <w:rPr>
          <w:rFonts w:cs="Times New Roman"/>
          <w:sz w:val="24"/>
          <w:szCs w:val="24"/>
        </w:rPr>
      </w:pPr>
      <w:r w:rsidRPr="0050433E">
        <w:rPr>
          <w:rFonts w:cs="Times New Roman"/>
          <w:sz w:val="24"/>
          <w:szCs w:val="24"/>
        </w:rPr>
        <w:t>Changes in an observed share may reflect changes in the amount awarded to a grantee, the foundation</w:t>
      </w:r>
      <w:r w:rsidR="003563E9">
        <w:rPr>
          <w:rFonts w:cs="Times New Roman"/>
          <w:sz w:val="24"/>
          <w:szCs w:val="24"/>
          <w:lang w:eastAsia="zh-CN"/>
        </w:rPr>
        <w:t>’</w:t>
      </w:r>
      <w:r w:rsidRPr="0050433E">
        <w:rPr>
          <w:rFonts w:cs="Times New Roman"/>
          <w:sz w:val="24"/>
          <w:szCs w:val="24"/>
        </w:rPr>
        <w:t>s total grant volume, reallocations elsewhere in its portfolio, the number or composition of grantees, or administrative and reporting practices. The measure therefore captures a grantee</w:t>
      </w:r>
      <w:r w:rsidR="0050433E">
        <w:rPr>
          <w:rFonts w:cs="Times New Roman"/>
          <w:sz w:val="24"/>
          <w:szCs w:val="24"/>
          <w:lang w:eastAsia="zh-CN"/>
        </w:rPr>
        <w:t>’</w:t>
      </w:r>
      <w:r w:rsidRPr="0050433E">
        <w:rPr>
          <w:rFonts w:cs="Times New Roman"/>
          <w:sz w:val="24"/>
          <w:szCs w:val="24"/>
        </w:rPr>
        <w:t xml:space="preserve">s relative position within the observed grant portfolio. </w:t>
      </w:r>
    </w:p>
    <w:p w:rsidR="003563E9" w:rsidRDefault="00000000" w:rsidP="003563E9">
      <w:pPr>
        <w:spacing w:after="0" w:line="480" w:lineRule="auto"/>
        <w:ind w:firstLine="720"/>
        <w:jc w:val="both"/>
        <w:rPr>
          <w:rFonts w:cs="Times New Roman"/>
          <w:sz w:val="24"/>
          <w:szCs w:val="24"/>
          <w:lang w:eastAsia="zh-CN"/>
        </w:rPr>
      </w:pPr>
      <w:r w:rsidRPr="0050433E">
        <w:rPr>
          <w:rFonts w:cs="Times New Roman"/>
          <w:sz w:val="24"/>
          <w:szCs w:val="24"/>
        </w:rPr>
        <w:t>Table A1 reports complementary models at the community foundation-year level. The outcome is the percentage of each foundation</w:t>
      </w:r>
      <w:r w:rsidR="00EC3CAB">
        <w:rPr>
          <w:rFonts w:cs="Times New Roman"/>
          <w:sz w:val="24"/>
          <w:szCs w:val="24"/>
          <w:lang w:eastAsia="zh-CN"/>
        </w:rPr>
        <w:t>’</w:t>
      </w:r>
      <w:r w:rsidRPr="0050433E">
        <w:rPr>
          <w:rFonts w:cs="Times New Roman"/>
          <w:sz w:val="24"/>
          <w:szCs w:val="24"/>
        </w:rPr>
        <w:t>s observed annual grant volume allocated to organizations serving people of color. Leadership racial representation is positively associated with this aggregated share in the baseline model 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50433E">
        <w:rPr>
          <w:rFonts w:cs="Times New Roman"/>
          <w:sz w:val="24"/>
          <w:szCs w:val="24"/>
        </w:rPr>
        <w:t xml:space="preserve"> = 0.128, </w:t>
      </w:r>
      <w:r w:rsidR="0050433E" w:rsidRPr="0050433E">
        <w:rPr>
          <w:rFonts w:cs="Times New Roman"/>
          <w:sz w:val="24"/>
          <w:szCs w:val="24"/>
        </w:rPr>
        <w:t>p &lt; 0.0</w:t>
      </w:r>
      <w:r w:rsidR="0050433E">
        <w:rPr>
          <w:rFonts w:cs="Times New Roman" w:hint="eastAsia"/>
          <w:sz w:val="24"/>
          <w:szCs w:val="24"/>
          <w:lang w:eastAsia="zh-CN"/>
        </w:rPr>
        <w:t>5</w:t>
      </w:r>
      <w:r w:rsidRPr="0050433E">
        <w:rPr>
          <w:rFonts w:cs="Times New Roman"/>
          <w:sz w:val="24"/>
          <w:szCs w:val="24"/>
        </w:rPr>
        <w:t>). In the interaction model, neither the leadership coefficient 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50433E">
        <w:rPr>
          <w:rFonts w:cs="Times New Roman"/>
          <w:sz w:val="24"/>
          <w:szCs w:val="24"/>
        </w:rPr>
        <w:t xml:space="preserve">= 0.138, </w:t>
      </w:r>
      <w:r w:rsidR="0050433E" w:rsidRPr="0050433E">
        <w:rPr>
          <w:rFonts w:cs="Times New Roman"/>
          <w:sz w:val="24"/>
          <w:szCs w:val="24"/>
        </w:rPr>
        <w:t xml:space="preserve">p </w:t>
      </w:r>
      <w:r w:rsidR="0050433E" w:rsidRPr="0050433E">
        <w:rPr>
          <w:rFonts w:cs="Times New Roman" w:hint="eastAsia"/>
          <w:sz w:val="24"/>
          <w:szCs w:val="24"/>
        </w:rPr>
        <w:t>&gt;</w:t>
      </w:r>
      <w:r w:rsidR="0050433E" w:rsidRPr="0050433E">
        <w:rPr>
          <w:rFonts w:cs="Times New Roman"/>
          <w:sz w:val="24"/>
          <w:szCs w:val="24"/>
        </w:rPr>
        <w:t xml:space="preserve"> 0.1</w:t>
      </w:r>
      <w:r w:rsidRPr="0050433E">
        <w:rPr>
          <w:rFonts w:cs="Times New Roman"/>
          <w:sz w:val="24"/>
          <w:szCs w:val="24"/>
        </w:rPr>
        <w:t>) nor its interaction with donor advised fund contributions (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50433E">
        <w:rPr>
          <w:rFonts w:cs="Times New Roman"/>
          <w:sz w:val="24"/>
          <w:szCs w:val="24"/>
        </w:rPr>
        <w:t xml:space="preserve"> = -0.001, </w:t>
      </w:r>
      <w:r w:rsidR="0050433E" w:rsidRPr="0050433E">
        <w:rPr>
          <w:rFonts w:cs="Times New Roman"/>
          <w:sz w:val="24"/>
          <w:szCs w:val="24"/>
        </w:rPr>
        <w:t xml:space="preserve">p </w:t>
      </w:r>
      <w:r w:rsidR="0050433E" w:rsidRPr="0050433E">
        <w:rPr>
          <w:rFonts w:cs="Times New Roman" w:hint="eastAsia"/>
          <w:sz w:val="24"/>
          <w:szCs w:val="24"/>
        </w:rPr>
        <w:t>&gt;</w:t>
      </w:r>
      <w:r w:rsidR="0050433E" w:rsidRPr="0050433E">
        <w:rPr>
          <w:rFonts w:cs="Times New Roman"/>
          <w:sz w:val="24"/>
          <w:szCs w:val="24"/>
        </w:rPr>
        <w:t xml:space="preserve"> 0.1</w:t>
      </w:r>
      <w:r w:rsidRPr="0050433E">
        <w:rPr>
          <w:rFonts w:cs="Times New Roman"/>
          <w:sz w:val="24"/>
          <w:szCs w:val="24"/>
        </w:rPr>
        <w:t xml:space="preserve">) is precisely estimated. </w:t>
      </w:r>
      <w:bookmarkEnd w:id="0"/>
      <w:bookmarkEnd w:id="1"/>
    </w:p>
    <w:p w:rsidR="003563E9" w:rsidRDefault="003563E9" w:rsidP="003563E9">
      <w:pPr>
        <w:spacing w:after="0" w:line="480" w:lineRule="auto"/>
        <w:ind w:firstLine="720"/>
        <w:jc w:val="both"/>
        <w:rPr>
          <w:rFonts w:cs="Times New Roman"/>
          <w:sz w:val="24"/>
          <w:szCs w:val="24"/>
          <w:lang w:eastAsia="zh-CN"/>
        </w:rPr>
      </w:pPr>
      <w:r w:rsidRPr="003563E9">
        <w:rPr>
          <w:rFonts w:cs="Times New Roman"/>
          <w:sz w:val="24"/>
          <w:szCs w:val="24"/>
          <w:lang w:eastAsia="zh-CN"/>
        </w:rPr>
        <w:t xml:space="preserve">Aggregation changes </w:t>
      </w:r>
      <w:r w:rsidR="00C836B2" w:rsidRPr="00C836B2">
        <w:rPr>
          <w:rFonts w:cs="Times New Roman"/>
          <w:sz w:val="24"/>
          <w:szCs w:val="24"/>
          <w:lang w:eastAsia="zh-CN"/>
        </w:rPr>
        <w:t>the substantive question addressed by the model</w:t>
      </w:r>
      <w:r w:rsidR="00C836B2">
        <w:rPr>
          <w:rFonts w:cs="Times New Roman" w:hint="eastAsia"/>
          <w:sz w:val="24"/>
          <w:szCs w:val="24"/>
          <w:lang w:eastAsia="zh-CN"/>
        </w:rPr>
        <w:t xml:space="preserve"> </w:t>
      </w:r>
      <w:r w:rsidRPr="003563E9">
        <w:rPr>
          <w:rFonts w:cs="Times New Roman"/>
          <w:sz w:val="24"/>
          <w:szCs w:val="24"/>
          <w:lang w:eastAsia="zh-CN"/>
        </w:rPr>
        <w:t xml:space="preserve">because it removes the within-foundation comparison between organizations serving people of color and other grantees that is central to the moderating hypothesis. Organizations serving people of color also account for a relatively small share of most foundations’ grantee pools (mean = 7.8%, median = 1.7%), making the aggregate specification a less direct and less precise assessment of moderation. The imprecise interaction estimate therefore does not constitute an equivalent re-test of the grantee-level interaction, although it also does </w:t>
      </w:r>
      <w:r w:rsidRPr="003563E9">
        <w:rPr>
          <w:rFonts w:cs="Times New Roman"/>
          <w:sz w:val="24"/>
          <w:szCs w:val="24"/>
          <w:lang w:eastAsia="zh-CN"/>
        </w:rPr>
        <w:lastRenderedPageBreak/>
        <w:t>not provide additional evidence in support of that relationship. The foundation-year models are best interpreted as complementary evidence concerning the aggregate association between leadership representation and allocation to organizations serving people of color.</w:t>
      </w:r>
    </w:p>
    <w:p w:rsidR="006A5111" w:rsidRPr="00EC3CAB" w:rsidRDefault="00000000" w:rsidP="003563E9">
      <w:pPr>
        <w:spacing w:after="0" w:line="240" w:lineRule="auto"/>
        <w:jc w:val="both"/>
        <w:rPr>
          <w:sz w:val="24"/>
          <w:szCs w:val="24"/>
          <w:lang w:eastAsia="zh-CN"/>
        </w:rPr>
      </w:pPr>
      <w:r w:rsidRPr="00EC3CAB">
        <w:rPr>
          <w:b/>
          <w:sz w:val="24"/>
          <w:szCs w:val="24"/>
        </w:rPr>
        <w:t>Table A1</w:t>
      </w:r>
      <w:r w:rsidR="00EC3CAB" w:rsidRPr="00EC3CAB">
        <w:rPr>
          <w:rFonts w:hint="eastAsia"/>
          <w:b/>
          <w:sz w:val="24"/>
          <w:szCs w:val="24"/>
          <w:lang w:eastAsia="zh-CN"/>
        </w:rPr>
        <w:t>.</w:t>
      </w:r>
      <w:r w:rsidRPr="00EC3CAB">
        <w:rPr>
          <w:b/>
          <w:sz w:val="24"/>
          <w:szCs w:val="24"/>
        </w:rPr>
        <w:t xml:space="preserve"> Community Foundation-Year Models of Grant Allocation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86"/>
        <w:gridCol w:w="2697"/>
        <w:gridCol w:w="2699"/>
      </w:tblGrid>
      <w:tr w:rsidR="007664FB" w:rsidRPr="00EC3CAB" w:rsidTr="007664FB">
        <w:trPr>
          <w:trHeight w:val="303"/>
        </w:trPr>
        <w:tc>
          <w:tcPr>
            <w:tcW w:w="2401" w:type="pct"/>
            <w:tcBorders>
              <w:left w:val="nil"/>
              <w:bottom w:val="nil"/>
              <w:right w:val="nil"/>
            </w:tcBorders>
          </w:tcPr>
          <w:p w:rsidR="007664FB" w:rsidRPr="00EC3CAB" w:rsidRDefault="007664FB">
            <w:pPr>
              <w:jc w:val="center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2599" w:type="pct"/>
            <w:gridSpan w:val="2"/>
            <w:tcBorders>
              <w:left w:val="nil"/>
              <w:right w:val="nil"/>
            </w:tcBorders>
          </w:tcPr>
          <w:p w:rsidR="007664FB" w:rsidRPr="007664FB" w:rsidRDefault="007664FB">
            <w:pPr>
              <w:jc w:val="center"/>
              <w:rPr>
                <w:b/>
                <w:color w:val="FFFFFF"/>
                <w:sz w:val="24"/>
                <w:szCs w:val="24"/>
              </w:rPr>
            </w:pPr>
            <w:r w:rsidRPr="007664FB">
              <w:rPr>
                <w:rStyle w:val="Emphasis"/>
                <w:rFonts w:cs="Times New Roman"/>
                <w:sz w:val="24"/>
                <w:szCs w:val="24"/>
              </w:rPr>
              <w:t>Dependent variable</w:t>
            </w:r>
          </w:p>
        </w:tc>
      </w:tr>
      <w:tr w:rsidR="007664FB" w:rsidRPr="00EC3CAB" w:rsidTr="007664FB">
        <w:trPr>
          <w:trHeight w:val="357"/>
        </w:trPr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jc w:val="center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2599" w:type="pct"/>
            <w:gridSpan w:val="2"/>
            <w:tcBorders>
              <w:left w:val="nil"/>
              <w:right w:val="nil"/>
            </w:tcBorders>
          </w:tcPr>
          <w:p w:rsidR="007664FB" w:rsidRPr="00EC3CAB" w:rsidRDefault="007664FB">
            <w:pPr>
              <w:jc w:val="center"/>
              <w:rPr>
                <w:b/>
                <w:color w:val="FFFFFF"/>
                <w:sz w:val="24"/>
                <w:szCs w:val="24"/>
              </w:rPr>
            </w:pPr>
            <w:r w:rsidRPr="007664FB">
              <w:rPr>
                <w:bCs/>
                <w:color w:val="000000" w:themeColor="text1"/>
                <w:sz w:val="24"/>
                <w:szCs w:val="24"/>
              </w:rPr>
              <w:t>% grant volume to grantees serving people of color</w:t>
            </w:r>
          </w:p>
        </w:tc>
      </w:tr>
      <w:tr w:rsidR="007664FB" w:rsidRPr="00EC3CAB" w:rsidTr="007664FB">
        <w:trPr>
          <w:trHeight w:val="303"/>
        </w:trPr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jc w:val="center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99" w:type="pct"/>
            <w:tcBorders>
              <w:left w:val="nil"/>
              <w:bottom w:val="single" w:sz="4" w:space="0" w:color="auto"/>
              <w:right w:val="nil"/>
            </w:tcBorders>
          </w:tcPr>
          <w:p w:rsidR="007664FB" w:rsidRPr="007664FB" w:rsidRDefault="007664FB">
            <w:pPr>
              <w:jc w:val="center"/>
              <w:rPr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7664FB">
              <w:rPr>
                <w:bCs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1300" w:type="pct"/>
            <w:tcBorders>
              <w:left w:val="nil"/>
              <w:bottom w:val="single" w:sz="4" w:space="0" w:color="auto"/>
              <w:right w:val="nil"/>
            </w:tcBorders>
          </w:tcPr>
          <w:p w:rsidR="007664FB" w:rsidRPr="007664FB" w:rsidRDefault="007664FB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7664FB">
              <w:rPr>
                <w:bCs/>
                <w:color w:val="000000" w:themeColor="text1"/>
                <w:sz w:val="24"/>
                <w:szCs w:val="24"/>
              </w:rPr>
              <w:t>(2)</w:t>
            </w:r>
          </w:p>
        </w:tc>
      </w:tr>
      <w:tr w:rsidR="006A5111" w:rsidRPr="00EC3CAB" w:rsidTr="007664FB">
        <w:trPr>
          <w:trHeight w:val="258"/>
        </w:trPr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jc w:val="center"/>
              <w:rPr>
                <w:sz w:val="24"/>
                <w:szCs w:val="24"/>
              </w:rPr>
            </w:pPr>
            <w:r w:rsidRPr="00EC3CAB">
              <w:rPr>
                <w:b/>
                <w:color w:val="FFFFFF"/>
                <w:sz w:val="24"/>
                <w:szCs w:val="24"/>
              </w:rPr>
              <w:t>Variables</w:t>
            </w:r>
          </w:p>
        </w:tc>
        <w:tc>
          <w:tcPr>
            <w:tcW w:w="1299" w:type="pct"/>
            <w:tcBorders>
              <w:left w:val="nil"/>
              <w:bottom w:val="nil"/>
              <w:right w:val="nil"/>
            </w:tcBorders>
          </w:tcPr>
          <w:p w:rsidR="006A5111" w:rsidRPr="007664FB" w:rsidRDefault="00000000">
            <w:pPr>
              <w:jc w:val="center"/>
              <w:rPr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7664FB">
              <w:rPr>
                <w:bCs/>
                <w:color w:val="000000" w:themeColor="text1"/>
                <w:sz w:val="24"/>
                <w:szCs w:val="24"/>
              </w:rPr>
              <w:t>Baseline</w:t>
            </w:r>
          </w:p>
        </w:tc>
        <w:tc>
          <w:tcPr>
            <w:tcW w:w="1300" w:type="pct"/>
            <w:tcBorders>
              <w:left w:val="nil"/>
              <w:bottom w:val="nil"/>
              <w:right w:val="nil"/>
            </w:tcBorders>
          </w:tcPr>
          <w:p w:rsidR="006A5111" w:rsidRPr="007664FB" w:rsidRDefault="00000000">
            <w:pPr>
              <w:jc w:val="center"/>
              <w:rPr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7664FB">
              <w:rPr>
                <w:bCs/>
                <w:color w:val="000000" w:themeColor="text1"/>
                <w:sz w:val="24"/>
                <w:szCs w:val="24"/>
              </w:rPr>
              <w:t>DAF interaction</w:t>
            </w:r>
          </w:p>
        </w:tc>
      </w:tr>
      <w:tr w:rsidR="006A5111" w:rsidRPr="00EC3CAB" w:rsidTr="007664FB">
        <w:trPr>
          <w:trHeight w:hRule="exact" w:val="20"/>
        </w:trPr>
        <w:tc>
          <w:tcPr>
            <w:tcW w:w="24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A5111" w:rsidRPr="00EC3CAB" w:rsidRDefault="006A5111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A5111" w:rsidRPr="00EC3CAB" w:rsidRDefault="006A5111">
            <w:pPr>
              <w:rPr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A5111" w:rsidRPr="00EC3CAB" w:rsidRDefault="006A5111">
            <w:pPr>
              <w:rPr>
                <w:sz w:val="24"/>
                <w:szCs w:val="24"/>
              </w:rPr>
            </w:pPr>
          </w:p>
        </w:tc>
      </w:tr>
      <w:tr w:rsidR="006A5111" w:rsidRPr="00EC3CAB" w:rsidTr="000928E5">
        <w:tc>
          <w:tcPr>
            <w:tcW w:w="2401" w:type="pct"/>
            <w:tcBorders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% of people of color in leadership (community foundation)</w:t>
            </w:r>
          </w:p>
        </w:tc>
        <w:tc>
          <w:tcPr>
            <w:tcW w:w="1299" w:type="pct"/>
            <w:tcBorders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0.128*</w:t>
            </w:r>
          </w:p>
        </w:tc>
        <w:tc>
          <w:tcPr>
            <w:tcW w:w="1300" w:type="pct"/>
            <w:tcBorders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0.138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(0.064)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(0.111)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Contribution to DAFs (community foundation) (log)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0.11</w:t>
            </w:r>
            <w:r w:rsidR="007664FB">
              <w:rPr>
                <w:rFonts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0.119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(0.087)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(0.084)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% of people of color in leadership * Contribution to DAFs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6A5111" w:rsidP="000928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-0.001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(0.007)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Assets (community foundation) (log)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0.726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0.733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(0.393)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(0.402)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Age (community foundation) (log)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-0.416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-0.413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(0.724)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(0.721)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% Nonwhite population (community foundation)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0.455**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0.455**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(0.069)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(0.069)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Median income (community foundation) (log)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5.632*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5.639*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(2.750)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(2.746)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Org density (community foundation) (log)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-0.647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-0.647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(0.528)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(0.528)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% Political Ideology_Democratic (community foundation)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0.024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0.024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(0.036)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(0.036)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Region_Midwest (community foundation)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1.622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1.615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(1.175)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(1.169)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Region_Northeast (community foundation)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1.654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1.637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(1.691)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(1.669)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Region_West (community foundation)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-0.855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-0.866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(1.566)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(1.559)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Constant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-73.253*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  <w:lang w:eastAsia="zh-CN"/>
              </w:rPr>
            </w:pPr>
            <w:r w:rsidRPr="00EC3CAB">
              <w:rPr>
                <w:sz w:val="24"/>
                <w:szCs w:val="24"/>
              </w:rPr>
              <w:t>-73.489*</w:t>
            </w:r>
          </w:p>
        </w:tc>
      </w:tr>
      <w:tr w:rsidR="007664FB" w:rsidRPr="00EC3CAB" w:rsidTr="000928E5">
        <w:tc>
          <w:tcPr>
            <w:tcW w:w="240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664FB" w:rsidRPr="00EC3CAB" w:rsidRDefault="007664FB">
            <w:pPr>
              <w:rPr>
                <w:sz w:val="24"/>
                <w:szCs w:val="24"/>
              </w:rPr>
            </w:pP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(28.766)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664FB" w:rsidRPr="00EC3CAB" w:rsidRDefault="007664FB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(28.631)</w:t>
            </w:r>
          </w:p>
        </w:tc>
      </w:tr>
      <w:tr w:rsidR="006A5111" w:rsidRPr="00EC3CAB" w:rsidTr="000928E5">
        <w:tc>
          <w:tcPr>
            <w:tcW w:w="2401" w:type="pct"/>
            <w:tcBorders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Observations</w:t>
            </w:r>
          </w:p>
        </w:tc>
        <w:tc>
          <w:tcPr>
            <w:tcW w:w="1299" w:type="pct"/>
            <w:tcBorders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3,762</w:t>
            </w:r>
          </w:p>
        </w:tc>
        <w:tc>
          <w:tcPr>
            <w:tcW w:w="1300" w:type="pct"/>
            <w:tcBorders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3,762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nil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R2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0.268</w:t>
            </w:r>
          </w:p>
        </w:tc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0.268</w:t>
            </w:r>
          </w:p>
        </w:tc>
      </w:tr>
      <w:tr w:rsidR="006A5111" w:rsidRPr="00EC3CAB" w:rsidTr="000928E5">
        <w:tc>
          <w:tcPr>
            <w:tcW w:w="2401" w:type="pct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6A5111" w:rsidRPr="00EC3CAB" w:rsidRDefault="00000000">
            <w:pPr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Adjusted R2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0.265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:rsidR="006A5111" w:rsidRPr="00EC3CAB" w:rsidRDefault="00000000" w:rsidP="000928E5">
            <w:pPr>
              <w:jc w:val="center"/>
              <w:rPr>
                <w:sz w:val="24"/>
                <w:szCs w:val="24"/>
              </w:rPr>
            </w:pPr>
            <w:r w:rsidRPr="00EC3CAB">
              <w:rPr>
                <w:sz w:val="24"/>
                <w:szCs w:val="24"/>
              </w:rPr>
              <w:t>0.265</w:t>
            </w:r>
          </w:p>
        </w:tc>
      </w:tr>
      <w:tr w:rsidR="00185EA0" w:rsidRPr="00EC3CAB" w:rsidTr="00185EA0">
        <w:tc>
          <w:tcPr>
            <w:tcW w:w="5000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185EA0" w:rsidRDefault="00185EA0" w:rsidP="00185EA0">
            <w:pPr>
              <w:rPr>
                <w:i/>
                <w:lang w:eastAsia="zh-CN"/>
              </w:rPr>
            </w:pPr>
            <w:r w:rsidRPr="007664FB">
              <w:rPr>
                <w:i/>
              </w:rPr>
              <w:t>Note: Unstandardized coefficients</w:t>
            </w:r>
            <w:r>
              <w:rPr>
                <w:rFonts w:hint="eastAsia"/>
                <w:i/>
                <w:lang w:eastAsia="zh-CN"/>
              </w:rPr>
              <w:t xml:space="preserve"> are reported</w:t>
            </w:r>
            <w:r w:rsidRPr="007664FB">
              <w:rPr>
                <w:i/>
              </w:rPr>
              <w:t xml:space="preserve"> </w:t>
            </w:r>
            <w:r>
              <w:rPr>
                <w:rFonts w:hint="eastAsia"/>
                <w:i/>
                <w:lang w:eastAsia="zh-CN"/>
              </w:rPr>
              <w:t>in the table</w:t>
            </w:r>
            <w:r w:rsidRPr="007664FB">
              <w:rPr>
                <w:rFonts w:hint="eastAsia"/>
                <w:i/>
                <w:lang w:eastAsia="zh-CN"/>
              </w:rPr>
              <w:t>;</w:t>
            </w:r>
            <w:r w:rsidRPr="007664FB">
              <w:rPr>
                <w:i/>
              </w:rPr>
              <w:t xml:space="preserve"> Standard errors clustered at the community foundation level</w:t>
            </w:r>
            <w:r>
              <w:rPr>
                <w:rFonts w:hint="eastAsia"/>
                <w:i/>
                <w:lang w:eastAsia="zh-CN"/>
              </w:rPr>
              <w:t xml:space="preserve"> are</w:t>
            </w:r>
            <w:r w:rsidRPr="007664FB">
              <w:rPr>
                <w:i/>
              </w:rPr>
              <w:t xml:space="preserve"> in parentheses</w:t>
            </w:r>
            <w:r w:rsidRPr="007664FB">
              <w:rPr>
                <w:rFonts w:hint="eastAsia"/>
                <w:i/>
                <w:lang w:eastAsia="zh-CN"/>
              </w:rPr>
              <w:t>;</w:t>
            </w:r>
            <w:r w:rsidRPr="007664FB">
              <w:rPr>
                <w:rFonts w:eastAsia="Times" w:cs="Times New Roman"/>
                <w:i/>
              </w:rPr>
              <w:t xml:space="preserve"> Years have been controlled for in this analysis</w:t>
            </w:r>
            <w:r w:rsidRPr="007664FB">
              <w:rPr>
                <w:i/>
              </w:rPr>
              <w:t>.</w:t>
            </w:r>
          </w:p>
          <w:p w:rsidR="00185EA0" w:rsidRPr="00185EA0" w:rsidRDefault="00185EA0" w:rsidP="00185EA0">
            <w:pPr>
              <w:jc w:val="right"/>
              <w:rPr>
                <w:lang w:eastAsia="zh-CN"/>
              </w:rPr>
            </w:pPr>
            <w:r w:rsidRPr="007664FB">
              <w:rPr>
                <w:i/>
              </w:rPr>
              <w:t xml:space="preserve"> * p &lt; .05; ** p &lt; .01.</w:t>
            </w:r>
          </w:p>
        </w:tc>
      </w:tr>
    </w:tbl>
    <w:p w:rsidR="006A5111" w:rsidRPr="007664FB" w:rsidRDefault="006A5111" w:rsidP="003563E9">
      <w:pPr>
        <w:spacing w:after="0" w:line="240" w:lineRule="auto"/>
        <w:rPr>
          <w:lang w:eastAsia="zh-CN"/>
        </w:rPr>
      </w:pPr>
    </w:p>
    <w:sectPr w:rsidR="006A5111" w:rsidRPr="007664FB" w:rsidSect="003563E9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268969">
    <w:abstractNumId w:val="8"/>
  </w:num>
  <w:num w:numId="2" w16cid:durableId="1767263924">
    <w:abstractNumId w:val="6"/>
  </w:num>
  <w:num w:numId="3" w16cid:durableId="802693925">
    <w:abstractNumId w:val="5"/>
  </w:num>
  <w:num w:numId="4" w16cid:durableId="252319649">
    <w:abstractNumId w:val="4"/>
  </w:num>
  <w:num w:numId="5" w16cid:durableId="1972903534">
    <w:abstractNumId w:val="7"/>
  </w:num>
  <w:num w:numId="6" w16cid:durableId="1901594444">
    <w:abstractNumId w:val="3"/>
  </w:num>
  <w:num w:numId="7" w16cid:durableId="1858614303">
    <w:abstractNumId w:val="2"/>
  </w:num>
  <w:num w:numId="8" w16cid:durableId="1901750474">
    <w:abstractNumId w:val="1"/>
  </w:num>
  <w:num w:numId="9" w16cid:durableId="84706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8E5"/>
    <w:rsid w:val="0015074B"/>
    <w:rsid w:val="00185EA0"/>
    <w:rsid w:val="001C0E7C"/>
    <w:rsid w:val="0029639D"/>
    <w:rsid w:val="00326F90"/>
    <w:rsid w:val="003563E9"/>
    <w:rsid w:val="0050433E"/>
    <w:rsid w:val="006A5111"/>
    <w:rsid w:val="007664FB"/>
    <w:rsid w:val="00773F65"/>
    <w:rsid w:val="009D18A4"/>
    <w:rsid w:val="00AA1D8D"/>
    <w:rsid w:val="00B47730"/>
    <w:rsid w:val="00C04694"/>
    <w:rsid w:val="00C836B2"/>
    <w:rsid w:val="00CB0664"/>
    <w:rsid w:val="00EC3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FAA28"/>
  <w14:defaultImageDpi w14:val="300"/>
  <w15:docId w15:val="{6DFFCB24-3A0A-7A4C-BEA0-C2630B8C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Appendix for Representative Bureaucracy in Private Philanthropy</vt:lpstr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Appendix for Representative Bureaucracy in Private Philanthropy</dc:title>
  <dc:subject>Community foundation-year robustness analysis</dc:subject>
  <dc:creator/>
  <cp:keywords/>
  <dc:description>generated by python-docx</dc:description>
  <cp:lastModifiedBy>明月</cp:lastModifiedBy>
  <cp:revision>12</cp:revision>
  <dcterms:created xsi:type="dcterms:W3CDTF">2013-12-23T23:15:00Z</dcterms:created>
  <dcterms:modified xsi:type="dcterms:W3CDTF">2026-09-04T10:01:00Z</dcterms:modified>
  <cp:category/>
</cp:coreProperties>
</file>