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760" w:lineRule="atLeast"/>
        <w:jc w:val="center"/>
      </w:pPr>
      <w:r>
        <w:rPr>
          <w:rFonts w:ascii="Times New Roman" w:eastAsia="SimHei"/>
          <w:b/>
          <w:bCs/>
          <w:color w:val="000000"/>
          <w:sz w:val="32"/>
          <w:szCs w:val="32"/>
        </w:rPr>
        <w:t xml:space="preserve">大论文第四章修订大纲</w:t>
      </w:r>
    </w:p>
    <w:p>
      <w:pPr>
        <w:spacing w:after="200" w:line="312"/>
        <w:jc w:val="center"/>
      </w:pPr>
      <w:r>
        <w:rPr>
          <w:rFonts w:ascii="Times New Roman" w:eastAsia="SimSun"/>
          <w:color w:val="000000"/>
          <w:sz w:val="24"/>
          <w:szCs w:val="24"/>
        </w:rPr>
        <w:t xml:space="preserve">英语移动动词的图式范畴分类与语义特征分析（对应研究问题一）</w:t>
      </w:r>
    </w:p>
    <w:p>
      <w:pPr>
        <w:spacing w:after="240" w:line="312"/>
        <w:jc w:val="center"/>
      </w:pPr>
      <w:r>
        <w:rPr>
          <w:rFonts w:ascii="Times New Roman" w:eastAsia="SimSun"/>
          <w:color w:val="444444"/>
          <w:sz w:val="21"/>
          <w:szCs w:val="21"/>
        </w:rPr>
        <w:t xml:space="preserve">v2（1007 同步：词表定稿 171 词，路线决策已落）· 修订依据：大纲评审五点意见 · 配套：词表版本说明、图式候选核查表、三表工作流、MOVECAT 平台、正文初稿 v0.95</w:t>
      </w:r>
    </w:p>
    <w:p>
      <w:pPr>
        <w:keepNext w:val="false"/>
        <w:spacing w:after="120" w:line="312"/>
        <w:ind w:firstLine="480"/>
        <w:jc w:val="both"/>
      </w:pPr>
      <w:r>
        <w:rPr>
          <w:rFonts w:ascii="Times New Roman" w:eastAsia="SimSun"/>
          <w:color w:val="000000"/>
          <w:sz w:val="24"/>
          <w:szCs w:val="24"/>
        </w:rPr>
        <w:t xml:space="preserve">本章是全量实证的核心章，回答研究问题一：基于义位层面，英语自移移动动词可以建立怎样的精细化认知图式分类体系，各子类具有怎样的图式与语义凸显特征。本章与 Lexikos Project 论文共用同一条流水线与同一套编码手册：试点（12 至 13 词、232 个义位）是本章机制的可行性预演，本章在其基础上扩展至全部 669 个义位。以下先列修订说明，再给修订后大纲与各节写作要点，最后是资产对应、写作纪律与答辩自查。</w:t>
      </w:r>
    </w:p>
    <w:p>
      <w:pPr>
        <w:pStyle w:val="Heading1"/>
        <w:spacing w:after="160" w:before="360" w:line="312"/>
      </w:pPr>
      <w:r>
        <w:rPr>
          <w:rFonts w:ascii="Times New Roman" w:eastAsia="SimHei"/>
          <w:b/>
          <w:bCs/>
          <w:color w:val="000000"/>
          <w:sz w:val="32"/>
          <w:szCs w:val="32"/>
        </w:rPr>
        <w:t xml:space="preserve">零、修订说明（原稿问题与修订动作）</w:t>
      </w:r>
    </w:p>
    <w:p>
      <w:pPr>
        <w:keepNext/>
        <w:spacing w:after="80" w:before="120" w:line="312"/>
        <w:jc w:val="center"/>
      </w:pPr>
      <w:r>
        <w:rPr>
          <w:rFonts w:ascii="Times New Roman" w:eastAsia="SimHei"/>
          <w:b/>
          <w:bCs/>
          <w:color w:val="000000"/>
          <w:sz w:val="21"/>
          <w:szCs w:val="21"/>
        </w:rPr>
        <w:t xml:space="preserve">表 1  修订对照</w:t>
      </w:r>
    </w:p>
    <w:tbl>
      <w:tblPr>
        <w:tblW w:type="pct" w:w="5000"/>
        <w:tblBorders>
          <w:top w:val="single" w:color="9AA6B2" w:sz="2"/>
          <w:left w:val="none"/>
          <w:bottom w:val="single" w:color="9AA6B2" w:sz="2"/>
          <w:right w:val="none"/>
          <w:insideH w:val="single" w:color="D0D0D0" w:sz="1"/>
          <w:insideV w:val="none"/>
        </w:tblBorders>
      </w:tblPr>
      <w:tblGrid>
        <w:gridCol w:w="2812"/>
        <w:gridCol w:w="4394"/>
        <w:gridCol w:w="1582"/>
      </w:tblGrid>
      <w:tr>
        <w:trPr>
          <w:cantSplit/>
          <w:tblHeader/>
        </w:trPr>
        <w:tc>
          <w:tcPr>
            <w:tcW w:type="pct" w:w="1600"/>
            <w:shd w:fill="F1F5F9" w:val="clear"/>
            <w:tcMar>
              <w:top w:type="dxa" w:w="60"/>
              <w:left w:type="dxa" w:w="120"/>
              <w:bottom w:type="dxa" w:w="60"/>
              <w:right w:type="dxa" w:w="120"/>
            </w:tcMar>
          </w:tcPr>
          <w:p>
            <w:pPr>
              <w:spacing w:line="312"/>
              <w:jc w:val="left"/>
            </w:pPr>
            <w:r>
              <w:rPr>
                <w:rFonts w:ascii="Times New Roman" w:eastAsia="SimHei"/>
                <w:b/>
                <w:bCs/>
                <w:color w:val="000000"/>
                <w:sz w:val="21"/>
                <w:szCs w:val="21"/>
              </w:rPr>
              <w:t xml:space="preserve">原稿问题</w:t>
            </w:r>
          </w:p>
        </w:tc>
        <w:tc>
          <w:tcPr>
            <w:tcW w:type="pct" w:w="2500"/>
            <w:shd w:fill="F1F5F9" w:val="clear"/>
            <w:tcMar>
              <w:top w:type="dxa" w:w="60"/>
              <w:left w:type="dxa" w:w="120"/>
              <w:bottom w:type="dxa" w:w="60"/>
              <w:right w:type="dxa" w:w="120"/>
            </w:tcMar>
          </w:tcPr>
          <w:p>
            <w:pPr>
              <w:spacing w:line="312"/>
              <w:jc w:val="left"/>
            </w:pPr>
            <w:r>
              <w:rPr>
                <w:rFonts w:ascii="Times New Roman" w:eastAsia="SimHei"/>
                <w:b/>
                <w:bCs/>
                <w:color w:val="000000"/>
                <w:sz w:val="21"/>
                <w:szCs w:val="21"/>
              </w:rPr>
              <w:t xml:space="preserve">修订动作</w:t>
            </w:r>
          </w:p>
        </w:tc>
        <w:tc>
          <w:tcPr>
            <w:tcW w:type="pct" w:w="900"/>
            <w:shd w:fill="F1F5F9" w:val="clear"/>
            <w:tcMar>
              <w:top w:type="dxa" w:w="60"/>
              <w:left w:type="dxa" w:w="120"/>
              <w:bottom w:type="dxa" w:w="60"/>
              <w:right w:type="dxa" w:w="120"/>
            </w:tcMar>
          </w:tcPr>
          <w:p>
            <w:pPr>
              <w:spacing w:line="312"/>
              <w:jc w:val="left"/>
            </w:pPr>
            <w:r>
              <w:rPr>
                <w:rFonts w:ascii="Times New Roman" w:eastAsia="SimHei"/>
                <w:b/>
                <w:bCs/>
                <w:color w:val="000000"/>
                <w:sz w:val="21"/>
                <w:szCs w:val="21"/>
              </w:rPr>
              <w:t xml:space="preserve">落点</w:t>
            </w:r>
          </w:p>
        </w:tc>
      </w:tr>
      <w:tr>
        <w:trPr>
          <w:cantSplit/>
        </w:trPr>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三域、七系的所指未定义；与词表 8 个次类的数目对不上，易被追问换算关系</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4.2.1 给出域与系的理论定义及自下而上的归纳路线声明；4.2.2 明确系数以义位层标注结果为准，若归纳为八系，全文改为三域八系，不硬凑七</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4.2.1、4.2.2</w:t>
            </w:r>
          </w:p>
        </w:tc>
      </w:tr>
      <w:tr>
        <w:trPr>
          <w:cantSplit/>
        </w:trPr>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词池边界原未决：方式聚焦 136 词使源点脱离、终点抵达、互动位移三类图式没有专属词元</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已决策（2026-10-07）：捞回 35 个路径/互动词，词表定稿 171 词，留痕见 docs/词表版本说明.md；4.1.1 按「216 候选 → 核查 171 → 收窄 136 → 捞回复原」三段史写词池筛选</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4.1.1</w:t>
            </w:r>
          </w:p>
        </w:tc>
      </w:tr>
      <w:tr>
        <w:trPr>
          <w:cantSplit/>
        </w:trPr>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双重核验机制含糊，且未安排信度数字的落点</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4.1.2 界定为机器-人工双重（大模型初筛加人工全量复核）并叠加抽样信度检验；4.1.3 新增信度与质量报告小节；一致性指标在 Kappa 与 Krippendorff 的 alpha 中二选一，全文唯一</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4.1.2、4.1.3</w:t>
            </w:r>
          </w:p>
        </w:tc>
      </w:tr>
      <w:tr>
        <w:trPr>
          <w:cantSplit/>
        </w:trPr>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原型与边缘梯度缺操作口径；主导义与原型义两个概念易混</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4.3.2 写明原型性得分在义位子语料内计算，与词目层计算的区别显性化；增加主导义与原型义的概念区分声明</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4.3.2</w:t>
            </w:r>
          </w:p>
        </w:tc>
      </w:tr>
      <w:tr>
        <w:trPr>
          <w:cantSplit/>
        </w:trPr>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与 Levin 的关系未处理，存在是否重做 Levin 分类的质疑风险</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新增 4.2.3：Levin 类系对照表——词目层句法分类与本章义位层图式分类的成员对应、错位案例与本章增量</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4.2.3（新增小节）</w:t>
            </w:r>
          </w:p>
        </w:tc>
      </w:tr>
    </w:tbl>
    <w:p>
      <w:pPr>
        <w:spacing w:after="120" w:before="80" w:line="312"/>
      </w:pPr>
      <w:r>
        <w:rPr>
          <w:rFonts w:ascii="Times New Roman" w:eastAsia="SimSun"/>
          <w:color w:val="444444"/>
          <w:sz w:val="21"/>
          <w:szCs w:val="21"/>
        </w:rPr>
        <w:t xml:space="preserve">另有两处措辞修正：4.1.2 由义位提纯改为义位化与准入筛选（与编码手册术语一致）；外部建议中的三域五类为笔误，全文统一按三域七系或三域八系表述。</w:t>
      </w:r>
    </w:p>
    <w:p>
      <w:pPr>
        <w:pStyle w:val="Heading1"/>
        <w:spacing w:after="160" w:before="360" w:line="312"/>
      </w:pPr>
      <w:r>
        <w:rPr>
          <w:rFonts w:ascii="Times New Roman" w:eastAsia="SimHei"/>
          <w:b/>
          <w:bCs/>
          <w:color w:val="000000"/>
          <w:sz w:val="32"/>
          <w:szCs w:val="32"/>
        </w:rPr>
        <w:t xml:space="preserve">一、第四章大纲（修订版）与各节写作要点</w:t>
      </w:r>
    </w:p>
    <w:p>
      <w:pPr>
        <w:pStyle w:val="Heading2"/>
        <w:spacing w:after="120" w:before="240" w:line="312"/>
      </w:pPr>
      <w:r>
        <w:rPr>
          <w:rFonts w:ascii="Times New Roman" w:eastAsia="SimHei"/>
          <w:b/>
          <w:bCs/>
          <w:color w:val="000000"/>
          <w:sz w:val="28"/>
          <w:szCs w:val="28"/>
        </w:rPr>
        <w:t xml:space="preserve">4.1 研究对象与研究设计</w:t>
      </w:r>
    </w:p>
    <w:p>
      <w:pPr>
        <w:pStyle w:val="Heading3"/>
        <w:spacing w:after="100" w:before="200" w:line="312"/>
      </w:pPr>
      <w:r>
        <w:rPr>
          <w:rFonts w:ascii="Times New Roman" w:eastAsia="SimHei"/>
          <w:b/>
          <w:bCs/>
          <w:color w:val="000000"/>
          <w:sz w:val="24"/>
          <w:szCs w:val="24"/>
        </w:rPr>
        <w:t xml:space="preserve">4.1.1 语料来源、语料口径与初始词池筛选</w:t>
      </w:r>
    </w:p>
    <w:p>
      <w:pPr>
        <w:keepNext w:val="false"/>
        <w:spacing w:after="60" w:line="312"/>
        <w:ind w:firstLine="480"/>
        <w:jc w:val="both"/>
      </w:pPr>
      <w:r>
        <w:rPr>
          <w:rFonts w:ascii="Times New Roman" w:eastAsia="SimSun"/>
          <w:color w:val="000000"/>
          <w:sz w:val="24"/>
          <w:szCs w:val="24"/>
        </w:rPr>
        <w:t xml:space="preserve">语料与词典口径一节需一次说清并全文锁定：义项来源为 OALD10 逐义项数据；搭配与频次证据来源为 Sketch Engine 的 enTenTen21 语料库（检索参数与日期见数据集说明与数据字典）。全文维持单一语料口径，不并行引入第二语料；如改用其他语料（如 COCA），属重大方法变更，须先定盘并同步替换全部搭配、频次与原型性得分的证据来源。</w:t>
      </w:r>
    </w:p>
    <w:p>
      <w:pPr>
        <w:keepNext w:val="false"/>
        <w:spacing w:after="60" w:line="312"/>
        <w:ind w:firstLine="480"/>
        <w:jc w:val="both"/>
      </w:pPr>
      <w:r>
        <w:rPr>
          <w:rFonts w:ascii="Times New Roman" w:eastAsia="SimSun"/>
          <w:color w:val="000000"/>
          <w:sz w:val="24"/>
          <w:szCs w:val="24"/>
        </w:rPr>
        <w:t xml:space="preserve">词池筛选按三段史写明链条：Levin (1993) 第 51 章移动动词 216 个候选词目；经 Talmy 语义核查与构式交替核查通过 171 词（45 词未通过、逐词留有剔除理由）；9-28 版本曾收窄为方式聚焦 136 词，10-07 决策捞回 35 个路径/互动词复归 171 词（留痕：docs/词表版本说明.md）。12 个次类构成：方式聚焦 136 词（陆地行进 45、奔跑行进 28、运载工具 22、滚动滑行 12、腾空跳跃 12、长途行进 9、匍匐爬行 5、飞行游动 3）、路径聚焦 22 词（终点类 14、来源类 8）、互动聚焦 13 词（目的类 7、参与者类 6）。另对 4 个 OALD 缺义词以补充来源标注。义位化总况：996 个义位（OALD10 992＋补充 4），SenseID 为动词加义项序号，习语 258 条，go 以 60 个义位为最大多义词，49 词仅含单一义位。</w:t>
      </w:r>
    </w:p>
    <w:p>
      <w:pPr>
        <w:keepNext w:val="false"/>
        <w:spacing w:after="60" w:line="312"/>
        <w:ind w:firstLine="480"/>
        <w:jc w:val="both"/>
      </w:pPr>
      <w:r>
        <w:rPr>
          <w:rFonts w:ascii="Times New Roman" w:eastAsia="SimSun"/>
          <w:color w:val="000000"/>
          <w:sz w:val="24"/>
          <w:szCs w:val="24"/>
        </w:rPr>
        <w:t xml:space="preserve">词池边界决策已定稿（2026-10-07，捞回复原 171 词），写作时不再作为开放决策呈现，而是作为研究设计的显性修订写入：交代收窄与捞回的理由与留痕（docs/词表版本说明.md），说明全部后续分析以 171 词为准。相应地，词目层语料初筛基线（118/10/7/1）须注明系方式聚焦 136 词子集上的结果，35 词的语料检索随后补做。</w:t>
      </w:r>
    </w:p>
    <w:p>
      <w:pPr>
        <w:pStyle w:val="Heading3"/>
        <w:spacing w:after="100" w:before="200" w:line="312"/>
      </w:pPr>
      <w:r>
        <w:rPr>
          <w:rFonts w:ascii="Times New Roman" w:eastAsia="SimHei"/>
          <w:b/>
          <w:bCs/>
          <w:color w:val="000000"/>
          <w:sz w:val="24"/>
          <w:szCs w:val="24"/>
        </w:rPr>
        <w:t xml:space="preserve">4.1.2 义位化与准入筛选（原义位提纯改名）</w:t>
      </w:r>
    </w:p>
    <w:p>
      <w:pPr>
        <w:keepNext w:val="false"/>
        <w:spacing w:after="60" w:line="312"/>
        <w:ind w:firstLine="480"/>
        <w:jc w:val="both"/>
      </w:pPr>
      <w:r>
        <w:rPr>
          <w:rFonts w:ascii="Times New Roman" w:eastAsia="SimSun"/>
          <w:color w:val="000000"/>
          <w:sz w:val="24"/>
          <w:szCs w:val="24"/>
        </w:rPr>
        <w:t xml:space="preserve">先做分析单元的显性声明：本章以义位而非词目为标注单元，以规避 Levin 词目层分类带入的多义偏差；Levin 清单仅作初始样本池，不作为分类标准。</w:t>
      </w:r>
    </w:p>
    <w:p>
      <w:pPr>
        <w:keepNext w:val="false"/>
        <w:spacing w:after="60" w:line="312"/>
        <w:ind w:firstLine="480"/>
        <w:jc w:val="both"/>
      </w:pPr>
      <w:r>
        <w:rPr>
          <w:rFonts w:ascii="Times New Roman" w:eastAsia="SimSun"/>
          <w:color w:val="000000"/>
          <w:sz w:val="24"/>
          <w:szCs w:val="24"/>
        </w:rPr>
        <w:t xml:space="preserve">操作流程按三表工作流陈述：表 1 为原始义项总表（只读存档，不删行，保证无人为抹除义项）；表 2 为筛选判定层（打标不删行，准入标签三分——Y 核心原型物理位移义、拓展隐喻引申义、N 剔除义位，判定理由必填，N 类完整留存）；表 3 为最终研究义位表（结果层，仅收录人工复核完成的义位）。标注在 MOVECAT 平台完成，全部判定依据释义与语料例句回溯。</w:t>
      </w:r>
    </w:p>
    <w:p>
      <w:pPr>
        <w:keepNext w:val="false"/>
        <w:spacing w:after="60" w:line="312"/>
        <w:ind w:firstLine="480"/>
        <w:jc w:val="both"/>
      </w:pPr>
      <w:r>
        <w:rPr>
          <w:rFonts w:ascii="Times New Roman" w:eastAsia="SimSun"/>
          <w:color w:val="000000"/>
          <w:sz w:val="24"/>
          <w:szCs w:val="24"/>
        </w:rPr>
        <w:t xml:space="preserve">双重核验机制界定：第一重为机器-人工双重，大模型按固定提示词初筛，输出候选标签（隐喻性判定、图式候选、存疑标记），仅作参考，全部最终标签由研究者人工确认；第二重为信度检验，随机抽取总样本的 15% 至 20%，由第二位掌握编码手册的编码人独立标注并计算 Kappa；若无第二编码人，则间隔 10 至 14 天由研究者本人重测并报告重测一致性。指标选型全文唯一，并与 Lexikos 论文共用同一口径。</w:t>
      </w:r>
    </w:p>
    <w:p>
      <w:pPr>
        <w:pStyle w:val="Heading3"/>
        <w:spacing w:after="100" w:before="200" w:line="312"/>
      </w:pPr>
      <w:r>
        <w:rPr>
          <w:rFonts w:ascii="Times New Roman" w:eastAsia="SimHei"/>
          <w:b/>
          <w:bCs/>
          <w:color w:val="000000"/>
          <w:sz w:val="24"/>
          <w:szCs w:val="24"/>
        </w:rPr>
        <w:t xml:space="preserve">4.1.3 标注信度与质量报告（新增小节）</w:t>
      </w:r>
    </w:p>
    <w:p>
      <w:pPr>
        <w:keepNext w:val="false"/>
        <w:spacing w:after="60" w:line="312"/>
        <w:ind w:firstLine="480"/>
        <w:jc w:val="both"/>
      </w:pPr>
      <w:r>
        <w:rPr>
          <w:rFonts w:ascii="Times New Roman" w:eastAsia="SimSun"/>
          <w:color w:val="000000"/>
          <w:sz w:val="24"/>
          <w:szCs w:val="24"/>
        </w:rPr>
        <w:t xml:space="preserve">报告四项内容：试标注、修订手册、正式标注的迭代记录；第一轮与修订手册后第二轮的信度系数；分歧来源分析（预期集中于使役边界、隐喻判定与图式叠加）；N 类义位留存率与剔除理由完备性。本节是答辩高频位，只写机制不报数字会被当场追问，数字由试点与全量标注两个阶段分别填充。</w:t>
      </w:r>
    </w:p>
    <w:p>
      <w:pPr>
        <w:pStyle w:val="Heading2"/>
        <w:spacing w:after="120" w:before="240" w:line="312"/>
      </w:pPr>
      <w:r>
        <w:rPr>
          <w:rFonts w:ascii="Times New Roman" w:eastAsia="SimHei"/>
          <w:b/>
          <w:bCs/>
          <w:color w:val="000000"/>
          <w:sz w:val="28"/>
          <w:szCs w:val="28"/>
        </w:rPr>
        <w:t xml:space="preserve">4.2 移动动词图式范畴体系构建</w:t>
      </w:r>
    </w:p>
    <w:p>
      <w:pPr>
        <w:pStyle w:val="Heading3"/>
        <w:spacing w:after="100" w:before="200" w:line="312"/>
      </w:pPr>
      <w:r>
        <w:rPr>
          <w:rFonts w:ascii="Times New Roman" w:eastAsia="SimHei"/>
          <w:b/>
          <w:bCs/>
          <w:color w:val="000000"/>
          <w:sz w:val="24"/>
          <w:szCs w:val="24"/>
        </w:rPr>
        <w:t xml:space="preserve">4.2.1 范畴划分的理论依据与归纳路线</w:t>
      </w:r>
    </w:p>
    <w:p>
      <w:pPr>
        <w:keepNext w:val="false"/>
        <w:spacing w:after="60" w:line="312"/>
        <w:ind w:firstLine="480"/>
        <w:jc w:val="both"/>
      </w:pPr>
      <w:r>
        <w:rPr>
          <w:rFonts w:ascii="Times New Roman" w:eastAsia="SimSun"/>
          <w:color w:val="000000"/>
          <w:sz w:val="24"/>
          <w:szCs w:val="24"/>
        </w:rPr>
        <w:t xml:space="preserve">先立归纳路线声明：三域与各系的分类由 Y 类核心物理位移义位的标注结果自下而上归纳（隐喻拓展义不参与域—系聚类，只做原型辐射网络分析），先行于数据的只有操作定义。此声明用于防备先有体系后填数据、以及隐喻义是否参与范畴划分两类质疑，与本章数据流程一致。</w:t>
      </w:r>
    </w:p>
    <w:p>
      <w:pPr>
        <w:keepNext w:val="false"/>
        <w:spacing w:after="60" w:line="312"/>
        <w:ind w:firstLine="480"/>
        <w:jc w:val="both"/>
      </w:pPr>
      <w:r>
        <w:rPr>
          <w:rFonts w:ascii="Times New Roman" w:eastAsia="SimSun"/>
          <w:color w:val="000000"/>
          <w:sz w:val="24"/>
          <w:szCs w:val="24"/>
        </w:rPr>
        <w:t xml:space="preserve">理论到操作的对应链显性写出（编码手册已有成稿可直接使用）：Talmy 移动事件理论划定物理位移事件本质特征，导出义位准入标准；意象图式理论提供语义分析维度，导出四选一的图式标注；原型范畴理论决定原型义与隐喻引申义的样本分工，突破词目层分类局限；认知对比语言学的图式映射思想规定英汉对比以事件概念化图式为对象。</w:t>
      </w:r>
    </w:p>
    <w:p>
      <w:pPr>
        <w:keepNext w:val="false"/>
        <w:spacing w:after="60" w:line="312"/>
        <w:ind w:firstLine="480"/>
        <w:jc w:val="both"/>
      </w:pPr>
      <w:r>
        <w:rPr>
          <w:rFonts w:ascii="Times New Roman" w:eastAsia="SimSun"/>
          <w:color w:val="000000"/>
          <w:sz w:val="24"/>
          <w:szCs w:val="24"/>
        </w:rPr>
        <w:t xml:space="preserve">域与系的定义：域为认知域层面的归并，依据义位凸显图式与事件结构划分；系为域内共享图式构型与语义-句法特征的成员类。系的确切数目以义位层数据归纳为准，在 4.2.2 报告。</w:t>
      </w:r>
    </w:p>
    <w:p>
      <w:pPr>
        <w:pStyle w:val="Heading3"/>
        <w:spacing w:after="100" w:before="200" w:line="312"/>
      </w:pPr>
      <w:r>
        <w:rPr>
          <w:rFonts w:ascii="Times New Roman" w:eastAsia="SimHei"/>
          <w:b/>
          <w:bCs/>
          <w:color w:val="000000"/>
          <w:sz w:val="24"/>
          <w:szCs w:val="24"/>
        </w:rPr>
        <w:t xml:space="preserve">4.2.2 图式范畴体系与成员分布</w:t>
      </w:r>
    </w:p>
    <w:p>
      <w:pPr>
        <w:keepNext w:val="false"/>
        <w:spacing w:after="60" w:line="312"/>
        <w:ind w:firstLine="480"/>
        <w:jc w:val="both"/>
      </w:pPr>
      <w:r>
        <w:rPr>
          <w:rFonts w:ascii="Times New Roman" w:eastAsia="SimSun"/>
          <w:color w:val="000000"/>
          <w:sz w:val="24"/>
          <w:szCs w:val="24"/>
        </w:rPr>
        <w:t xml:space="preserve">两件套呈现：其一，体系总表，按域与系统列成员义位（SenseID 级），标注各系图式构型；其二，成员分布，给出义位层图式与次类的交叉矩阵及各系义位数量统计，并写清与词表 12 个次类的换算或并存关系。节名中的三域七系为工作命名：系的数目以义位层归纳结果为准，若为八系则全文改为三域八系，不硬凑七。</w:t>
      </w:r>
    </w:p>
    <w:p>
      <w:pPr>
        <w:pStyle w:val="Heading3"/>
        <w:spacing w:after="100" w:before="200" w:line="312"/>
      </w:pPr>
      <w:r>
        <w:rPr>
          <w:rFonts w:ascii="Times New Roman" w:eastAsia="SimHei"/>
          <w:b/>
          <w:bCs/>
          <w:color w:val="000000"/>
          <w:sz w:val="24"/>
          <w:szCs w:val="24"/>
        </w:rPr>
        <w:t xml:space="preserve">4.2.3 与 Levin 类系的对照与增量</w:t>
      </w:r>
    </w:p>
    <w:p>
      <w:pPr>
        <w:keepNext w:val="false"/>
        <w:spacing w:after="60" w:line="312"/>
        <w:ind w:firstLine="480"/>
        <w:jc w:val="both"/>
      </w:pPr>
      <w:r>
        <w:rPr>
          <w:rFonts w:ascii="Times New Roman" w:eastAsia="SimSun"/>
          <w:color w:val="000000"/>
          <w:sz w:val="24"/>
          <w:szCs w:val="24"/>
        </w:rPr>
        <w:t xml:space="preserve">设 Levin 类系对照表：左侧为 Levin 词目层句法分类（方式类、路径类等），右侧为本章义位层图式分类，报告成员对应关系、错位案例（例如同一 Levin 方式类在义位层拆入不同系；tear、sweep 类噪声词目经义位层核验后的归属变化）与本章增量，正面回应是否重做 Levin 分类的疑问。</w:t>
      </w:r>
    </w:p>
    <w:p>
      <w:pPr>
        <w:pStyle w:val="Heading2"/>
        <w:spacing w:after="120" w:before="240" w:line="312"/>
      </w:pPr>
      <w:r>
        <w:rPr>
          <w:rFonts w:ascii="Times New Roman" w:eastAsia="SimHei"/>
          <w:b/>
          <w:bCs/>
          <w:color w:val="000000"/>
          <w:sz w:val="28"/>
          <w:szCs w:val="28"/>
        </w:rPr>
        <w:t xml:space="preserve">4.3 子类共享图式与原型语义特征分析</w:t>
      </w:r>
    </w:p>
    <w:p>
      <w:pPr>
        <w:pStyle w:val="Heading3"/>
        <w:spacing w:after="100" w:before="200" w:line="312"/>
      </w:pPr>
      <w:r>
        <w:rPr>
          <w:rFonts w:ascii="Times New Roman" w:eastAsia="SimHei"/>
          <w:b/>
          <w:bCs/>
          <w:color w:val="000000"/>
          <w:sz w:val="24"/>
          <w:szCs w:val="24"/>
        </w:rPr>
        <w:t xml:space="preserve">4.3.1 各系共享意象图式与语义-句法特征</w:t>
      </w:r>
    </w:p>
    <w:p>
      <w:pPr>
        <w:keepNext w:val="false"/>
        <w:spacing w:after="60" w:line="312"/>
        <w:ind w:firstLine="480"/>
        <w:jc w:val="both"/>
      </w:pPr>
      <w:r>
        <w:rPr>
          <w:rFonts w:ascii="Times New Roman" w:eastAsia="SimSun"/>
          <w:color w:val="000000"/>
          <w:sz w:val="24"/>
          <w:szCs w:val="24"/>
        </w:rPr>
        <w:t xml:space="preserve">证据层使用义位子语料的槽位证据（搭配明细语义归类之后）与图式证据面（四类图式对槽位的覆盖）。产出为每系的共享图式构型、语义特征、句法特征与典型语料例证；例证直接引自 enTenTen21 检索行，与数据集可回溯链条一致。</w:t>
      </w:r>
    </w:p>
    <w:p>
      <w:pPr>
        <w:pStyle w:val="Heading3"/>
        <w:spacing w:after="100" w:before="200" w:line="312"/>
      </w:pPr>
      <w:r>
        <w:rPr>
          <w:rFonts w:ascii="Times New Roman" w:eastAsia="SimHei"/>
          <w:b/>
          <w:bCs/>
          <w:color w:val="000000"/>
          <w:sz w:val="24"/>
          <w:szCs w:val="24"/>
        </w:rPr>
        <w:t xml:space="preserve">4.3.2 原型与边缘成员的语义梯度</w:t>
      </w:r>
    </w:p>
    <w:p>
      <w:pPr>
        <w:keepNext w:val="false"/>
        <w:spacing w:after="60" w:line="312"/>
        <w:ind w:firstLine="480"/>
        <w:jc w:val="both"/>
      </w:pPr>
      <w:r>
        <w:rPr>
          <w:rFonts w:ascii="Times New Roman" w:eastAsia="SimSun"/>
          <w:color w:val="000000"/>
          <w:sz w:val="24"/>
          <w:szCs w:val="24"/>
        </w:rPr>
        <w:t xml:space="preserve">操作口径：原型性得分 PS 等于 Mean_logDice 与 log2(N+1) 的乘积，计算限定在义位子语料内部，遵循先候选义位、再义位内分析的原则；与词目层 PS 计算的区别显性说明。概念区分声明：主导义指语料频次最高的物理自移义位，原型义指 Y 类核心成员，二者判定依据不同，允许不一致，报告时如实呈现。产出为各系原型与边缘成员清单及梯度描写，并衔接第五章：英汉图式对齐规律与多维释义模板以本章体系为底座。</w:t>
      </w:r>
    </w:p>
    <w:p>
      <w:pPr>
        <w:pStyle w:val="Heading2"/>
        <w:spacing w:after="120" w:before="240" w:line="312"/>
      </w:pPr>
      <w:r>
        <w:rPr>
          <w:rFonts w:ascii="Times New Roman" w:eastAsia="SimHei"/>
          <w:b/>
          <w:bCs/>
          <w:color w:val="000000"/>
          <w:sz w:val="28"/>
          <w:szCs w:val="28"/>
        </w:rPr>
        <w:t xml:space="preserve">4.4 本章小结</w:t>
      </w:r>
    </w:p>
    <w:p>
      <w:pPr>
        <w:keepNext w:val="false"/>
        <w:spacing w:after="60" w:line="312"/>
        <w:ind w:firstLine="480"/>
        <w:jc w:val="both"/>
      </w:pPr>
      <w:r>
        <w:rPr>
          <w:rFonts w:ascii="Times New Roman" w:eastAsia="SimSun"/>
          <w:color w:val="000000"/>
          <w:sz w:val="24"/>
          <w:szCs w:val="24"/>
        </w:rPr>
        <w:t xml:space="preserve">小结完成三件事：一句话回答研究问题一；给出关键数字（进入核心分析的义位数、域与系的数目、原型与边缘成员比例）；说明本章体系如何被第五章的对齐分析与释义模板构建使用。</w:t>
      </w:r>
    </w:p>
    <w:p>
      <w:pPr>
        <w:pStyle w:val="Heading1"/>
        <w:spacing w:after="160" w:before="360" w:line="312"/>
      </w:pPr>
      <w:r>
        <w:rPr>
          <w:rFonts w:ascii="Times New Roman" w:eastAsia="SimHei"/>
          <w:b/>
          <w:bCs/>
          <w:color w:val="000000"/>
          <w:sz w:val="32"/>
          <w:szCs w:val="32"/>
        </w:rPr>
        <w:t xml:space="preserve">二、各小节与现有数据资产的对应</w:t>
      </w:r>
    </w:p>
    <w:p>
      <w:pPr>
        <w:keepNext/>
        <w:spacing w:after="60" w:line="312"/>
        <w:ind w:firstLine="480"/>
        <w:jc w:val="both"/>
      </w:pPr>
      <w:r>
        <w:rPr>
          <w:rFonts w:ascii="Times New Roman" w:eastAsia="SimSun"/>
          <w:color w:val="000000"/>
          <w:sz w:val="24"/>
          <w:szCs w:val="24"/>
        </w:rPr>
        <w:t xml:space="preserve">下表说明每一小节的写作素材来源，全部为项目内已有或在建资产，写作时可按图索骥。</w:t>
      </w:r>
    </w:p>
    <w:p>
      <w:pPr>
        <w:keepNext/>
        <w:spacing w:after="80" w:before="120" w:line="312"/>
        <w:jc w:val="center"/>
      </w:pPr>
      <w:r>
        <w:rPr>
          <w:rFonts w:ascii="Times New Roman" w:eastAsia="SimHei"/>
          <w:b/>
          <w:bCs/>
          <w:color w:val="000000"/>
          <w:sz w:val="21"/>
          <w:szCs w:val="21"/>
        </w:rPr>
        <w:t xml:space="preserve">表 2  小节与资产对应</w:t>
      </w:r>
    </w:p>
    <w:tbl>
      <w:tblPr>
        <w:tblW w:type="pct" w:w="5000"/>
        <w:tblBorders>
          <w:top w:val="single" w:color="9AA6B2" w:sz="2"/>
          <w:left w:val="none"/>
          <w:bottom w:val="single" w:color="9AA6B2" w:sz="2"/>
          <w:right w:val="none"/>
          <w:insideH w:val="single" w:color="D0D0D0" w:sz="1"/>
          <w:insideV w:val="none"/>
        </w:tblBorders>
      </w:tblPr>
      <w:tblGrid>
        <w:gridCol w:w="1230"/>
        <w:gridCol w:w="4921"/>
        <w:gridCol w:w="2636"/>
      </w:tblGrid>
      <w:tr>
        <w:trPr>
          <w:cantSplit/>
          <w:tblHeader/>
        </w:trPr>
        <w:tc>
          <w:tcPr>
            <w:tcW w:type="pct" w:w="700"/>
            <w:shd w:fill="F1F5F9" w:val="clear"/>
            <w:tcMar>
              <w:top w:type="dxa" w:w="60"/>
              <w:left w:type="dxa" w:w="120"/>
              <w:bottom w:type="dxa" w:w="60"/>
              <w:right w:type="dxa" w:w="120"/>
            </w:tcMar>
          </w:tcPr>
          <w:p>
            <w:pPr>
              <w:spacing w:line="312"/>
              <w:jc w:val="left"/>
            </w:pPr>
            <w:r>
              <w:rPr>
                <w:rFonts w:ascii="Times New Roman" w:eastAsia="SimHei"/>
                <w:b/>
                <w:bCs/>
                <w:color w:val="000000"/>
                <w:sz w:val="21"/>
                <w:szCs w:val="21"/>
              </w:rPr>
              <w:t xml:space="preserve">小节</w:t>
            </w:r>
          </w:p>
        </w:tc>
        <w:tc>
          <w:tcPr>
            <w:tcW w:type="pct" w:w="2800"/>
            <w:shd w:fill="F1F5F9" w:val="clear"/>
            <w:tcMar>
              <w:top w:type="dxa" w:w="60"/>
              <w:left w:type="dxa" w:w="120"/>
              <w:bottom w:type="dxa" w:w="60"/>
              <w:right w:type="dxa" w:w="120"/>
            </w:tcMar>
          </w:tcPr>
          <w:p>
            <w:pPr>
              <w:spacing w:line="312"/>
              <w:jc w:val="left"/>
            </w:pPr>
            <w:r>
              <w:rPr>
                <w:rFonts w:ascii="Times New Roman" w:eastAsia="SimHei"/>
                <w:b/>
                <w:bCs/>
                <w:color w:val="000000"/>
                <w:sz w:val="21"/>
                <w:szCs w:val="21"/>
              </w:rPr>
              <w:t xml:space="preserve">写作素材（现状）</w:t>
            </w:r>
          </w:p>
        </w:tc>
        <w:tc>
          <w:tcPr>
            <w:tcW w:type="pct" w:w="1500"/>
            <w:shd w:fill="F1F5F9" w:val="clear"/>
            <w:tcMar>
              <w:top w:type="dxa" w:w="60"/>
              <w:left w:type="dxa" w:w="120"/>
              <w:bottom w:type="dxa" w:w="60"/>
              <w:right w:type="dxa" w:w="120"/>
            </w:tcMar>
          </w:tcPr>
          <w:p>
            <w:pPr>
              <w:spacing w:line="312"/>
              <w:jc w:val="left"/>
            </w:pPr>
            <w:r>
              <w:rPr>
                <w:rFonts w:ascii="Times New Roman" w:eastAsia="SimHei"/>
                <w:b/>
                <w:bCs/>
                <w:color w:val="000000"/>
                <w:sz w:val="21"/>
                <w:szCs w:val="21"/>
              </w:rPr>
              <w:t xml:space="preserve">缺口</w:t>
            </w:r>
          </w:p>
        </w:tc>
      </w:tr>
      <w:tr>
        <w:trPr>
          <w:cantSplit/>
        </w:trPr>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4.1.1</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词表义项清单（171 词、12 次类）、词表版本说明、数据集说明与数据字典、表 1 原始义项总表（996 义位已固化）</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 词语料检索（排期）</w:t>
            </w:r>
          </w:p>
        </w:tc>
      </w:tr>
      <w:tr>
        <w:trPr>
          <w:cantSplit/>
        </w:trPr>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4.1.2</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三表工作流与脚本、粗筛草稿（试点 12 词 232 义位已打标）、义项判定标准编码手册、MOVECAT 平台</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大模型初筛运行与平台字段补齐</w:t>
            </w:r>
          </w:p>
        </w:tc>
      </w:tr>
      <w:tr>
        <w:trPr>
          <w:cantSplit/>
        </w:trPr>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4.1.3</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平台进度与导出视图</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信度数据（随标注产出）</w:t>
            </w:r>
          </w:p>
        </w:tc>
      </w:tr>
      <w:tr>
        <w:trPr>
          <w:cantSplit/>
        </w:trPr>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4.2.1</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编码手册中理论到操作的对应链成稿</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域与系的理论定义成文</w:t>
            </w:r>
          </w:p>
        </w:tc>
      </w:tr>
      <w:tr>
        <w:trPr>
          <w:cantSplit/>
        </w:trPr>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4.2.2</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义位层图式与次类矩阵（词目层版已有，义位层版随标注升级）</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全量标注数据回填</w:t>
            </w:r>
          </w:p>
        </w:tc>
      </w:tr>
      <w:tr>
        <w:trPr>
          <w:cantSplit/>
        </w:trPr>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4.3.1、4.3.2</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搭配明细语义归类列、图式证据总览、PS 计算层</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义位子语料内的归类与重算</w:t>
            </w:r>
          </w:p>
        </w:tc>
      </w:tr>
    </w:tbl>
    <w:p>
      <w:pPr>
        <w:pStyle w:val="Heading1"/>
        <w:spacing w:after="160" w:before="360" w:line="312"/>
      </w:pPr>
      <w:r>
        <w:rPr>
          <w:rFonts w:ascii="Times New Roman" w:eastAsia="SimHei"/>
          <w:b/>
          <w:bCs/>
          <w:color w:val="000000"/>
          <w:sz w:val="32"/>
          <w:szCs w:val="32"/>
        </w:rPr>
        <w:t xml:space="preserve">三、写作纪律</w:t>
      </w:r>
    </w:p>
    <w:p>
      <w:pPr>
        <w:pStyle w:val="ListParagraph"/>
        <w:numPr>
          <w:ilvl w:val="0"/>
          <w:numId w:val="2"/>
        </w:numPr>
        <w:spacing w:after="40" w:line="312"/>
        <w:jc w:val="both"/>
      </w:pPr>
      <w:r>
        <w:rPr>
          <w:rFonts w:ascii="Times New Roman" w:eastAsia="SimSun"/>
          <w:color w:val="000000"/>
          <w:sz w:val="24"/>
          <w:szCs w:val="24"/>
        </w:rPr>
        <w:t xml:space="preserve">理论到操作的链条显性写出：每一条操作规则回扣其理论命题，不藏在操作描述里。</w:t>
      </w:r>
    </w:p>
    <w:p>
      <w:pPr>
        <w:pStyle w:val="ListParagraph"/>
        <w:numPr>
          <w:ilvl w:val="0"/>
          <w:numId w:val="2"/>
        </w:numPr>
        <w:spacing w:after="40" w:line="312"/>
        <w:jc w:val="both"/>
      </w:pPr>
      <w:r>
        <w:rPr>
          <w:rFonts w:ascii="Times New Roman" w:eastAsia="SimSun"/>
          <w:color w:val="000000"/>
          <w:sz w:val="24"/>
          <w:szCs w:val="24"/>
        </w:rPr>
        <w:t xml:space="preserve">术语全文唯一：三域七系或三域八系一个版本；Kappa 或 Krippendorff 的 alpha 只用其一；主导义、原型义、Y 类三个概念各归其位，不互换。</w:t>
      </w:r>
    </w:p>
    <w:p>
      <w:pPr>
        <w:pStyle w:val="ListParagraph"/>
        <w:numPr>
          <w:ilvl w:val="0"/>
          <w:numId w:val="2"/>
        </w:numPr>
        <w:spacing w:after="40" w:line="312"/>
        <w:jc w:val="both"/>
      </w:pPr>
      <w:r>
        <w:rPr>
          <w:rFonts w:ascii="Times New Roman" w:eastAsia="SimSun"/>
          <w:color w:val="000000"/>
          <w:sz w:val="24"/>
          <w:szCs w:val="24"/>
        </w:rPr>
        <w:t xml:space="preserve">数字可回溯：正文任一统计量能回指表 3、图式矩阵或原型性得分表；数据集升版时在数据字典记录变更。</w:t>
      </w:r>
    </w:p>
    <w:p>
      <w:pPr>
        <w:pStyle w:val="ListParagraph"/>
        <w:numPr>
          <w:ilvl w:val="0"/>
          <w:numId w:val="2"/>
        </w:numPr>
        <w:spacing w:after="40" w:line="312"/>
        <w:jc w:val="both"/>
      </w:pPr>
      <w:r>
        <w:rPr>
          <w:rFonts w:ascii="Times New Roman" w:eastAsia="SimSun"/>
          <w:color w:val="000000"/>
          <w:sz w:val="24"/>
          <w:szCs w:val="24"/>
        </w:rPr>
        <w:t xml:space="preserve">与 Lexikos 论文分工清晰：试点是本章机制的预演，引用而不重复展开；本章数据为全量 669 义位，超出试点的结论只在全量完成后书写。</w:t>
      </w:r>
    </w:p>
    <w:p>
      <w:pPr>
        <w:pStyle w:val="ListParagraph"/>
        <w:numPr>
          <w:ilvl w:val="0"/>
          <w:numId w:val="2"/>
        </w:numPr>
        <w:spacing w:after="40" w:line="312"/>
        <w:jc w:val="both"/>
      </w:pPr>
      <w:r>
        <w:rPr>
          <w:rFonts w:ascii="Times New Roman" w:eastAsia="SimSun"/>
          <w:color w:val="000000"/>
          <w:sz w:val="24"/>
          <w:szCs w:val="24"/>
        </w:rPr>
        <w:t xml:space="preserve">体系未归纳完成前，不预设成员名单与分布数字；未完成的全量结论不提前落笔。</w:t>
      </w:r>
    </w:p>
    <w:p>
      <w:pPr>
        <w:pStyle w:val="Heading1"/>
        <w:spacing w:after="160" w:before="360" w:line="312"/>
      </w:pPr>
      <w:r>
        <w:rPr>
          <w:rFonts w:ascii="Times New Roman" w:eastAsia="SimHei"/>
          <w:b/>
          <w:bCs/>
          <w:color w:val="000000"/>
          <w:sz w:val="32"/>
          <w:szCs w:val="32"/>
        </w:rPr>
        <w:t xml:space="preserve">四、模拟答辩自查五问</w:t>
      </w:r>
    </w:p>
    <w:p>
      <w:pPr>
        <w:pStyle w:val="ListParagraph"/>
        <w:numPr>
          <w:ilvl w:val="0"/>
          <w:numId w:val="3"/>
        </w:numPr>
        <w:spacing w:after="40" w:line="312"/>
        <w:jc w:val="both"/>
      </w:pPr>
      <w:r>
        <w:rPr>
          <w:rFonts w:ascii="Times New Roman" w:eastAsia="SimSun"/>
          <w:color w:val="000000"/>
          <w:sz w:val="24"/>
          <w:szCs w:val="24"/>
        </w:rPr>
        <w:t xml:space="preserve">三域七系是先定的还是数据归纳的？以 4.2.1 的归纳路线声明与 4.2.2 的分布数据自证。</w:t>
      </w:r>
    </w:p>
    <w:p>
      <w:pPr>
        <w:pStyle w:val="ListParagraph"/>
        <w:numPr>
          <w:ilvl w:val="0"/>
          <w:numId w:val="3"/>
        </w:numPr>
        <w:spacing w:after="40" w:line="312"/>
        <w:jc w:val="both"/>
      </w:pPr>
      <w:r>
        <w:rPr>
          <w:rFonts w:ascii="Times New Roman" w:eastAsia="SimSun"/>
          <w:color w:val="000000"/>
          <w:sz w:val="24"/>
          <w:szCs w:val="24"/>
        </w:rPr>
        <w:t xml:space="preserve">与 Levin 分类差别何在？以 4.2.2 对照表的成员对应、错位案例与增量声明作答。</w:t>
      </w:r>
    </w:p>
    <w:p>
      <w:pPr>
        <w:pStyle w:val="ListParagraph"/>
        <w:numPr>
          <w:ilvl w:val="0"/>
          <w:numId w:val="3"/>
        </w:numPr>
        <w:spacing w:after="40" w:line="312"/>
        <w:jc w:val="both"/>
      </w:pPr>
      <w:r>
        <w:rPr>
          <w:rFonts w:ascii="Times New Roman" w:eastAsia="SimSun"/>
          <w:color w:val="000000"/>
          <w:sz w:val="24"/>
          <w:szCs w:val="24"/>
        </w:rPr>
        <w:t xml:space="preserve">义位判定可靠吗？以 4.1.2 双重核验机制与 4.1.3 信度数字作答。</w:t>
      </w:r>
    </w:p>
    <w:p>
      <w:pPr>
        <w:pStyle w:val="ListParagraph"/>
        <w:numPr>
          <w:ilvl w:val="0"/>
          <w:numId w:val="3"/>
        </w:numPr>
        <w:spacing w:after="40" w:line="312"/>
        <w:jc w:val="both"/>
      </w:pPr>
      <w:r>
        <w:rPr>
          <w:rFonts w:ascii="Times New Roman" w:eastAsia="SimSun"/>
          <w:color w:val="000000"/>
          <w:sz w:val="24"/>
          <w:szCs w:val="24"/>
        </w:rPr>
        <w:t xml:space="preserve">原型梯度如何量化？以 4.3.2 义位子语料内的原型性得分口径作答。</w:t>
      </w:r>
    </w:p>
    <w:p>
      <w:pPr>
        <w:pStyle w:val="ListParagraph"/>
        <w:numPr>
          <w:ilvl w:val="0"/>
          <w:numId w:val="3"/>
        </w:numPr>
        <w:spacing w:after="40" w:line="312"/>
        <w:jc w:val="both"/>
      </w:pPr>
      <w:r>
        <w:rPr>
          <w:rFonts w:ascii="Times New Roman" w:eastAsia="SimSun"/>
          <w:color w:val="000000"/>
          <w:sz w:val="24"/>
          <w:szCs w:val="24"/>
        </w:rPr>
        <w:t xml:space="preserve">词表 12 个次类与体系的系如何对应？以 4.2.2 的映射与换算说明作答。</w:t>
      </w:r>
    </w:p>
    <w:sectPr>
      <w:footerReference w:type="default" r:id="rId6"/>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cp:lastModifiedBy>Un-named</cp:lastModifiedBy>
  <cp:revision>1</cp:revision>
  <dcterms:created xsi:type="dcterms:W3CDTF">2026-10-08T03:20:13.050Z</dcterms:created>
  <dcterms:modified xsi:type="dcterms:W3CDTF">2026-10-08T03:20:13.051Z</dcterms:modified>
</cp:coreProperties>
</file>

<file path=docProps/custom.xml><?xml version="1.0" encoding="utf-8"?>
<Properties xmlns="http://schemas.openxmlformats.org/officeDocument/2006/custom-properties" xmlns:vt="http://schemas.openxmlformats.org/officeDocument/2006/docPropsVTypes"/>
</file>