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F95E6">
      <w:pPr>
        <w:spacing w:before="312" w:beforeLines="100" w:after="312" w:afterLines="100"/>
        <w:jc w:val="center"/>
        <w:rPr>
          <w:rFonts w:hint="eastAsia" w:ascii="黑体" w:hAnsi="黑体" w:eastAsia="黑体"/>
          <w:sz w:val="18"/>
          <w:szCs w:val="18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物联网工程</w:t>
      </w:r>
      <w:r>
        <w:rPr>
          <w:rFonts w:hint="eastAsia" w:ascii="黑体" w:hAnsi="黑体" w:eastAsia="黑体"/>
          <w:sz w:val="32"/>
          <w:szCs w:val="32"/>
        </w:rPr>
        <w:t>专业理论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课程</w:t>
      </w:r>
      <w:r>
        <w:rPr>
          <w:rFonts w:hint="eastAsia" w:ascii="黑体" w:hAnsi="黑体" w:eastAsia="黑体"/>
          <w:sz w:val="32"/>
          <w:szCs w:val="32"/>
          <w:lang w:eastAsia="zh-CN"/>
        </w:rPr>
        <w:t>《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单片机原理及应用</w:t>
      </w:r>
      <w:r>
        <w:rPr>
          <w:rFonts w:hint="eastAsia" w:ascii="黑体" w:hAnsi="黑体" w:eastAsia="黑体"/>
          <w:sz w:val="32"/>
          <w:szCs w:val="32"/>
          <w:lang w:eastAsia="zh-CN"/>
        </w:rPr>
        <w:t>》</w:t>
      </w:r>
      <w:r>
        <w:rPr>
          <w:rFonts w:hint="eastAsia" w:ascii="黑体" w:hAnsi="黑体" w:eastAsia="黑体"/>
          <w:sz w:val="32"/>
          <w:szCs w:val="32"/>
        </w:rPr>
        <w:t>教学大纲</w:t>
      </w:r>
    </w:p>
    <w:tbl>
      <w:tblPr>
        <w:tblStyle w:val="8"/>
        <w:tblW w:w="499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3878"/>
      </w:tblGrid>
      <w:tr w14:paraId="5327C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56489">
            <w:pPr>
              <w:spacing w:line="360" w:lineRule="auto"/>
              <w:ind w:left="420" w:leftChars="200"/>
              <w:rPr>
                <w:rFonts w:ascii="Times New Roman" w:hAnsi="Times New Roman"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一、课程基本信息（黑体小四）</w:t>
            </w:r>
          </w:p>
        </w:tc>
      </w:tr>
      <w:tr w14:paraId="50CD2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76E14F">
            <w:pPr>
              <w:spacing w:line="360" w:lineRule="auto"/>
              <w:ind w:left="420" w:leftChars="200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课程</w:t>
            </w: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  <w:lang w:val="en-US" w:eastAsia="zh-CN"/>
              </w:rPr>
              <w:t>中文</w:t>
            </w: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名称：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>单片机原理及应用</w:t>
            </w:r>
          </w:p>
        </w:tc>
      </w:tr>
      <w:tr w14:paraId="2AD72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F73792">
            <w:pPr>
              <w:spacing w:line="360" w:lineRule="auto"/>
              <w:ind w:left="420" w:leftChars="200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课程英文</w:t>
            </w: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  <w:lang w:val="en-US" w:eastAsia="zh-CN"/>
              </w:rPr>
              <w:t>名称</w:t>
            </w: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>Principle and Application of Single Chip Microcomputer</w:t>
            </w:r>
          </w:p>
        </w:tc>
      </w:tr>
      <w:tr w14:paraId="42D8B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E07EF">
            <w:pPr>
              <w:spacing w:line="360" w:lineRule="auto"/>
              <w:ind w:left="420" w:leftChars="200"/>
              <w:jc w:val="left"/>
              <w:rPr>
                <w:rFonts w:ascii="Times New Roman" w:hAnsi="Times New Roman"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课程类别：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专业选修</w:t>
            </w:r>
          </w:p>
        </w:tc>
        <w:tc>
          <w:tcPr>
            <w:tcW w:w="2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C0ED3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课程性质：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</w:rPr>
              <w:t xml:space="preserve">必修 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</w:rPr>
              <w:t xml:space="preserve">限选 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</w:rPr>
              <w:t>任选</w:t>
            </w:r>
          </w:p>
        </w:tc>
      </w:tr>
      <w:tr w14:paraId="7C76D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F908D">
            <w:pPr>
              <w:spacing w:line="360" w:lineRule="auto"/>
              <w:ind w:left="420" w:leftChars="200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课程</w:t>
            </w: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  <w:lang w:val="en-US" w:eastAsia="zh-CN"/>
              </w:rPr>
              <w:t>代码</w:t>
            </w: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color w:val="auto"/>
                <w:spacing w:val="-10"/>
                <w:w w:val="80"/>
                <w:kern w:val="0"/>
                <w:sz w:val="24"/>
                <w:szCs w:val="24"/>
                <w:lang w:val="en-US" w:eastAsia="zh-CN"/>
              </w:rPr>
              <w:t>21103203</w:t>
            </w:r>
          </w:p>
        </w:tc>
        <w:tc>
          <w:tcPr>
            <w:tcW w:w="2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9F3A8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考核方式：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 xml:space="preserve">考试 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考查</w:t>
            </w:r>
          </w:p>
        </w:tc>
      </w:tr>
      <w:tr w14:paraId="57C35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0B866">
            <w:pPr>
              <w:spacing w:line="360" w:lineRule="auto"/>
              <w:ind w:left="420" w:leftChars="200"/>
              <w:rPr>
                <w:rFonts w:ascii="Times New Roman" w:hAnsi="Times New Roman"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学分/总学时/周学时：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3/68/4</w:t>
            </w:r>
          </w:p>
        </w:tc>
      </w:tr>
      <w:tr w14:paraId="11489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012D3">
            <w:pPr>
              <w:spacing w:line="360" w:lineRule="auto"/>
              <w:ind w:left="420" w:leftChars="200"/>
              <w:rPr>
                <w:rFonts w:ascii="Times New Roman" w:hAnsi="Times New Roman"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0"/>
                <w:sz w:val="24"/>
                <w:szCs w:val="24"/>
              </w:rPr>
              <w:t>理论学时/实践学时：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34/34</w:t>
            </w:r>
          </w:p>
        </w:tc>
      </w:tr>
      <w:tr w14:paraId="3FBFA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C1495">
            <w:pPr>
              <w:spacing w:line="360" w:lineRule="auto"/>
              <w:ind w:left="420" w:leftChars="200" w:right="-287" w:rightChars="-137"/>
              <w:rPr>
                <w:rFonts w:ascii="Times New Roman" w:hAnsi="Times New Roman"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先修</w:t>
            </w:r>
            <w:r>
              <w:rPr>
                <w:rFonts w:ascii="Times New Roman" w:hAnsi="Times New Roman" w:eastAsia="宋体"/>
                <w:b/>
                <w:kern w:val="0"/>
                <w:sz w:val="24"/>
                <w:szCs w:val="24"/>
              </w:rPr>
              <w:t>课</w:t>
            </w: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  <w:lang w:val="en-US" w:eastAsia="zh-CN"/>
              </w:rPr>
              <w:t>程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程序设计基础,电路与电子技术,数据结构,计算机组成原理</w:t>
            </w:r>
          </w:p>
        </w:tc>
      </w:tr>
      <w:tr w14:paraId="25304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2DA5A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适用专业：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物联网工程,计算机科学与技术</w:t>
            </w:r>
          </w:p>
        </w:tc>
      </w:tr>
      <w:tr w14:paraId="47AF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CEB6B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b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  <w:t>开课学期：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物联网工程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lang w:val="en-US" w:eastAsia="zh-CN"/>
              </w:rPr>
              <w:t xml:space="preserve">第4学期, 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计算机科学与技术第5学期</w:t>
            </w:r>
          </w:p>
        </w:tc>
      </w:tr>
      <w:tr w14:paraId="793AB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FE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420" w:leftChars="200"/>
              <w:textAlignment w:val="auto"/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在线课程网址：</w:t>
            </w:r>
          </w:p>
          <w:p w14:paraId="6C237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420" w:leftChars="200"/>
              <w:textAlignment w:val="auto"/>
              <w:rPr>
                <w:rFonts w:hint="eastAsia" w:ascii="Times New Roman" w:hAnsi="Times New Roman"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15"/>
                <w:szCs w:val="15"/>
                <w:lang w:val="en-US" w:eastAsia="zh-CN"/>
              </w:rPr>
              <w:t>https://mooc2-ans.chaoxing.com/mooc2-ans/mycourse/tch?courseid=249799391&amp;clazzid=138849248&amp;cpi=50803810&amp;enc=c2d3edf27a1d0e6efb157eff1d8e167a&amp;t=1778202733750&amp;pageHeader=-1&amp;v=2&amp;hideHead=0</w:t>
            </w:r>
          </w:p>
        </w:tc>
      </w:tr>
      <w:tr w14:paraId="01261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E4540">
            <w:pPr>
              <w:spacing w:line="360" w:lineRule="auto"/>
              <w:ind w:left="420" w:leftChars="200" w:right="-287" w:rightChars="-137"/>
              <w:rPr>
                <w:rFonts w:ascii="Times New Roman" w:hAnsi="Times New Roman" w:eastAsia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0"/>
                <w:sz w:val="24"/>
                <w:szCs w:val="24"/>
              </w:rPr>
              <w:t>开课单位：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计算机学院</w:t>
            </w:r>
          </w:p>
        </w:tc>
      </w:tr>
      <w:tr w14:paraId="280C3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D2539">
            <w:pPr>
              <w:spacing w:line="360" w:lineRule="auto"/>
              <w:ind w:left="420" w:leftChars="200" w:right="-287" w:rightChars="-137"/>
              <w:rPr>
                <w:rFonts w:ascii="Times New Roman" w:hAnsi="Times New Roman" w:eastAsia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课程负责人：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曾镜源</w:t>
            </w:r>
          </w:p>
        </w:tc>
      </w:tr>
      <w:tr w14:paraId="7A053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C100C">
            <w:pPr>
              <w:spacing w:line="360" w:lineRule="auto"/>
              <w:ind w:left="420" w:leftChars="200" w:right="-287" w:rightChars="-137"/>
              <w:rPr>
                <w:rFonts w:ascii="Times New Roman" w:hAnsi="Times New Roman" w:eastAsia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课程组成员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周汉达，侯跃恩，陈世文</w:t>
            </w:r>
          </w:p>
        </w:tc>
      </w:tr>
      <w:tr w14:paraId="4A8B7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F2260">
            <w:pPr>
              <w:spacing w:line="360" w:lineRule="auto"/>
              <w:ind w:left="420" w:leftChars="200"/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</w:rPr>
              <w:t>大纲执笔人：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曾镜源</w:t>
            </w:r>
            <w:bookmarkStart w:id="1" w:name="_GoBack"/>
            <w:bookmarkEnd w:id="1"/>
          </w:p>
        </w:tc>
      </w:tr>
    </w:tbl>
    <w:p w14:paraId="226ED1CC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二、课程简介</w:t>
      </w:r>
    </w:p>
    <w:p w14:paraId="1CD77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方正仿宋_GB2312"/>
          <w:kern w:val="0"/>
          <w:sz w:val="24"/>
          <w:szCs w:val="24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本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课程是物联网工程专业中一门至关重要的核心课程，它处于专业知识体系的基础与应用的交汇点，对于培养学生的硬件设计与软件编程能力具有不可替代的作用。本课程旨在通过理论讲授与实践操作相结合的方式，使学生深刻理解单片机的工作原理、体系结构、编程方法及接口技术，为后续物联网系统开发、嵌入式系统设计等高级课程打下坚实基础。</w:t>
      </w:r>
    </w:p>
    <w:p w14:paraId="39646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方正仿宋_GB2312"/>
          <w:kern w:val="0"/>
          <w:sz w:val="24"/>
          <w:szCs w:val="24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</w:rPr>
        <w:t>课程设计思路围绕“理论-实践-创新”三位一体展开，首先介绍单片机的基本概念、发展历程和内部结构；随后深入讲解指令系统、汇编语言及C语言编程，强化学生的编程技能；最后通过丰富的项目实例，如LED控制、传感器数据采集等，让学生在实践中掌握单片机的外围设备接口技术及应用开发流程。</w:t>
      </w:r>
    </w:p>
    <w:p w14:paraId="5BFED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</w:pPr>
      <w:r>
        <w:rPr>
          <w:rFonts w:hint="eastAsia" w:ascii="宋体" w:hAnsi="宋体" w:eastAsia="宋体" w:cs="方正仿宋_GB2312"/>
          <w:kern w:val="0"/>
          <w:sz w:val="24"/>
          <w:szCs w:val="24"/>
        </w:rPr>
        <w:t>该课程与《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程序设计基础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</w:t>
      </w:r>
      <w:r>
        <w:rPr>
          <w:rFonts w:hint="eastAsia" w:ascii="Times New Roman" w:hAnsi="Times New Roman" w:eastAsia="宋体"/>
          <w:kern w:val="0"/>
          <w:sz w:val="24"/>
          <w:szCs w:val="24"/>
          <w:lang w:val="en-US" w:eastAsia="zh-CN"/>
        </w:rPr>
        <w:t>电路与电子技术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数据结构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》等基础课程紧密相连，同时是《嵌入式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Linux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系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统驱动开发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》、《嵌入式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Linux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系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统应用开发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》等高级课程的前置基础，为学生构建全面的物联网工程知识体系提供了关键支撑，对提升学生解决实际问题的能力、促进创新思维发展具有重要意义。</w:t>
      </w:r>
    </w:p>
    <w:p w14:paraId="42B679CB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三、课程目标</w:t>
      </w:r>
    </w:p>
    <w:p w14:paraId="7E032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</w:t>
      </w:r>
      <w:r>
        <w:rPr>
          <w:rFonts w:ascii="Times New Roman" w:hAnsi="Times New Roman" w:eastAsia="宋体"/>
          <w:b/>
          <w:bCs/>
          <w:kern w:val="0"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：知识与技能。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学生能够掌握单片机的基本原理、架构及编程方法，熟练运用C语言或汇编语言进行单片机程序设计，独立完成基于单片机的简单控制系统设计与实现，具备解决物联网工程中基础硬件问题的能力。（支撑毕业要求中的“专业技术应用能力”）</w:t>
      </w:r>
    </w:p>
    <w:p w14:paraId="613F6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课程目标2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：过程与方法。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通过项目驱动的学习模式，培养学生分析问题、设计解决方案、实施并测试系统的能力，形成科学严谨的实验态度和问题解决思维。（支撑培养目标中的“实践与创新能力”）</w:t>
      </w:r>
    </w:p>
    <w:p w14:paraId="764FB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课程目标3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：情感态度价值观。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激发学生对物联网技术的兴趣和热情，培养团队协作精神，强化责任意识与职业道德，树立科技服务社会的价值观。（课程思政目标，强调“科技伦理与社会责任”）</w:t>
      </w:r>
    </w:p>
    <w:p w14:paraId="1B82952F">
      <w:pPr>
        <w:ind w:firstLine="480" w:firstLineChars="200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课程目标4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：价值引领。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在项目实施中融入爱国情怀，鼓励学生关注国家科技发展战略，理解单片机技术在国产自主可控系统中的重要性，培养家国情怀与担当精神。（课程思政目标，突出“爱国情怀与国际视野”）</w:t>
      </w:r>
    </w:p>
    <w:p w14:paraId="680E6FE6">
      <w:pPr>
        <w:ind w:firstLine="480" w:firstLineChars="200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</w:p>
    <w:p w14:paraId="6E7CD06B">
      <w:pPr>
        <w:ind w:firstLine="420"/>
        <w:rPr>
          <w:rFonts w:hint="eastAsia" w:ascii="Times New Roman" w:hAnsi="Times New Roman" w:eastAsia="宋体" w:cstheme="majorBidi"/>
          <w:kern w:val="0"/>
          <w:sz w:val="20"/>
          <w:szCs w:val="24"/>
        </w:rPr>
      </w:pPr>
      <w:r>
        <w:rPr>
          <w:rFonts w:hint="eastAsia" w:ascii="黑体" w:hAnsi="黑体" w:eastAsia="黑体" w:cs="黑体"/>
          <w:bCs/>
          <w:kern w:val="0"/>
          <w:sz w:val="24"/>
          <w:szCs w:val="24"/>
        </w:rPr>
        <w:t>四、课程目标与毕业要求支撑关系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4475"/>
        <w:gridCol w:w="1167"/>
        <w:gridCol w:w="1320"/>
      </w:tblGrid>
      <w:tr w14:paraId="6119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tblHeader/>
        </w:trPr>
        <w:tc>
          <w:tcPr>
            <w:tcW w:w="918" w:type="pct"/>
            <w:noWrap w:val="0"/>
            <w:vAlign w:val="center"/>
          </w:tcPr>
          <w:p w14:paraId="1CE2B0D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毕业要求</w:t>
            </w:r>
          </w:p>
        </w:tc>
        <w:tc>
          <w:tcPr>
            <w:tcW w:w="2623" w:type="pct"/>
            <w:noWrap w:val="0"/>
            <w:vAlign w:val="center"/>
          </w:tcPr>
          <w:p w14:paraId="3965E20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支撑的毕业要求指标点</w:t>
            </w:r>
          </w:p>
        </w:tc>
        <w:tc>
          <w:tcPr>
            <w:tcW w:w="684" w:type="pct"/>
            <w:noWrap w:val="0"/>
            <w:vAlign w:val="center"/>
          </w:tcPr>
          <w:p w14:paraId="31497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支撑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强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度</w:t>
            </w:r>
          </w:p>
          <w:p w14:paraId="483F8286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（L/M/H）</w:t>
            </w:r>
          </w:p>
        </w:tc>
        <w:tc>
          <w:tcPr>
            <w:tcW w:w="773" w:type="pct"/>
            <w:noWrap w:val="0"/>
            <w:vAlign w:val="center"/>
          </w:tcPr>
          <w:p w14:paraId="20FF5A8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对应</w:t>
            </w:r>
          </w:p>
          <w:p w14:paraId="2097BD21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课程目标</w:t>
            </w:r>
          </w:p>
        </w:tc>
      </w:tr>
      <w:tr w14:paraId="3137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918" w:type="pct"/>
            <w:shd w:val="clear" w:color="auto" w:fill="auto"/>
            <w:noWrap w:val="0"/>
            <w:vAlign w:val="center"/>
          </w:tcPr>
          <w:p w14:paraId="43BFB3F9">
            <w:pPr>
              <w:spacing w:line="360" w:lineRule="auto"/>
              <w:jc w:val="center"/>
              <w:rPr>
                <w:rFonts w:hint="default" w:cs="Times New Roman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2623" w:type="pct"/>
            <w:shd w:val="clear" w:color="auto" w:fill="auto"/>
            <w:noWrap w:val="0"/>
            <w:vAlign w:val="center"/>
          </w:tcPr>
          <w:p w14:paraId="1745F9DA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684" w:type="pct"/>
            <w:shd w:val="clear" w:color="auto" w:fill="auto"/>
            <w:noWrap w:val="0"/>
            <w:vAlign w:val="center"/>
          </w:tcPr>
          <w:p w14:paraId="668E5BC7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773" w:type="pct"/>
            <w:shd w:val="clear" w:color="auto" w:fill="auto"/>
            <w:noWrap w:val="0"/>
            <w:vAlign w:val="center"/>
          </w:tcPr>
          <w:p w14:paraId="57CD4D0B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</w:tr>
      <w:tr w14:paraId="5321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918" w:type="pct"/>
            <w:noWrap w:val="0"/>
            <w:vAlign w:val="center"/>
          </w:tcPr>
          <w:p w14:paraId="1C45A9BE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2623" w:type="pct"/>
            <w:noWrap w:val="0"/>
            <w:vAlign w:val="center"/>
          </w:tcPr>
          <w:p w14:paraId="703A2BAF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684" w:type="pct"/>
            <w:noWrap w:val="0"/>
            <w:vAlign w:val="center"/>
          </w:tcPr>
          <w:p w14:paraId="0191D928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773" w:type="pct"/>
            <w:noWrap w:val="0"/>
            <w:vAlign w:val="center"/>
          </w:tcPr>
          <w:p w14:paraId="1EFCA7D1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</w:tr>
      <w:tr w14:paraId="0EFC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918" w:type="pct"/>
            <w:noWrap w:val="0"/>
            <w:vAlign w:val="center"/>
          </w:tcPr>
          <w:p w14:paraId="0118619B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2623" w:type="pct"/>
            <w:noWrap w:val="0"/>
            <w:vAlign w:val="center"/>
          </w:tcPr>
          <w:p w14:paraId="7363E6A1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684" w:type="pct"/>
            <w:noWrap w:val="0"/>
            <w:vAlign w:val="center"/>
          </w:tcPr>
          <w:p w14:paraId="475570EC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773" w:type="pct"/>
            <w:noWrap w:val="0"/>
            <w:vAlign w:val="center"/>
          </w:tcPr>
          <w:p w14:paraId="017F1842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</w:tr>
    </w:tbl>
    <w:p w14:paraId="43E442A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600" w:lineRule="exact"/>
        <w:ind w:firstLine="480" w:firstLineChars="200"/>
        <w:textAlignment w:val="auto"/>
        <w:rPr>
          <w:rFonts w:hint="default" w:ascii="黑体" w:hAnsi="黑体" w:eastAsia="黑体" w:cs="黑体"/>
          <w:b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kern w:val="0"/>
          <w:sz w:val="24"/>
          <w:szCs w:val="24"/>
          <w:lang w:val="en-US" w:eastAsia="zh-CN" w:bidi="ar-SA"/>
        </w:rPr>
        <w:t>五、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课程思政教学要点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3130"/>
        <w:gridCol w:w="4014"/>
      </w:tblGrid>
      <w:tr w14:paraId="2DA9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38D4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  <w:t>思政内容</w:t>
            </w:r>
          </w:p>
        </w:tc>
        <w:tc>
          <w:tcPr>
            <w:tcW w:w="3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69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  <w:t>目标要求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95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inorEastAsia" w:hAnsiTheme="minorEastAsia" w:eastAsia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color w:val="000000"/>
                <w:kern w:val="0"/>
                <w:szCs w:val="21"/>
              </w:rPr>
              <w:t>关联的主要知识点</w:t>
            </w:r>
          </w:p>
        </w:tc>
      </w:tr>
      <w:tr w14:paraId="741E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A8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default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理想信念：科技强国与自主创新</w:t>
            </w:r>
          </w:p>
        </w:tc>
        <w:tc>
          <w:tcPr>
            <w:tcW w:w="3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76E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引导学生树立科技报国的远大理想，将个人职业规划融入国家智能制造战略，坚定走中国特色自主创新道路的信心。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93A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单片机技术发展趋势、国产芯片（如STC、GD32）的崛起之路、从“中国制造”到“中国智造”的转型案例。</w:t>
            </w:r>
          </w:p>
        </w:tc>
      </w:tr>
      <w:tr w14:paraId="1910D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2EFDA" w:fill="FFFFFF"/>
            <w:vAlign w:val="center"/>
          </w:tcPr>
          <w:p w14:paraId="36A74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家国情怀：国产芯片的突围与崛起</w:t>
            </w:r>
          </w:p>
        </w:tc>
        <w:tc>
          <w:tcPr>
            <w:tcW w:w="3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2EFDA" w:fill="FFFFFF"/>
            <w:vAlign w:val="center"/>
          </w:tcPr>
          <w:p w14:paraId="1FCDB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激发学生的民族自豪感与爱国热情，深刻理解核心技术自主可控的重要性，增强对国产软硬件生态的认同感。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2EFDA" w:fill="FFFFFF"/>
            <w:vAlign w:val="center"/>
          </w:tcPr>
          <w:p w14:paraId="1ECA3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中国单片机发展史、华为海思芯片突破、STC单片机（宏晶科技）的自主研发历程、Keil与国产IDE对比。</w:t>
            </w:r>
          </w:p>
        </w:tc>
      </w:tr>
      <w:tr w14:paraId="74AB5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0F5B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社会责任：科技赋能与社会服务</w:t>
            </w:r>
          </w:p>
        </w:tc>
        <w:tc>
          <w:tcPr>
            <w:tcW w:w="3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207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培养学生利用单片机技术解决社会实际问题的能力，关注民生需求，理解科技工作者在乡村振兴、环境保护中的担当。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6B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智能家居系统设计、环境监测系统（温湿度/烟雾报警）、智慧农业灌溉控制、疫情防控中的测温技术。</w:t>
            </w:r>
          </w:p>
        </w:tc>
      </w:tr>
      <w:tr w14:paraId="0FE3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2EFDA" w:fill="FFFFFF"/>
            <w:vAlign w:val="center"/>
          </w:tcPr>
          <w:p w14:paraId="5ACAC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职业伦理：工程规范与严谨治学</w:t>
            </w:r>
          </w:p>
        </w:tc>
        <w:tc>
          <w:tcPr>
            <w:tcW w:w="3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2EFDA" w:fill="FFFFFF"/>
            <w:vAlign w:val="center"/>
          </w:tcPr>
          <w:p w14:paraId="4E253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强化工程伦理意识，在软硬件开发中严格遵守行业规范，树立严谨务实、诚实守信的职业作风。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2EFDA" w:fill="FFFFFF"/>
            <w:vAlign w:val="center"/>
          </w:tcPr>
          <w:p w14:paraId="64FDD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嵌入式系统开发规范、代码编写规范（注释与逻辑）、工程验收标准、数据真实性与测试报告的严谨性。</w:t>
            </w:r>
          </w:p>
        </w:tc>
      </w:tr>
      <w:tr w14:paraId="472E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352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default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品德修养：工匠精神与精益求精</w:t>
            </w:r>
          </w:p>
        </w:tc>
        <w:tc>
          <w:tcPr>
            <w:tcW w:w="3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0AA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培养精益求精的工匠精神与吃苦耐劳的品质，在枯燥的调试过程中磨炼耐心，养成细致入微的工作作风。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E93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最小系统电路焊接工艺、软硬件联调中的故障排查、PCB布局布线的合理性、代码优化与内存管理。</w:t>
            </w:r>
          </w:p>
        </w:tc>
      </w:tr>
      <w:tr w14:paraId="2DBC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2EFDA" w:fill="FFFFFF"/>
            <w:vAlign w:val="center"/>
          </w:tcPr>
          <w:p w14:paraId="59AAB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全球视野：国际格局与技术竞争</w:t>
            </w:r>
          </w:p>
        </w:tc>
        <w:tc>
          <w:tcPr>
            <w:tcW w:w="3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2EFDA" w:fill="FFFFFF"/>
            <w:vAlign w:val="center"/>
          </w:tcPr>
          <w:p w14:paraId="7CA32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拓展学生的国际视野，了解全球嵌入式技术发展格局，在对比中认清差距与优势，培养开放包容的竞争意识。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2EFDA" w:fill="FFFFFF"/>
            <w:vAlign w:val="center"/>
          </w:tcPr>
          <w:p w14:paraId="2A2CD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ARM Cortex-M架构（STM32）的全球生态、RISC-V开源架构的机遇、国际半导体产业竞争格局、技术标准的国际化。</w:t>
            </w:r>
          </w:p>
        </w:tc>
      </w:tr>
      <w:tr w14:paraId="7AA6C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054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法治意识：知识产权与安全合规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972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增强知识产权保护意识与安全生产观念，在创新实践中尊法守法，明确技术应用的底线与红线。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680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 w:val="0"/>
                <w:color w:val="000000"/>
                <w:kern w:val="0"/>
                <w:szCs w:val="21"/>
                <w:lang w:val="en-US" w:eastAsia="zh-CN"/>
              </w:rPr>
              <w:t>软件著作权申请、开源代码的合规使用（License协议）、单片机开发中的用电安全、电磁兼容（EMC）环保标准。</w:t>
            </w:r>
          </w:p>
        </w:tc>
      </w:tr>
    </w:tbl>
    <w:p w14:paraId="06AF89E2">
      <w:pPr>
        <w:pStyle w:val="3"/>
        <w:keepNext w:val="0"/>
        <w:keepLines w:val="0"/>
        <w:numPr>
          <w:ilvl w:val="0"/>
          <w:numId w:val="0"/>
        </w:numPr>
        <w:spacing w:before="156" w:beforeLines="50" w:after="156" w:afterLines="50" w:line="360" w:lineRule="auto"/>
        <w:ind w:firstLine="480" w:firstLineChars="200"/>
        <w:rPr>
          <w:rFonts w:hint="eastAsia"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六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</w:t>
      </w:r>
      <w:r>
        <w:rPr>
          <w:rFonts w:hint="eastAsia" w:ascii="黑体" w:hAnsi="黑体" w:eastAsia="黑体" w:cs="黑体"/>
          <w:b w:val="0"/>
          <w:bCs/>
          <w:kern w:val="0"/>
          <w:sz w:val="24"/>
          <w:szCs w:val="24"/>
          <w:lang w:val="en-US" w:eastAsia="zh-CN" w:bidi="ar-SA"/>
        </w:rPr>
        <w:t>教学内容、学时分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配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与教学方法</w:t>
      </w:r>
    </w:p>
    <w:p w14:paraId="1CE910D1">
      <w:pPr>
        <w:jc w:val="center"/>
        <w:rPr>
          <w:rFonts w:hint="default" w:ascii="Times New Roman" w:hAnsi="Times New Roman" w:eastAsia="宋体"/>
          <w:b/>
          <w:bCs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val="en-US" w:eastAsia="zh-CN"/>
        </w:rPr>
        <w:t>教学内容学时分配汇总表</w:t>
      </w:r>
    </w:p>
    <w:tbl>
      <w:tblPr>
        <w:tblStyle w:val="9"/>
        <w:tblW w:w="85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4894"/>
        <w:gridCol w:w="662"/>
        <w:gridCol w:w="1838"/>
      </w:tblGrid>
      <w:tr w14:paraId="67905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52" w:type="dxa"/>
          </w:tcPr>
          <w:p w14:paraId="1F1944FD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模块</w:t>
            </w:r>
          </w:p>
        </w:tc>
        <w:tc>
          <w:tcPr>
            <w:tcW w:w="4894" w:type="dxa"/>
          </w:tcPr>
          <w:p w14:paraId="0F64828D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标题</w:t>
            </w:r>
          </w:p>
        </w:tc>
        <w:tc>
          <w:tcPr>
            <w:tcW w:w="662" w:type="dxa"/>
          </w:tcPr>
          <w:p w14:paraId="2DE08CEB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学时</w:t>
            </w:r>
          </w:p>
        </w:tc>
        <w:tc>
          <w:tcPr>
            <w:tcW w:w="1838" w:type="dxa"/>
          </w:tcPr>
          <w:p w14:paraId="54730468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学时占比（%）</w:t>
            </w:r>
          </w:p>
        </w:tc>
      </w:tr>
      <w:tr w14:paraId="619F4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52" w:type="dxa"/>
          </w:tcPr>
          <w:p w14:paraId="06EAC02C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一</w:t>
            </w:r>
          </w:p>
        </w:tc>
        <w:tc>
          <w:tcPr>
            <w:tcW w:w="4894" w:type="dxa"/>
            <w:shd w:val="clear" w:color="auto" w:fill="auto"/>
            <w:vAlign w:val="top"/>
          </w:tcPr>
          <w:p w14:paraId="6BAAE352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单片机系统认知与开发环境构建</w:t>
            </w:r>
          </w:p>
        </w:tc>
        <w:tc>
          <w:tcPr>
            <w:tcW w:w="662" w:type="dxa"/>
            <w:shd w:val="clear" w:color="auto" w:fill="auto"/>
            <w:vAlign w:val="top"/>
          </w:tcPr>
          <w:p w14:paraId="24FB7C76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838" w:type="dxa"/>
            <w:shd w:val="clear" w:color="auto" w:fill="auto"/>
            <w:vAlign w:val="top"/>
          </w:tcPr>
          <w:p w14:paraId="38E7A41E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10%</w:t>
            </w:r>
          </w:p>
        </w:tc>
      </w:tr>
      <w:tr w14:paraId="050B6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52" w:type="dxa"/>
            <w:shd w:val="clear" w:color="auto" w:fill="auto"/>
            <w:vAlign w:val="top"/>
          </w:tcPr>
          <w:p w14:paraId="58561B28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二</w:t>
            </w:r>
          </w:p>
        </w:tc>
        <w:tc>
          <w:tcPr>
            <w:tcW w:w="4894" w:type="dxa"/>
            <w:shd w:val="clear" w:color="auto" w:fill="auto"/>
            <w:vAlign w:val="top"/>
          </w:tcPr>
          <w:p w14:paraId="19BC9356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C51编程基础与I/O端口控制应用</w:t>
            </w:r>
          </w:p>
        </w:tc>
        <w:tc>
          <w:tcPr>
            <w:tcW w:w="662" w:type="dxa"/>
            <w:shd w:val="clear" w:color="auto" w:fill="auto"/>
            <w:vAlign w:val="top"/>
          </w:tcPr>
          <w:p w14:paraId="57444841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838" w:type="dxa"/>
            <w:shd w:val="clear" w:color="auto" w:fill="auto"/>
            <w:vAlign w:val="top"/>
          </w:tcPr>
          <w:p w14:paraId="495002AE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20%</w:t>
            </w:r>
          </w:p>
        </w:tc>
      </w:tr>
      <w:tr w14:paraId="599C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52" w:type="dxa"/>
            <w:shd w:val="clear" w:color="auto" w:fill="auto"/>
            <w:vAlign w:val="top"/>
          </w:tcPr>
          <w:p w14:paraId="00FD40E0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三</w:t>
            </w:r>
          </w:p>
        </w:tc>
        <w:tc>
          <w:tcPr>
            <w:tcW w:w="4894" w:type="dxa"/>
            <w:shd w:val="clear" w:color="auto" w:fill="auto"/>
            <w:vAlign w:val="top"/>
          </w:tcPr>
          <w:p w14:paraId="3C9BF7EC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中断系统与定时器/计数器应用</w:t>
            </w:r>
          </w:p>
        </w:tc>
        <w:tc>
          <w:tcPr>
            <w:tcW w:w="662" w:type="dxa"/>
            <w:shd w:val="clear" w:color="auto" w:fill="auto"/>
            <w:vAlign w:val="top"/>
          </w:tcPr>
          <w:p w14:paraId="34E74894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838" w:type="dxa"/>
            <w:shd w:val="clear" w:color="auto" w:fill="auto"/>
            <w:vAlign w:val="top"/>
          </w:tcPr>
          <w:p w14:paraId="57A3FFBF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20%</w:t>
            </w:r>
          </w:p>
        </w:tc>
      </w:tr>
      <w:tr w14:paraId="2EC1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2" w:type="dxa"/>
            <w:shd w:val="clear" w:color="auto" w:fill="auto"/>
            <w:vAlign w:val="top"/>
          </w:tcPr>
          <w:p w14:paraId="1B2EE815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四</w:t>
            </w:r>
          </w:p>
        </w:tc>
        <w:tc>
          <w:tcPr>
            <w:tcW w:w="4894" w:type="dxa"/>
            <w:shd w:val="clear" w:color="auto" w:fill="auto"/>
            <w:vAlign w:val="top"/>
          </w:tcPr>
          <w:p w14:paraId="6ADEE64D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人机交互接口技术（键盘与显示）</w:t>
            </w:r>
          </w:p>
        </w:tc>
        <w:tc>
          <w:tcPr>
            <w:tcW w:w="662" w:type="dxa"/>
            <w:shd w:val="clear" w:color="auto" w:fill="auto"/>
            <w:vAlign w:val="top"/>
          </w:tcPr>
          <w:p w14:paraId="47965D09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838" w:type="dxa"/>
            <w:shd w:val="clear" w:color="auto" w:fill="auto"/>
            <w:vAlign w:val="top"/>
          </w:tcPr>
          <w:p w14:paraId="43450D58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20%</w:t>
            </w:r>
          </w:p>
        </w:tc>
      </w:tr>
      <w:tr w14:paraId="7A291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2" w:type="dxa"/>
            <w:shd w:val="clear" w:color="auto" w:fill="auto"/>
            <w:vAlign w:val="top"/>
          </w:tcPr>
          <w:p w14:paraId="040E428C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五</w:t>
            </w:r>
          </w:p>
        </w:tc>
        <w:tc>
          <w:tcPr>
            <w:tcW w:w="4894" w:type="dxa"/>
            <w:shd w:val="clear" w:color="auto" w:fill="auto"/>
            <w:vAlign w:val="top"/>
          </w:tcPr>
          <w:p w14:paraId="53CFAEC9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串行通信技术与总线接口</w:t>
            </w:r>
          </w:p>
        </w:tc>
        <w:tc>
          <w:tcPr>
            <w:tcW w:w="662" w:type="dxa"/>
            <w:shd w:val="clear" w:color="auto" w:fill="auto"/>
            <w:vAlign w:val="top"/>
          </w:tcPr>
          <w:p w14:paraId="3EB7688B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838" w:type="dxa"/>
            <w:shd w:val="clear" w:color="auto" w:fill="auto"/>
            <w:vAlign w:val="top"/>
          </w:tcPr>
          <w:p w14:paraId="640E4456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15%</w:t>
            </w:r>
          </w:p>
        </w:tc>
      </w:tr>
      <w:tr w14:paraId="0371F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2" w:type="dxa"/>
          </w:tcPr>
          <w:p w14:paraId="2B81BEA8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六</w:t>
            </w:r>
          </w:p>
        </w:tc>
        <w:tc>
          <w:tcPr>
            <w:tcW w:w="4894" w:type="dxa"/>
            <w:shd w:val="clear" w:color="auto" w:fill="auto"/>
            <w:vAlign w:val="top"/>
          </w:tcPr>
          <w:p w14:paraId="5E61258F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综合项目设计与AI辅助开发实战</w:t>
            </w:r>
          </w:p>
        </w:tc>
        <w:tc>
          <w:tcPr>
            <w:tcW w:w="662" w:type="dxa"/>
            <w:shd w:val="clear" w:color="auto" w:fill="auto"/>
            <w:vAlign w:val="top"/>
          </w:tcPr>
          <w:p w14:paraId="1B277569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838" w:type="dxa"/>
            <w:shd w:val="clear" w:color="auto" w:fill="auto"/>
            <w:vAlign w:val="top"/>
          </w:tcPr>
          <w:p w14:paraId="24BD6F2F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Calibri" w:hAnsi="Calibri" w:eastAsia="楷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15%</w:t>
            </w:r>
          </w:p>
        </w:tc>
      </w:tr>
      <w:tr w14:paraId="0CE5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046" w:type="dxa"/>
            <w:gridSpan w:val="2"/>
          </w:tcPr>
          <w:p w14:paraId="78F8D081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kern w:val="0"/>
                <w:szCs w:val="21"/>
                <w:lang w:val="en-US" w:eastAsia="zh-CN"/>
              </w:rPr>
              <w:t>总学时</w:t>
            </w:r>
          </w:p>
        </w:tc>
        <w:tc>
          <w:tcPr>
            <w:tcW w:w="662" w:type="dxa"/>
          </w:tcPr>
          <w:p w14:paraId="64174DBF">
            <w:pPr>
              <w:spacing w:line="360" w:lineRule="auto"/>
              <w:jc w:val="center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1838" w:type="dxa"/>
          </w:tcPr>
          <w:p w14:paraId="3A1DA9BB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kern w:val="0"/>
                <w:szCs w:val="21"/>
                <w:lang w:val="en-US" w:eastAsia="zh-CN"/>
              </w:rPr>
              <w:t>100%</w:t>
            </w:r>
          </w:p>
        </w:tc>
      </w:tr>
    </w:tbl>
    <w:p w14:paraId="751F8D3C">
      <w:pPr>
        <w:spacing w:line="360" w:lineRule="auto"/>
        <w:ind w:firstLine="400" w:firstLineChars="20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模块一：单片机系统认知与开发环境构建</w:t>
      </w:r>
    </w:p>
    <w:p w14:paraId="280902A0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教学目标：</w:t>
      </w:r>
    </w:p>
    <w:p w14:paraId="4FB55863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理解单片机的基本结构、工作原理及在嵌入式系统中的核心地位。</w:t>
      </w:r>
    </w:p>
    <w:p w14:paraId="3CE4F565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掌握Keil uVision与Proteus仿真软件的安装、配置及基本操作。</w:t>
      </w:r>
    </w:p>
    <w:p w14:paraId="2BDD8767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了解STC89C51/STC15与STM32的硬件架构差异。</w:t>
      </w:r>
    </w:p>
    <w:p w14:paraId="4A5C11E2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AI工具应用目标：能够利用生成式AI工具（如ChatGPT、文心一言等）查询单片机引脚定义、生成基础的环境配置脚本及解答开发环境搭建中的报错问题。</w:t>
      </w:r>
    </w:p>
    <w:p w14:paraId="716AF6C7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参考学时：4学时（理论2 + 实践2）</w:t>
      </w:r>
    </w:p>
    <w:p w14:paraId="69BF9BEC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教学内容：</w:t>
      </w:r>
    </w:p>
    <w:p w14:paraId="75B5B302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单片机的发展史、分类及应用领域；冯·诺依曼与哈佛结构对比。</w:t>
      </w:r>
    </w:p>
    <w:p w14:paraId="2B7F6D07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STC系列单片机最小系统组成（复位电路、时钟电路、电源电路）。</w:t>
      </w:r>
    </w:p>
    <w:p w14:paraId="423F9A94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Keil工程创建、编译、链接过程；Proteus电路仿真绘制。</w:t>
      </w:r>
    </w:p>
    <w:p w14:paraId="20310E09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重点：最小系统原理、开发软件流程。</w:t>
      </w:r>
    </w:p>
    <w:p w14:paraId="6B18332A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难点：仿真软件与实物开发的差异理解。</w:t>
      </w:r>
    </w:p>
    <w:p w14:paraId="2ED31777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教学方式：</w:t>
      </w:r>
    </w:p>
    <w:p w14:paraId="7F9B3231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案例式教学（展示智能家居实物）、线上线下混合式（线上看视频，线下实操）、AI辅助答疑。</w:t>
      </w:r>
    </w:p>
    <w:p w14:paraId="75FCC577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对应的课程目标：</w:t>
      </w:r>
    </w:p>
    <w:p w14:paraId="07743C48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知识目标：掌握单片机基本架构。</w:t>
      </w:r>
    </w:p>
    <w:p w14:paraId="1D4BF29F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素质目标：培养对国产芯片（STC）的认知与兴趣。</w:t>
      </w:r>
    </w:p>
    <w:p w14:paraId="4A799EA6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课程思政融入点：通过介绍华为海思、STC宏晶科技等国产芯片发展历程，激发家国情怀与民族自豪感，树立科技自立自强的理想信念。</w:t>
      </w:r>
    </w:p>
    <w:p w14:paraId="51210668">
      <w:pPr>
        <w:bidi w:val="0"/>
        <w:rPr>
          <w:rFonts w:hint="eastAsia"/>
          <w:lang w:val="en-US" w:eastAsia="zh-CN"/>
        </w:rPr>
      </w:pPr>
    </w:p>
    <w:p w14:paraId="5FB87EDF">
      <w:pPr>
        <w:spacing w:line="360" w:lineRule="auto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模块二：C51编程基础与I/O端口控制应用</w:t>
      </w:r>
    </w:p>
    <w:p w14:paraId="304C09D4"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教学目标：</w:t>
      </w:r>
    </w:p>
    <w:p w14:paraId="4A9ED834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熟练掌握C51数据类型、运算符及位操作方法。</w:t>
      </w:r>
    </w:p>
    <w:p w14:paraId="37CFDAED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掌握I/O端口的结构、工作模式及驱动能力。</w:t>
      </w:r>
    </w:p>
    <w:p w14:paraId="6311F053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能够编写程序控制LED流水灯、继电器及蜂鸣器。</w:t>
      </w:r>
    </w:p>
    <w:p w14:paraId="14345D64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AI工具应用目标：能够使用AI工具辅助生成C语言延时函数、位操作代码片段，并利用AI解释复杂寄存器配置代码的含义。</w:t>
      </w:r>
    </w:p>
    <w:p w14:paraId="4E064D9D"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参考学时：8学时（理论3 + 实践5）</w:t>
      </w:r>
    </w:p>
    <w:p w14:paraId="4FA368CC"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教学内容（注明重点和难点）：</w:t>
      </w:r>
    </w:p>
    <w:p w14:paraId="7D4157FA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C51程序结构、变量存储类型（data, xdata, code）。</w:t>
      </w:r>
    </w:p>
    <w:p w14:paraId="1F9BB8C2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I/O口准双向口与推挽输出模式的区别。</w:t>
      </w:r>
    </w:p>
    <w:p w14:paraId="6C616F3C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LED流水灯设计、按键输入检测（消抖处理）。</w:t>
      </w:r>
    </w:p>
    <w:p w14:paraId="43991872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重点：I/O口电气特性、C语言位控制。</w:t>
      </w:r>
    </w:p>
    <w:p w14:paraId="6B1D3501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难点：I/O口驱动大电流负载（如继电器）的电路设计与隔离。</w:t>
      </w:r>
    </w:p>
    <w:p w14:paraId="1A3C68FB"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教学方式：</w:t>
      </w:r>
    </w:p>
    <w:p w14:paraId="2DEF9810">
      <w:pPr>
        <w:spacing w:line="360" w:lineRule="auto"/>
        <w:ind w:left="420" w:leftChars="0" w:firstLine="420" w:firstLineChars="20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项目式教学（设计交通灯模型）、任务驱动法、代码走查。</w:t>
      </w:r>
    </w:p>
    <w:p w14:paraId="21308468"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对应的课程目标：</w:t>
      </w:r>
    </w:p>
    <w:p w14:paraId="19E4EC35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能力目标：具备基本的嵌入式C语言编程能力。</w:t>
      </w:r>
    </w:p>
    <w:p w14:paraId="3879DE54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素质目标：养成规范编码的习惯。</w:t>
      </w:r>
    </w:p>
    <w:p w14:paraId="44E93DD9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课程思政融入点：通过代码规范（命名、注释）强调职业伦理与严谨治学态度；通过I/O口驱动强电的安全设计，强化法治意识与工程安全观念。</w:t>
      </w:r>
    </w:p>
    <w:p w14:paraId="2DEA4098">
      <w:pPr>
        <w:spacing w:line="360" w:lineRule="auto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模块三：中断系统与定时器/计数器应用</w:t>
      </w:r>
    </w:p>
    <w:p w14:paraId="53F5D47B">
      <w:pPr>
        <w:numPr>
          <w:ilvl w:val="0"/>
          <w:numId w:val="4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教学目标</w:t>
      </w:r>
    </w:p>
    <w:p w14:paraId="03A18A0D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理解中断的概念、中断过程及中断优先级控制。</w:t>
      </w:r>
    </w:p>
    <w:p w14:paraId="72B74DA8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掌握定时器/计数器的工作原理、工作方式及初值计算。</w:t>
      </w:r>
    </w:p>
    <w:p w14:paraId="432AD0D1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能够利用定时器实现精确延时、PWM波形生成。</w:t>
      </w:r>
    </w:p>
    <w:p w14:paraId="6A5A0BFF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AI工具应用目标：</w:t>
      </w:r>
    </w:p>
    <w:p w14:paraId="362EFE32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能够利用AI工具辅助计算定时器重载值（针对不同晶振频率），并让AI生成中断服务函数的标准模板代码。</w:t>
      </w:r>
    </w:p>
    <w:p w14:paraId="78D8EB42">
      <w:pPr>
        <w:numPr>
          <w:ilvl w:val="0"/>
          <w:numId w:val="4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参考学时：8学时（理论4 + 实践4）</w:t>
      </w:r>
    </w:p>
    <w:p w14:paraId="25AA3ECA">
      <w:pPr>
        <w:numPr>
          <w:ilvl w:val="0"/>
          <w:numId w:val="4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教学内容（注明重点和难点）</w:t>
      </w:r>
    </w:p>
    <w:p w14:paraId="4B4804E6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中断源、中断允许寄存器、中断优先级寄存器。</w:t>
      </w:r>
    </w:p>
    <w:p w14:paraId="7F401056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定时器工作方式0/1/2的特点及应用场景。</w:t>
      </w:r>
    </w:p>
    <w:p w14:paraId="1FC6F152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外部中断触发方式（电平/跳变）。</w:t>
      </w:r>
    </w:p>
    <w:p w14:paraId="0B46E8DF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重点：中断系统配置、定时器初值计算。</w:t>
      </w:r>
    </w:p>
    <w:p w14:paraId="5391647C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难点：中断嵌套处理、多任务时间片轮询逻辑。</w:t>
      </w:r>
    </w:p>
    <w:p w14:paraId="756C9DBA">
      <w:pPr>
        <w:numPr>
          <w:ilvl w:val="0"/>
          <w:numId w:val="4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教学方式：</w:t>
      </w:r>
    </w:p>
    <w:p w14:paraId="3EA2CF77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问题导向学习、仿真演示法、对比教学（查询方式与中断方式对比）。</w:t>
      </w:r>
    </w:p>
    <w:p w14:paraId="336E9A8B">
      <w:pPr>
        <w:numPr>
          <w:ilvl w:val="0"/>
          <w:numId w:val="4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对应的课程目标</w:t>
      </w:r>
    </w:p>
    <w:p w14:paraId="48E7A534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知识目标：理解实时操作系统的雏形。</w:t>
      </w:r>
    </w:p>
    <w:p w14:paraId="6147571B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能力目标：解决复杂时序控制问题。</w:t>
      </w:r>
    </w:p>
    <w:p w14:paraId="0E543704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课程思政融入点：通过中断优先级的调度，引导学生理解“轻重缓急”的处事哲学，培养品德修养（统筹兼顾）；结合航空航天领域的实时控制系统，激发社会责任感。</w:t>
      </w:r>
    </w:p>
    <w:p w14:paraId="16C90CC2">
      <w:pPr>
        <w:spacing w:line="360" w:lineRule="auto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模块四：人机交互接口技术（键盘与显示）</w:t>
      </w:r>
    </w:p>
    <w:p w14:paraId="649CF968">
      <w:pPr>
        <w:numPr>
          <w:ilvl w:val="0"/>
          <w:numId w:val="5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教学目标</w:t>
      </w:r>
    </w:p>
    <w:p w14:paraId="77146AF9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掌握LED数码管（静态/动态）的显示原理与驱动方法。</w:t>
      </w:r>
    </w:p>
    <w:p w14:paraId="2F0187E9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掌握独立按键与矩阵键盘的扫描与编码识别方法。</w:t>
      </w:r>
    </w:p>
    <w:p w14:paraId="43C5C5DF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了解LCD1602/OLED显示屏的基本接口时序。</w:t>
      </w:r>
    </w:p>
    <w:p w14:paraId="0FB23D46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AI工具应用目标：能够利用AI工具生成数码管段码表、矩阵键盘映射数组，并使用AI优化动态扫描的刷新算法以避免闪烁。</w:t>
      </w:r>
    </w:p>
    <w:p w14:paraId="16F45E9C">
      <w:pPr>
        <w:numPr>
          <w:ilvl w:val="0"/>
          <w:numId w:val="5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参考学时：8学时（理论3 + 实践5）</w:t>
      </w:r>
    </w:p>
    <w:p w14:paraId="65A5FC66">
      <w:pPr>
        <w:numPr>
          <w:ilvl w:val="0"/>
          <w:numId w:val="5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教学内容（注明重点和难点）</w:t>
      </w:r>
    </w:p>
    <w:p w14:paraId="6F8E97CC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数码管共阴/共阳极性、动态扫描原理（视觉暂留）。</w:t>
      </w:r>
    </w:p>
    <w:p w14:paraId="08DB9CFF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键盘行列扫描法、线反转法。</w:t>
      </w:r>
    </w:p>
    <w:p w14:paraId="6471520C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人机交互界面的逻辑设计。</w:t>
      </w:r>
    </w:p>
    <w:p w14:paraId="189DCE1C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重点：动态显示去闪烁处理、键盘消抖。</w:t>
      </w:r>
    </w:p>
    <w:p w14:paraId="4C1DEC04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难点：多任务下的显示与按键响应冲突处理。</w:t>
      </w:r>
    </w:p>
    <w:p w14:paraId="4B4BCAB7">
      <w:pPr>
        <w:numPr>
          <w:ilvl w:val="0"/>
          <w:numId w:val="5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教学方式：</w:t>
      </w:r>
    </w:p>
    <w:p w14:paraId="40379CB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应用场景式教学（设计电子秤或计算器界面）、分组研讨。</w:t>
      </w:r>
    </w:p>
    <w:p w14:paraId="0D4F7454">
      <w:pPr>
        <w:numPr>
          <w:ilvl w:val="0"/>
          <w:numId w:val="5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对应的课程目标</w:t>
      </w:r>
    </w:p>
    <w:p w14:paraId="138BF094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能力目标：设计友好的用户交互界面。</w:t>
      </w:r>
    </w:p>
    <w:p w14:paraId="076E1F41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素质目标：培养精益求精的工匠精神（追求显示无闪烁、按键灵敏）。</w:t>
      </w:r>
    </w:p>
    <w:p w14:paraId="52F8147A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课程思政融入点：在设计显示内容时融入社会主义核心价值观宣传，培养家国情怀；通过复杂的扫描逻辑调试，磨炼学生耐心细致的品德修养。</w:t>
      </w:r>
    </w:p>
    <w:p w14:paraId="30DFEF41">
      <w:pPr>
        <w:spacing w:line="360" w:lineRule="auto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模块五：串行通信技术与总线接口</w:t>
      </w:r>
    </w:p>
    <w:p w14:paraId="7CDA081C">
      <w:pPr>
        <w:numPr>
          <w:ilvl w:val="0"/>
          <w:numId w:val="6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教学目标</w:t>
      </w:r>
    </w:p>
    <w:p w14:paraId="0C3EF836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理解串行通信的基本概念（波特率、全双工、UART）。</w:t>
      </w:r>
    </w:p>
    <w:p w14:paraId="44F374F9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掌握单片机UART接口的配置与编程。</w:t>
      </w:r>
    </w:p>
    <w:p w14:paraId="0F095155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了解I2C、SPI总线的基本时序与STM32中的硬件实现。</w:t>
      </w:r>
    </w:p>
    <w:p w14:paraId="464CA949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AI工具应用目标：能够利用AI工具生成波特率误差分析表，使用AI编写串口发送字符串、接收数据的环形缓冲区（Ring Buffer）管理代码。</w:t>
      </w:r>
    </w:p>
    <w:p w14:paraId="399011CD">
      <w:pPr>
        <w:numPr>
          <w:ilvl w:val="0"/>
          <w:numId w:val="6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参考学时：6学时（理论3 + 实践3）</w:t>
      </w:r>
    </w:p>
    <w:p w14:paraId="569C8300">
      <w:pPr>
        <w:numPr>
          <w:ilvl w:val="0"/>
          <w:numId w:val="6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教学内容（注明重点和难点）</w:t>
      </w:r>
    </w:p>
    <w:p w14:paraId="51E7BFB5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异步串行通信协议、波特率发生器（定时器1/定时器2）。</w:t>
      </w:r>
    </w:p>
    <w:p w14:paraId="7887671F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串口调试助手的使用、PC与单片机通信。</w:t>
      </w:r>
    </w:p>
    <w:p w14:paraId="64DEC46D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I2C/SPI总线协议简析（以STM32为例）。</w:t>
      </w:r>
    </w:p>
    <w:p w14:paraId="5D7CB6CC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重点：UART寄存器配置、数据收发程序编写。</w:t>
      </w:r>
    </w:p>
    <w:p w14:paraId="39F03EEF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难点：通信乱码原因分析（波特率误差、干扰）、总线时序模拟。</w:t>
      </w:r>
    </w:p>
    <w:p w14:paraId="00278BCE">
      <w:pPr>
        <w:numPr>
          <w:ilvl w:val="0"/>
          <w:numId w:val="6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教学方式：</w:t>
      </w:r>
    </w:p>
    <w:p w14:paraId="3C9E8F3B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互动式教学（双机通信实验）、案例式教学（物联网数据传输）。</w:t>
      </w:r>
    </w:p>
    <w:p w14:paraId="7609CF1E">
      <w:pPr>
        <w:numPr>
          <w:ilvl w:val="0"/>
          <w:numId w:val="6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对应的课程目标</w:t>
      </w:r>
    </w:p>
    <w:p w14:paraId="66772431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知识目标：掌握设备间数据交换技术。</w:t>
      </w:r>
    </w:p>
    <w:p w14:paraId="356329EC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素质目标：建立全球视野（理解国际通用通信标准）。</w:t>
      </w:r>
    </w:p>
    <w:p w14:paraId="13AC5D5C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课程思政融入点：通过通信协议的“握手”与“规则”，隐喻人际交往中的诚信与规则意识（职业伦理）；对比国产芯片与国际芯片在总线兼容性上的努力，拓展全球视野。</w:t>
      </w:r>
    </w:p>
    <w:p w14:paraId="2B327861">
      <w:pPr>
        <w:spacing w:line="360" w:lineRule="auto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模块六：综合项目设计与AI辅助开发实战</w:t>
      </w:r>
    </w:p>
    <w:p w14:paraId="5BBA9475">
      <w:pPr>
        <w:numPr>
          <w:ilvl w:val="0"/>
          <w:numId w:val="7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教学目标</w:t>
      </w:r>
    </w:p>
    <w:p w14:paraId="46D06E5C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综合运用所学知识完成一个小型系统（如智能温控风扇、数字电压表）。</w:t>
      </w:r>
    </w:p>
    <w:p w14:paraId="76399807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掌握系统联调、故障排查及文档撰写方法。</w:t>
      </w:r>
    </w:p>
    <w:p w14:paraId="42726EBD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AI工具应用目标：能够利用AI工具进行项目需求分析、生成模块化代码框架、辅助编写项目技术报告及调试日志分析。</w:t>
      </w:r>
    </w:p>
    <w:p w14:paraId="4970B3D3">
      <w:pPr>
        <w:numPr>
          <w:ilvl w:val="0"/>
          <w:numId w:val="7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参考学时：6学时（理论1 + 实践5）</w:t>
      </w:r>
    </w:p>
    <w:p w14:paraId="21AEF4CB">
      <w:pPr>
        <w:numPr>
          <w:ilvl w:val="0"/>
          <w:numId w:val="7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教学内容（注明重点和难点）</w:t>
      </w:r>
    </w:p>
    <w:p w14:paraId="641D8F69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项目需求分析与方案设计（硬件选型、软件架构）。</w:t>
      </w:r>
    </w:p>
    <w:p w14:paraId="334BC531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模块化编程思想、代码移植与整合。</w:t>
      </w:r>
    </w:p>
    <w:p w14:paraId="791FE7A9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系统稳定性测试与优化。</w:t>
      </w:r>
    </w:p>
    <w:p w14:paraId="4F5635F8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重点：系统集成、软硬件联调。</w:t>
      </w:r>
    </w:p>
    <w:p w14:paraId="40D8797A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难点：复杂故障的定位与解决、AI生成代码的验证与修正。</w:t>
      </w:r>
    </w:p>
    <w:p w14:paraId="0F30420A">
      <w:pPr>
        <w:numPr>
          <w:ilvl w:val="0"/>
          <w:numId w:val="7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教学方式：</w:t>
      </w:r>
    </w:p>
    <w:p w14:paraId="3BCFBB1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项目式学习、团队协作、成果展示与答辩。</w:t>
      </w:r>
    </w:p>
    <w:p w14:paraId="27B02E32">
      <w:pPr>
        <w:numPr>
          <w:ilvl w:val="0"/>
          <w:numId w:val="7"/>
        </w:numPr>
        <w:spacing w:line="360" w:lineRule="auto"/>
        <w:ind w:left="845" w:leftChars="0" w:hanging="425" w:firstLineChars="0"/>
        <w:jc w:val="both"/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0"/>
          <w:sz w:val="24"/>
          <w:szCs w:val="24"/>
          <w:lang w:val="en-US" w:eastAsia="zh-CN"/>
        </w:rPr>
        <w:t>对应的课程目标</w:t>
      </w:r>
    </w:p>
    <w:p w14:paraId="5DDD602F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能力目标：具备独立开发单片机应用系统的能力。</w:t>
      </w:r>
    </w:p>
    <w:p w14:paraId="2F0789F9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素质目标：提升创新精神与团队协作能力。</w:t>
      </w:r>
    </w:p>
    <w:p w14:paraId="0195AED2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课程思政融入点：通过团队分工协作，培养团队合作精神；在解决实际问题中体验科技服务社会的成就感，强化社会责任与担当。 </w:t>
      </w:r>
    </w:p>
    <w:p w14:paraId="1A06C558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七、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课程考核和成绩评定方式</w:t>
      </w:r>
    </w:p>
    <w:p w14:paraId="329E525D">
      <w:pPr>
        <w:ind w:firstLine="420" w:firstLineChars="200"/>
        <w:rPr>
          <w:rFonts w:hint="eastAsia" w:eastAsia="宋体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val="en-US" w:eastAsia="zh-CN"/>
        </w:rPr>
        <w:t>一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）考核内容、考核方式与课程目标的关系</w:t>
      </w:r>
    </w:p>
    <w:tbl>
      <w:tblPr>
        <w:tblStyle w:val="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670"/>
        <w:gridCol w:w="2492"/>
        <w:gridCol w:w="2748"/>
        <w:gridCol w:w="1615"/>
      </w:tblGrid>
      <w:tr w14:paraId="0F32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shd w:val="clear" w:color="auto" w:fill="auto"/>
            <w:vAlign w:val="center"/>
          </w:tcPr>
          <w:p w14:paraId="58E4F27A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方式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61088C33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内容及标准</w:t>
            </w:r>
          </w:p>
        </w:tc>
        <w:tc>
          <w:tcPr>
            <w:tcW w:w="1611" w:type="pct"/>
            <w:shd w:val="clear" w:color="auto" w:fill="auto"/>
            <w:vAlign w:val="center"/>
          </w:tcPr>
          <w:p w14:paraId="00F24E03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  <w:t>支撑课程目标</w:t>
            </w:r>
          </w:p>
          <w:p w14:paraId="12479AB9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hint="default" w:asciiTheme="minorEastAsia" w:hAnsiTheme="minor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  <w:t>（支撑毕业要求指标点）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04AB745C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实施方式</w:t>
            </w:r>
          </w:p>
        </w:tc>
      </w:tr>
      <w:tr w14:paraId="28F7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79" w:type="pct"/>
            <w:vMerge w:val="restart"/>
            <w:shd w:val="clear"/>
            <w:vAlign w:val="center"/>
          </w:tcPr>
          <w:p w14:paraId="32600350">
            <w:pPr>
              <w:jc w:val="center"/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</w:rPr>
              <w:t>方式1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val="en-US" w:eastAsia="zh-CN"/>
              </w:rPr>
              <w:t>实验检查</w:t>
            </w:r>
          </w:p>
        </w:tc>
        <w:tc>
          <w:tcPr>
            <w:tcW w:w="1461" w:type="pct"/>
            <w:shd w:val="clear"/>
            <w:vAlign w:val="center"/>
          </w:tcPr>
          <w:p w14:paraId="0A22C803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实验环境搭建</w:t>
            </w:r>
          </w:p>
        </w:tc>
        <w:tc>
          <w:tcPr>
            <w:tcW w:w="1611" w:type="pct"/>
            <w:shd w:val="clear"/>
            <w:vAlign w:val="center"/>
          </w:tcPr>
          <w:p w14:paraId="73B658A1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无</w:t>
            </w:r>
          </w:p>
        </w:tc>
        <w:tc>
          <w:tcPr>
            <w:tcW w:w="947" w:type="pct"/>
            <w:shd w:val="clear"/>
            <w:vAlign w:val="center"/>
          </w:tcPr>
          <w:p w14:paraId="28EDEBAB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实物操作</w:t>
            </w:r>
          </w:p>
        </w:tc>
      </w:tr>
      <w:tr w14:paraId="2B0F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79" w:type="pct"/>
            <w:vMerge w:val="continue"/>
            <w:vAlign w:val="center"/>
          </w:tcPr>
          <w:p w14:paraId="7E375553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461" w:type="pct"/>
            <w:shd w:val="clear" w:color="auto" w:fill="auto"/>
            <w:vAlign w:val="center"/>
          </w:tcPr>
          <w:p w14:paraId="54687E4F">
            <w:pPr>
              <w:widowControl/>
              <w:autoSpaceDE w:val="0"/>
              <w:autoSpaceDN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挑战性任务</w:t>
            </w:r>
          </w:p>
        </w:tc>
        <w:tc>
          <w:tcPr>
            <w:tcW w:w="1611" w:type="pct"/>
            <w:shd w:val="clear" w:color="auto" w:fill="auto"/>
            <w:vAlign w:val="center"/>
          </w:tcPr>
          <w:p w14:paraId="110EE330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无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40FADF31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上机检查</w:t>
            </w:r>
          </w:p>
        </w:tc>
      </w:tr>
      <w:tr w14:paraId="07DC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79" w:type="pct"/>
            <w:vMerge w:val="continue"/>
            <w:vAlign w:val="center"/>
          </w:tcPr>
          <w:p w14:paraId="07A46A9B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461" w:type="pct"/>
            <w:shd w:val="clear" w:color="auto" w:fill="auto"/>
            <w:vAlign w:val="center"/>
          </w:tcPr>
          <w:p w14:paraId="1A498AE9">
            <w:pPr>
              <w:widowControl/>
              <w:autoSpaceDE w:val="0"/>
              <w:autoSpaceDN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综合性设计性实验</w:t>
            </w:r>
          </w:p>
        </w:tc>
        <w:tc>
          <w:tcPr>
            <w:tcW w:w="1611" w:type="pct"/>
            <w:shd w:val="clear" w:color="auto" w:fill="auto"/>
            <w:vAlign w:val="center"/>
          </w:tcPr>
          <w:p w14:paraId="23F131B1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无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236C9FDA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上机操作</w:t>
            </w:r>
          </w:p>
        </w:tc>
      </w:tr>
      <w:tr w14:paraId="71A8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79" w:type="pct"/>
            <w:vMerge w:val="restart"/>
            <w:vAlign w:val="center"/>
          </w:tcPr>
          <w:p w14:paraId="7AD7FB8B">
            <w:pPr>
              <w:jc w:val="center"/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</w:rPr>
              <w:t>方式2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val="en-US" w:eastAsia="zh-CN"/>
              </w:rPr>
              <w:t>实验报告</w:t>
            </w:r>
          </w:p>
        </w:tc>
        <w:tc>
          <w:tcPr>
            <w:tcW w:w="1461" w:type="pct"/>
            <w:shd w:val="clear"/>
            <w:vAlign w:val="center"/>
          </w:tcPr>
          <w:p w14:paraId="5E99E99F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611" w:type="pct"/>
            <w:shd w:val="clear"/>
            <w:vAlign w:val="center"/>
          </w:tcPr>
          <w:p w14:paraId="01574626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47" w:type="pct"/>
            <w:shd w:val="clear"/>
            <w:vAlign w:val="center"/>
          </w:tcPr>
          <w:p w14:paraId="4C77B31A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73E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79" w:type="pct"/>
            <w:vMerge w:val="continue"/>
            <w:shd w:val="clear"/>
            <w:vAlign w:val="center"/>
          </w:tcPr>
          <w:p w14:paraId="6DC75A10">
            <w:pPr>
              <w:jc w:val="center"/>
              <w:rPr>
                <w:rFonts w:hint="default" w:cs="Times New Roman" w:asciiTheme="minorEastAsia" w:hAnsiTheme="minorEastAsia" w:eastAsiaTheme="min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461" w:type="pct"/>
            <w:shd w:val="clear"/>
            <w:vAlign w:val="center"/>
          </w:tcPr>
          <w:p w14:paraId="4AE13130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实验报告与实验操作同步进行</w:t>
            </w:r>
          </w:p>
        </w:tc>
        <w:tc>
          <w:tcPr>
            <w:tcW w:w="1611" w:type="pct"/>
            <w:shd w:val="clear"/>
            <w:vAlign w:val="center"/>
          </w:tcPr>
          <w:p w14:paraId="58EBA153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无</w:t>
            </w:r>
          </w:p>
        </w:tc>
        <w:tc>
          <w:tcPr>
            <w:tcW w:w="947" w:type="pct"/>
            <w:shd w:val="clear"/>
            <w:vAlign w:val="center"/>
          </w:tcPr>
          <w:p w14:paraId="6B77B438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color w:val="0D0D0D" w:themeColor="text1" w:themeTint="F2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D0D0D" w:themeColor="text1" w:themeTint="F2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文档检查</w:t>
            </w:r>
          </w:p>
        </w:tc>
      </w:tr>
      <w:tr w14:paraId="77F8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79" w:type="pct"/>
            <w:vMerge w:val="continue"/>
            <w:vAlign w:val="center"/>
          </w:tcPr>
          <w:p w14:paraId="1E9EF4FF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461" w:type="pct"/>
            <w:vAlign w:val="center"/>
          </w:tcPr>
          <w:p w14:paraId="69313524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611" w:type="pct"/>
            <w:vAlign w:val="center"/>
          </w:tcPr>
          <w:p w14:paraId="065CA0DF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0F7C32B7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576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79" w:type="pct"/>
            <w:vMerge w:val="restart"/>
            <w:vAlign w:val="center"/>
          </w:tcPr>
          <w:p w14:paraId="008CA1DD">
            <w:pPr>
              <w:jc w:val="center"/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1461" w:type="pct"/>
            <w:vAlign w:val="center"/>
          </w:tcPr>
          <w:p w14:paraId="75A76B66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611" w:type="pct"/>
            <w:vAlign w:val="center"/>
          </w:tcPr>
          <w:p w14:paraId="190356D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1ECDB9CD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23C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79" w:type="pct"/>
            <w:vMerge w:val="continue"/>
            <w:vAlign w:val="center"/>
          </w:tcPr>
          <w:p w14:paraId="27579EAE">
            <w:pPr>
              <w:jc w:val="center"/>
              <w:rPr>
                <w:rFonts w:ascii="仿宋_GB2312" w:hAnsi="Times New Roman" w:eastAsia="仿宋_GB2312"/>
                <w:b/>
                <w:szCs w:val="24"/>
              </w:rPr>
            </w:pPr>
          </w:p>
        </w:tc>
        <w:tc>
          <w:tcPr>
            <w:tcW w:w="1461" w:type="pct"/>
            <w:vAlign w:val="center"/>
          </w:tcPr>
          <w:p w14:paraId="67678AC3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611" w:type="pct"/>
            <w:vAlign w:val="center"/>
          </w:tcPr>
          <w:p w14:paraId="201D6CCF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265CF08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4B8E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79" w:type="pct"/>
            <w:vMerge w:val="continue"/>
            <w:vAlign w:val="center"/>
          </w:tcPr>
          <w:p w14:paraId="2C553423">
            <w:pPr>
              <w:jc w:val="center"/>
              <w:rPr>
                <w:rFonts w:ascii="仿宋_GB2312" w:hAnsi="Times New Roman" w:eastAsia="仿宋_GB2312"/>
                <w:b/>
                <w:szCs w:val="24"/>
              </w:rPr>
            </w:pPr>
          </w:p>
        </w:tc>
        <w:tc>
          <w:tcPr>
            <w:tcW w:w="1461" w:type="pct"/>
            <w:vAlign w:val="center"/>
          </w:tcPr>
          <w:p w14:paraId="10A97DD9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611" w:type="pct"/>
            <w:vAlign w:val="center"/>
          </w:tcPr>
          <w:p w14:paraId="4D1423A4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50F34E2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 w14:paraId="5BAA91D5">
      <w:pP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</w:pPr>
    </w:p>
    <w:p w14:paraId="581FBD73">
      <w:pPr>
        <w:rPr>
          <w:rFonts w:hint="eastAsia" w:eastAsia="宋体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val="en-US" w:eastAsia="zh-CN"/>
        </w:rPr>
        <w:t>二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）成绩评定方式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1119"/>
        <w:gridCol w:w="953"/>
        <w:gridCol w:w="5763"/>
      </w:tblGrid>
      <w:tr w14:paraId="0A08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tblHeader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B8CDB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考核方式</w:t>
            </w:r>
          </w:p>
        </w:tc>
        <w:tc>
          <w:tcPr>
            <w:tcW w:w="953" w:type="dxa"/>
            <w:noWrap w:val="0"/>
            <w:vAlign w:val="center"/>
          </w:tcPr>
          <w:p w14:paraId="65005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比例</w:t>
            </w:r>
          </w:p>
        </w:tc>
        <w:tc>
          <w:tcPr>
            <w:tcW w:w="5763" w:type="dxa"/>
            <w:noWrap w:val="0"/>
            <w:vAlign w:val="center"/>
          </w:tcPr>
          <w:p w14:paraId="7413B3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评分标准</w:t>
            </w:r>
          </w:p>
        </w:tc>
      </w:tr>
      <w:tr w14:paraId="2AC3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3" w:type="dxa"/>
            <w:vMerge w:val="restart"/>
            <w:noWrap w:val="0"/>
            <w:vAlign w:val="center"/>
          </w:tcPr>
          <w:p w14:paraId="386B46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过</w:t>
            </w:r>
          </w:p>
          <w:p w14:paraId="5ACDE7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程</w:t>
            </w:r>
          </w:p>
          <w:p w14:paraId="380F0D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性</w:t>
            </w:r>
          </w:p>
          <w:p w14:paraId="4D3FDF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考</w:t>
            </w:r>
          </w:p>
          <w:p w14:paraId="573C99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核</w:t>
            </w:r>
          </w:p>
        </w:tc>
        <w:tc>
          <w:tcPr>
            <w:tcW w:w="1119" w:type="dxa"/>
            <w:shd w:val="clear"/>
            <w:noWrap w:val="0"/>
            <w:vAlign w:val="center"/>
          </w:tcPr>
          <w:p w14:paraId="262C97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  <w:t>考勤</w:t>
            </w:r>
          </w:p>
        </w:tc>
        <w:tc>
          <w:tcPr>
            <w:tcW w:w="953" w:type="dxa"/>
            <w:shd w:val="clear"/>
            <w:noWrap w:val="0"/>
            <w:vAlign w:val="center"/>
          </w:tcPr>
          <w:p w14:paraId="785504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5763" w:type="dxa"/>
            <w:shd w:val="clear"/>
            <w:noWrap w:val="0"/>
            <w:vAlign w:val="center"/>
          </w:tcPr>
          <w:p w14:paraId="1F0E03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迟到一次扣5分，旷课一次扣10分。</w:t>
            </w:r>
          </w:p>
          <w:p w14:paraId="4DE694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挑战性任务可抵消此扣分。</w:t>
            </w:r>
          </w:p>
        </w:tc>
      </w:tr>
      <w:tr w14:paraId="6137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3" w:type="dxa"/>
            <w:vMerge w:val="continue"/>
            <w:noWrap w:val="0"/>
            <w:vAlign w:val="center"/>
          </w:tcPr>
          <w:p w14:paraId="53BCD5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9" w:type="dxa"/>
            <w:shd w:val="clear"/>
            <w:noWrap w:val="0"/>
            <w:vAlign w:val="center"/>
          </w:tcPr>
          <w:p w14:paraId="5DF1B8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  <w:t>实验检查</w:t>
            </w:r>
          </w:p>
        </w:tc>
        <w:tc>
          <w:tcPr>
            <w:tcW w:w="953" w:type="dxa"/>
            <w:shd w:val="clear"/>
            <w:noWrap w:val="0"/>
            <w:vAlign w:val="center"/>
          </w:tcPr>
          <w:p w14:paraId="0A456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60</w:t>
            </w:r>
          </w:p>
        </w:tc>
        <w:tc>
          <w:tcPr>
            <w:tcW w:w="5763" w:type="dxa"/>
            <w:shd w:val="clear"/>
            <w:noWrap w:val="0"/>
            <w:vAlign w:val="center"/>
          </w:tcPr>
          <w:p w14:paraId="3EEF4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根据实验效果现场评分，挑战性任务可用于加分。</w:t>
            </w:r>
          </w:p>
        </w:tc>
      </w:tr>
      <w:tr w14:paraId="67BF7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3" w:type="dxa"/>
            <w:vMerge w:val="continue"/>
            <w:noWrap w:val="0"/>
            <w:vAlign w:val="center"/>
          </w:tcPr>
          <w:p w14:paraId="7B2339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9" w:type="dxa"/>
            <w:shd w:val="clear"/>
            <w:noWrap w:val="0"/>
            <w:vAlign w:val="center"/>
          </w:tcPr>
          <w:p w14:paraId="08200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  <w:t>实验报告</w:t>
            </w:r>
          </w:p>
        </w:tc>
        <w:tc>
          <w:tcPr>
            <w:tcW w:w="953" w:type="dxa"/>
            <w:shd w:val="clear"/>
            <w:noWrap w:val="0"/>
            <w:vAlign w:val="center"/>
          </w:tcPr>
          <w:p w14:paraId="4074B4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5763" w:type="dxa"/>
            <w:shd w:val="clear"/>
            <w:noWrap w:val="0"/>
            <w:vAlign w:val="center"/>
          </w:tcPr>
          <w:p w14:paraId="5FD9A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根据实验报告规范程度给分。</w:t>
            </w:r>
          </w:p>
        </w:tc>
      </w:tr>
      <w:tr w14:paraId="29FA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3" w:type="dxa"/>
            <w:vMerge w:val="continue"/>
            <w:noWrap w:val="0"/>
            <w:vAlign w:val="center"/>
          </w:tcPr>
          <w:p w14:paraId="62BBDA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9" w:type="dxa"/>
            <w:noWrap w:val="0"/>
            <w:vAlign w:val="center"/>
          </w:tcPr>
          <w:p w14:paraId="07D2A6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</w:pPr>
          </w:p>
        </w:tc>
        <w:tc>
          <w:tcPr>
            <w:tcW w:w="953" w:type="dxa"/>
            <w:noWrap w:val="0"/>
            <w:vAlign w:val="center"/>
          </w:tcPr>
          <w:p w14:paraId="0C84B8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763" w:type="dxa"/>
            <w:noWrap w:val="0"/>
            <w:vAlign w:val="center"/>
          </w:tcPr>
          <w:p w14:paraId="0E28C3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518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819BB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期末考核</w:t>
            </w:r>
          </w:p>
        </w:tc>
        <w:tc>
          <w:tcPr>
            <w:tcW w:w="953" w:type="dxa"/>
            <w:noWrap w:val="0"/>
            <w:vAlign w:val="center"/>
          </w:tcPr>
          <w:p w14:paraId="020D8E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5763" w:type="dxa"/>
            <w:noWrap w:val="0"/>
            <w:vAlign w:val="center"/>
          </w:tcPr>
          <w:p w14:paraId="41DCA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  <w:tr w14:paraId="41DDD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48C93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总评成绩</w:t>
            </w:r>
          </w:p>
        </w:tc>
        <w:tc>
          <w:tcPr>
            <w:tcW w:w="953" w:type="dxa"/>
            <w:noWrap w:val="0"/>
            <w:vAlign w:val="center"/>
          </w:tcPr>
          <w:p w14:paraId="0F6628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5763" w:type="dxa"/>
            <w:noWrap w:val="0"/>
            <w:vAlign w:val="center"/>
          </w:tcPr>
          <w:p w14:paraId="24D78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考勤*20%+实验检查*60+实验报告*20</w:t>
            </w:r>
          </w:p>
        </w:tc>
      </w:tr>
    </w:tbl>
    <w:p w14:paraId="39D9C417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黑体" w:hAnsi="黑体" w:eastAsia="黑体" w:cs="黑体"/>
          <w:b w:val="0"/>
          <w:kern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八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、教材、参考书目及其它学习资源</w:t>
      </w:r>
    </w:p>
    <w:p w14:paraId="28B442A8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仿宋_GB2312" w:asciiTheme="minorEastAsia" w:hAnsiTheme="minorEastAsia" w:eastAsiaTheme="minorEastAsia"/>
          <w:sz w:val="24"/>
          <w:szCs w:val="24"/>
          <w:lang w:eastAsia="zh-CN"/>
        </w:rPr>
        <w:t>（</w:t>
      </w:r>
      <w:r>
        <w:rPr>
          <w:rFonts w:hint="eastAsia" w:cs="仿宋_GB2312" w:asciiTheme="minorEastAsia" w:hAnsiTheme="minorEastAsia" w:eastAsiaTheme="minorEastAsia"/>
          <w:sz w:val="24"/>
          <w:szCs w:val="24"/>
          <w:lang w:val="en-US" w:eastAsia="zh-CN"/>
        </w:rPr>
        <w:t>一）</w:t>
      </w:r>
      <w:r>
        <w:rPr>
          <w:rFonts w:hint="eastAsia" w:cs="仿宋_GB2312" w:asciiTheme="minorEastAsia" w:hAnsiTheme="minorEastAsia" w:eastAsiaTheme="minorEastAsia"/>
          <w:sz w:val="24"/>
          <w:szCs w:val="24"/>
        </w:rPr>
        <w:t xml:space="preserve"> 选用教材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164"/>
        <w:gridCol w:w="1022"/>
        <w:gridCol w:w="1746"/>
        <w:gridCol w:w="728"/>
        <w:gridCol w:w="726"/>
        <w:gridCol w:w="875"/>
        <w:gridCol w:w="524"/>
      </w:tblGrid>
      <w:tr w14:paraId="59D5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021" w:type="pct"/>
            <w:vAlign w:val="center"/>
          </w:tcPr>
          <w:p w14:paraId="529215ED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bookmarkStart w:id="0" w:name="_Hlk136272355"/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教材名称</w:t>
            </w:r>
          </w:p>
        </w:tc>
        <w:tc>
          <w:tcPr>
            <w:tcW w:w="682" w:type="pct"/>
            <w:vAlign w:val="center"/>
          </w:tcPr>
          <w:p w14:paraId="70532C1B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ISBN号</w:t>
            </w:r>
          </w:p>
        </w:tc>
        <w:tc>
          <w:tcPr>
            <w:tcW w:w="599" w:type="pct"/>
            <w:vAlign w:val="center"/>
          </w:tcPr>
          <w:p w14:paraId="710E73A5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编者</w:t>
            </w:r>
          </w:p>
        </w:tc>
        <w:tc>
          <w:tcPr>
            <w:tcW w:w="1024" w:type="pct"/>
            <w:vAlign w:val="center"/>
          </w:tcPr>
          <w:p w14:paraId="5BD1C3C7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出版社</w:t>
            </w:r>
          </w:p>
        </w:tc>
        <w:tc>
          <w:tcPr>
            <w:tcW w:w="427" w:type="pct"/>
            <w:vAlign w:val="center"/>
          </w:tcPr>
          <w:p w14:paraId="3F12A3DC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出版</w:t>
            </w:r>
          </w:p>
          <w:p w14:paraId="419C1764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时间</w:t>
            </w:r>
          </w:p>
        </w:tc>
        <w:tc>
          <w:tcPr>
            <w:tcW w:w="426" w:type="pct"/>
            <w:vAlign w:val="center"/>
          </w:tcPr>
          <w:p w14:paraId="2ABC00EF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版次</w:t>
            </w:r>
          </w:p>
        </w:tc>
        <w:tc>
          <w:tcPr>
            <w:tcW w:w="513" w:type="pct"/>
            <w:vAlign w:val="center"/>
          </w:tcPr>
          <w:p w14:paraId="2E84C37A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是否</w:t>
            </w:r>
          </w:p>
          <w:p w14:paraId="632EAC2B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马工程</w:t>
            </w:r>
          </w:p>
          <w:p w14:paraId="237FDCED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  <w:lang w:val="en-US" w:eastAsia="zh-CN"/>
              </w:rPr>
              <w:t>重点</w:t>
            </w:r>
          </w:p>
          <w:p w14:paraId="255D3541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教材</w:t>
            </w:r>
          </w:p>
        </w:tc>
        <w:tc>
          <w:tcPr>
            <w:tcW w:w="307" w:type="pct"/>
            <w:vAlign w:val="center"/>
          </w:tcPr>
          <w:p w14:paraId="4AEC3314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备注</w:t>
            </w:r>
          </w:p>
        </w:tc>
      </w:tr>
      <w:tr w14:paraId="3E8A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21" w:type="pct"/>
            <w:vAlign w:val="center"/>
          </w:tcPr>
          <w:p w14:paraId="4F8AB10A">
            <w:pPr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无</w:t>
            </w:r>
          </w:p>
        </w:tc>
        <w:tc>
          <w:tcPr>
            <w:tcW w:w="682" w:type="pct"/>
            <w:vAlign w:val="center"/>
          </w:tcPr>
          <w:p w14:paraId="63DFB4CE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99" w:type="pct"/>
            <w:vAlign w:val="center"/>
          </w:tcPr>
          <w:p w14:paraId="327C2CC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024" w:type="pct"/>
            <w:vAlign w:val="center"/>
          </w:tcPr>
          <w:p w14:paraId="0463C08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7" w:type="pct"/>
            <w:vAlign w:val="center"/>
          </w:tcPr>
          <w:p w14:paraId="620B4394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6" w:type="pct"/>
            <w:vAlign w:val="center"/>
          </w:tcPr>
          <w:p w14:paraId="50222FF2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13" w:type="pct"/>
            <w:vAlign w:val="center"/>
          </w:tcPr>
          <w:p w14:paraId="0BD3707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07" w:type="pct"/>
            <w:vAlign w:val="center"/>
          </w:tcPr>
          <w:p w14:paraId="7B42805E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5C94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21" w:type="pct"/>
            <w:vAlign w:val="center"/>
          </w:tcPr>
          <w:p w14:paraId="381CCA50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682" w:type="pct"/>
            <w:vAlign w:val="center"/>
          </w:tcPr>
          <w:p w14:paraId="5E19E82B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99" w:type="pct"/>
            <w:vAlign w:val="center"/>
          </w:tcPr>
          <w:p w14:paraId="461FA85C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024" w:type="pct"/>
            <w:vAlign w:val="center"/>
          </w:tcPr>
          <w:p w14:paraId="1735E433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7" w:type="pct"/>
            <w:vAlign w:val="center"/>
          </w:tcPr>
          <w:p w14:paraId="46EEBEF2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6" w:type="pct"/>
            <w:vAlign w:val="center"/>
          </w:tcPr>
          <w:p w14:paraId="556C3054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13" w:type="pct"/>
            <w:vAlign w:val="center"/>
          </w:tcPr>
          <w:p w14:paraId="270C3216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07" w:type="pct"/>
            <w:vAlign w:val="center"/>
          </w:tcPr>
          <w:p w14:paraId="314E79BF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6BB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21" w:type="pct"/>
            <w:vAlign w:val="center"/>
          </w:tcPr>
          <w:p w14:paraId="3D58D62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682" w:type="pct"/>
            <w:vAlign w:val="center"/>
          </w:tcPr>
          <w:p w14:paraId="2945728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99" w:type="pct"/>
            <w:vAlign w:val="center"/>
          </w:tcPr>
          <w:p w14:paraId="64571B80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024" w:type="pct"/>
            <w:vAlign w:val="center"/>
          </w:tcPr>
          <w:p w14:paraId="72C135AB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7" w:type="pct"/>
            <w:vAlign w:val="center"/>
          </w:tcPr>
          <w:p w14:paraId="0B155623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6" w:type="pct"/>
            <w:vAlign w:val="center"/>
          </w:tcPr>
          <w:p w14:paraId="43916973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13" w:type="pct"/>
            <w:vAlign w:val="center"/>
          </w:tcPr>
          <w:p w14:paraId="67EC48B2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07" w:type="pct"/>
            <w:vAlign w:val="center"/>
          </w:tcPr>
          <w:p w14:paraId="33D5AEDA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bookmarkEnd w:id="0"/>
    </w:tbl>
    <w:p w14:paraId="4EF1B67C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  <w:t>（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二）</w:t>
      </w:r>
      <w:r>
        <w:rPr>
          <w:rFonts w:cs="Times New Roman" w:asciiTheme="minorEastAsia" w:hAnsiTheme="minorEastAsia" w:eastAsiaTheme="minorEastAsia"/>
          <w:sz w:val="24"/>
          <w:szCs w:val="24"/>
        </w:rPr>
        <w:t>主要参考书目</w:t>
      </w:r>
    </w:p>
    <w:p w14:paraId="01AEA7A0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1.李朝青、刘艳玲. 单片机原理及接口技术.北京航空航天大学出版社,第四版;</w:t>
      </w:r>
    </w:p>
    <w:p w14:paraId="07A9A1FF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2.高显生.STM32F0实战：基于HAL库开发.机械工业出版社,第一版.2018-10.</w:t>
      </w:r>
    </w:p>
    <w:p w14:paraId="3656EC5A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  <w:t>（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三）</w:t>
      </w:r>
      <w:r>
        <w:rPr>
          <w:rFonts w:hint="eastAsia" w:cs="Times New Roman" w:asciiTheme="minorEastAsia" w:hAnsiTheme="minorEastAsia" w:eastAsiaTheme="minorEastAsia"/>
          <w:sz w:val="24"/>
          <w:szCs w:val="24"/>
        </w:rPr>
        <w:t>其它学习资源</w:t>
      </w:r>
    </w:p>
    <w:p w14:paraId="07970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1.STM32CubeMX使用手册，处理器数据手册(Datasheet)，处理器参考手册(Reference manual)；</w:t>
      </w:r>
    </w:p>
    <w:p w14:paraId="18F8C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2.STC的8位处理器的芯片手册；</w:t>
      </w:r>
    </w:p>
    <w:p w14:paraId="0BD44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3.开发板上相关芯片的数据手册。</w:t>
      </w:r>
    </w:p>
    <w:p w14:paraId="0EE37B03">
      <w:pPr>
        <w:spacing w:line="360" w:lineRule="auto"/>
        <w:ind w:firstLine="480" w:firstLineChars="200"/>
        <w:rPr>
          <w:rFonts w:asciiTheme="minorEastAsia" w:hAnsiTheme="minorEastAsia" w:eastAsiaTheme="minorEastAsia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4770CC2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九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、实验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部分</w:t>
      </w:r>
    </w:p>
    <w:p w14:paraId="4E398BD7">
      <w:pPr>
        <w:spacing w:line="360" w:lineRule="auto"/>
        <w:ind w:firstLine="480" w:firstLineChars="200"/>
        <w:rPr>
          <w:rFonts w:asciiTheme="minorEastAsia" w:hAnsiTheme="minorEastAsia" w:eastAsiaTheme="minorEastAsia"/>
          <w:b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1</w:t>
      </w: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实验教学目的和要求</w:t>
      </w:r>
    </w:p>
    <w:p w14:paraId="2E434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 w:firstLineChars="200"/>
        <w:textAlignment w:val="auto"/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课程的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实验教学旨在通过实践操作，加深学生对单片机工作原理、硬件结构、软件编程及接口技术的理解与应用能力。本课程针对STC 8位单片机、MSP430系列低功耗单片机以及STM32系列高性能单片机展开，要求学生掌握各类单片机的基本开发环境配置、程序设计与调试方法。通过实验，学生应能熟练进行单片机最小系统的搭建，实现GPIO控制、中断管理、定时器应用、串口通信、ADC/DAC转换等基础功能，并理解其在物联网工程中的实际应用。实验强调理论与实践相结合，鼓励学生设计并实现小型物联网项目，如环境监测、智能控制等，以培养解决实际问题的能力、创新思维和团队协作能力，为后续从事物联网相关领域的研发工作打下坚实基础。</w:t>
      </w:r>
    </w:p>
    <w:p w14:paraId="2ADB1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 w:firstLineChars="200"/>
        <w:textAlignment w:val="auto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2.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实验项目名称和学时分配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3381"/>
        <w:gridCol w:w="667"/>
        <w:gridCol w:w="852"/>
        <w:gridCol w:w="705"/>
        <w:gridCol w:w="756"/>
        <w:gridCol w:w="570"/>
      </w:tblGrid>
      <w:tr w14:paraId="45AE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vAlign w:val="center"/>
          </w:tcPr>
          <w:p w14:paraId="37036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实验项目编号</w:t>
            </w:r>
          </w:p>
        </w:tc>
        <w:tc>
          <w:tcPr>
            <w:tcW w:w="1981" w:type="pct"/>
            <w:vAlign w:val="center"/>
          </w:tcPr>
          <w:p w14:paraId="572E0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实验项目名称</w:t>
            </w:r>
          </w:p>
        </w:tc>
        <w:tc>
          <w:tcPr>
            <w:tcW w:w="391" w:type="pct"/>
            <w:vAlign w:val="center"/>
          </w:tcPr>
          <w:p w14:paraId="49647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学时</w:t>
            </w:r>
          </w:p>
          <w:p w14:paraId="0F0F5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分配</w:t>
            </w:r>
          </w:p>
        </w:tc>
        <w:tc>
          <w:tcPr>
            <w:tcW w:w="499" w:type="pct"/>
            <w:vAlign w:val="center"/>
          </w:tcPr>
          <w:p w14:paraId="5B9ED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实验类型</w:t>
            </w:r>
          </w:p>
        </w:tc>
        <w:tc>
          <w:tcPr>
            <w:tcW w:w="413" w:type="pct"/>
            <w:vAlign w:val="center"/>
          </w:tcPr>
          <w:p w14:paraId="0C97E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每组</w:t>
            </w:r>
          </w:p>
          <w:p w14:paraId="091A7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人数</w:t>
            </w:r>
          </w:p>
        </w:tc>
        <w:tc>
          <w:tcPr>
            <w:tcW w:w="443" w:type="pct"/>
            <w:vAlign w:val="center"/>
          </w:tcPr>
          <w:p w14:paraId="61453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必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修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/</w:t>
            </w:r>
          </w:p>
          <w:p w14:paraId="7773E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选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修</w:t>
            </w:r>
          </w:p>
        </w:tc>
        <w:tc>
          <w:tcPr>
            <w:tcW w:w="334" w:type="pct"/>
            <w:vAlign w:val="center"/>
          </w:tcPr>
          <w:p w14:paraId="7470D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备注</w:t>
            </w:r>
          </w:p>
        </w:tc>
      </w:tr>
      <w:tr w14:paraId="46F41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vAlign w:val="center"/>
          </w:tcPr>
          <w:p w14:paraId="7F87C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</w:rPr>
              <w:t>01</w:t>
            </w:r>
          </w:p>
        </w:tc>
        <w:tc>
          <w:tcPr>
            <w:tcW w:w="1981" w:type="pct"/>
            <w:vAlign w:val="center"/>
          </w:tcPr>
          <w:p w14:paraId="63F5D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STC开发环境搭建与IO控制</w:t>
            </w:r>
          </w:p>
        </w:tc>
        <w:tc>
          <w:tcPr>
            <w:tcW w:w="391" w:type="pct"/>
            <w:vAlign w:val="center"/>
          </w:tcPr>
          <w:p w14:paraId="3317F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499" w:type="pct"/>
            <w:vAlign w:val="center"/>
          </w:tcPr>
          <w:p w14:paraId="07AAF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验证</w:t>
            </w:r>
          </w:p>
        </w:tc>
        <w:tc>
          <w:tcPr>
            <w:tcW w:w="413" w:type="pct"/>
            <w:vAlign w:val="center"/>
          </w:tcPr>
          <w:p w14:paraId="57A1D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vAlign w:val="center"/>
          </w:tcPr>
          <w:p w14:paraId="5009A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334" w:type="pct"/>
            <w:vAlign w:val="center"/>
          </w:tcPr>
          <w:p w14:paraId="7CA18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011F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vAlign w:val="center"/>
          </w:tcPr>
          <w:p w14:paraId="142A6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02</w:t>
            </w:r>
          </w:p>
        </w:tc>
        <w:tc>
          <w:tcPr>
            <w:tcW w:w="1981" w:type="pct"/>
            <w:vAlign w:val="center"/>
          </w:tcPr>
          <w:p w14:paraId="46018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STC实现呼吸灯</w:t>
            </w:r>
          </w:p>
        </w:tc>
        <w:tc>
          <w:tcPr>
            <w:tcW w:w="391" w:type="pct"/>
            <w:shd w:val="clear"/>
            <w:vAlign w:val="center"/>
          </w:tcPr>
          <w:p w14:paraId="04835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499" w:type="pct"/>
            <w:shd w:val="clear"/>
            <w:vAlign w:val="center"/>
          </w:tcPr>
          <w:p w14:paraId="3AF0C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验证</w:t>
            </w:r>
          </w:p>
        </w:tc>
        <w:tc>
          <w:tcPr>
            <w:tcW w:w="413" w:type="pct"/>
            <w:shd w:val="clear"/>
            <w:vAlign w:val="center"/>
          </w:tcPr>
          <w:p w14:paraId="7101A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/>
            <w:vAlign w:val="center"/>
          </w:tcPr>
          <w:p w14:paraId="75E30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334" w:type="pct"/>
            <w:vAlign w:val="center"/>
          </w:tcPr>
          <w:p w14:paraId="50B5C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3109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vAlign w:val="center"/>
          </w:tcPr>
          <w:p w14:paraId="46C35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03</w:t>
            </w:r>
          </w:p>
        </w:tc>
        <w:tc>
          <w:tcPr>
            <w:tcW w:w="1981" w:type="pct"/>
            <w:vAlign w:val="center"/>
          </w:tcPr>
          <w:p w14:paraId="737EB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STC实现printf</w:t>
            </w:r>
          </w:p>
        </w:tc>
        <w:tc>
          <w:tcPr>
            <w:tcW w:w="391" w:type="pct"/>
            <w:shd w:val="clear"/>
            <w:vAlign w:val="center"/>
          </w:tcPr>
          <w:p w14:paraId="018D2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499" w:type="pct"/>
            <w:shd w:val="clear"/>
            <w:vAlign w:val="center"/>
          </w:tcPr>
          <w:p w14:paraId="4A002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验证</w:t>
            </w:r>
          </w:p>
        </w:tc>
        <w:tc>
          <w:tcPr>
            <w:tcW w:w="413" w:type="pct"/>
            <w:shd w:val="clear"/>
            <w:vAlign w:val="center"/>
          </w:tcPr>
          <w:p w14:paraId="4F3D7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/>
            <w:vAlign w:val="center"/>
          </w:tcPr>
          <w:p w14:paraId="47217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334" w:type="pct"/>
            <w:vAlign w:val="center"/>
          </w:tcPr>
          <w:p w14:paraId="03842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1F94A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vAlign w:val="center"/>
          </w:tcPr>
          <w:p w14:paraId="70F80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04</w:t>
            </w:r>
          </w:p>
        </w:tc>
        <w:tc>
          <w:tcPr>
            <w:tcW w:w="1981" w:type="pct"/>
            <w:shd w:val="clear"/>
            <w:vAlign w:val="center"/>
          </w:tcPr>
          <w:p w14:paraId="38C2E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STM32开发环境搭建与IO控制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51744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BB58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验证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76237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5C3BA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334" w:type="pct"/>
            <w:vAlign w:val="center"/>
          </w:tcPr>
          <w:p w14:paraId="77C96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167A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vAlign w:val="center"/>
          </w:tcPr>
          <w:p w14:paraId="29E0C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05</w:t>
            </w:r>
          </w:p>
        </w:tc>
        <w:tc>
          <w:tcPr>
            <w:tcW w:w="1981" w:type="pct"/>
            <w:shd w:val="clear"/>
            <w:vAlign w:val="center"/>
          </w:tcPr>
          <w:p w14:paraId="6BD3F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STM32实现呼吸灯</w:t>
            </w:r>
          </w:p>
        </w:tc>
        <w:tc>
          <w:tcPr>
            <w:tcW w:w="391" w:type="pct"/>
            <w:shd w:val="clear"/>
            <w:vAlign w:val="center"/>
          </w:tcPr>
          <w:p w14:paraId="447F3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499" w:type="pct"/>
            <w:shd w:val="clear"/>
            <w:vAlign w:val="center"/>
          </w:tcPr>
          <w:p w14:paraId="61A2C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验证</w:t>
            </w:r>
          </w:p>
        </w:tc>
        <w:tc>
          <w:tcPr>
            <w:tcW w:w="413" w:type="pct"/>
            <w:shd w:val="clear"/>
            <w:vAlign w:val="center"/>
          </w:tcPr>
          <w:p w14:paraId="514B7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/>
            <w:vAlign w:val="center"/>
          </w:tcPr>
          <w:p w14:paraId="5238D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334" w:type="pct"/>
            <w:vAlign w:val="center"/>
          </w:tcPr>
          <w:p w14:paraId="1BFA3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412B5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vAlign w:val="center"/>
          </w:tcPr>
          <w:p w14:paraId="5875F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06</w:t>
            </w:r>
          </w:p>
        </w:tc>
        <w:tc>
          <w:tcPr>
            <w:tcW w:w="1981" w:type="pct"/>
            <w:shd w:val="clear"/>
            <w:vAlign w:val="center"/>
          </w:tcPr>
          <w:p w14:paraId="453FD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STM32实现printf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236A1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2A96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验证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13587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52E73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334" w:type="pct"/>
            <w:vAlign w:val="center"/>
          </w:tcPr>
          <w:p w14:paraId="748E2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1A0FE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shd w:val="clear"/>
            <w:vAlign w:val="center"/>
          </w:tcPr>
          <w:p w14:paraId="1C1D9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07</w:t>
            </w:r>
          </w:p>
        </w:tc>
        <w:tc>
          <w:tcPr>
            <w:tcW w:w="1981" w:type="pct"/>
            <w:shd w:val="clear"/>
            <w:vAlign w:val="center"/>
          </w:tcPr>
          <w:p w14:paraId="515B1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FreeRTOS实践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69369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DC37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综合性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05B41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13FBB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选修</w:t>
            </w:r>
          </w:p>
        </w:tc>
        <w:tc>
          <w:tcPr>
            <w:tcW w:w="334" w:type="pct"/>
            <w:vAlign w:val="center"/>
          </w:tcPr>
          <w:p w14:paraId="3AE94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63D6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shd w:val="clear"/>
            <w:vAlign w:val="center"/>
          </w:tcPr>
          <w:p w14:paraId="75E00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08</w:t>
            </w:r>
          </w:p>
        </w:tc>
        <w:tc>
          <w:tcPr>
            <w:tcW w:w="1981" w:type="pct"/>
            <w:shd w:val="clear"/>
            <w:vAlign w:val="center"/>
          </w:tcPr>
          <w:p w14:paraId="307A7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VS Code下搭建STC开发环境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7A3A1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1E1F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综合性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322CD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05381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选修</w:t>
            </w:r>
          </w:p>
        </w:tc>
        <w:tc>
          <w:tcPr>
            <w:tcW w:w="334" w:type="pct"/>
            <w:vAlign w:val="center"/>
          </w:tcPr>
          <w:p w14:paraId="54787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4C08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shd w:val="clear"/>
            <w:vAlign w:val="center"/>
          </w:tcPr>
          <w:p w14:paraId="63DE0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09</w:t>
            </w:r>
          </w:p>
        </w:tc>
        <w:tc>
          <w:tcPr>
            <w:tcW w:w="1981" w:type="pct"/>
            <w:shd w:val="clear"/>
            <w:vAlign w:val="center"/>
          </w:tcPr>
          <w:p w14:paraId="799C3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VS Code下搭建STM32开发环境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0F3BE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6558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综合性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377CC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48953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选修</w:t>
            </w:r>
          </w:p>
        </w:tc>
        <w:tc>
          <w:tcPr>
            <w:tcW w:w="334" w:type="pct"/>
            <w:vAlign w:val="center"/>
          </w:tcPr>
          <w:p w14:paraId="6705F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2CE6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shd w:val="clear" w:color="auto" w:fill="auto"/>
            <w:vAlign w:val="center"/>
          </w:tcPr>
          <w:p w14:paraId="312FB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981" w:type="pct"/>
            <w:shd w:val="clear"/>
            <w:vAlign w:val="center"/>
          </w:tcPr>
          <w:p w14:paraId="612E4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STM32CubeIDE环境搭建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2021A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6E0E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综合性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667A8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26536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选修</w:t>
            </w:r>
          </w:p>
        </w:tc>
        <w:tc>
          <w:tcPr>
            <w:tcW w:w="334" w:type="pct"/>
            <w:vAlign w:val="center"/>
          </w:tcPr>
          <w:p w14:paraId="7538E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47736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shd w:val="clear" w:color="auto" w:fill="auto"/>
            <w:vAlign w:val="center"/>
          </w:tcPr>
          <w:p w14:paraId="737BB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981" w:type="pct"/>
            <w:shd w:val="clear"/>
            <w:vAlign w:val="center"/>
          </w:tcPr>
          <w:p w14:paraId="3BDDF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用TRAE实现STC单片机编程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6CFF0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AA7D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综合性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1C659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12768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选修</w:t>
            </w:r>
          </w:p>
        </w:tc>
        <w:tc>
          <w:tcPr>
            <w:tcW w:w="334" w:type="pct"/>
            <w:vAlign w:val="center"/>
          </w:tcPr>
          <w:p w14:paraId="5D9E3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6708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shd w:val="clear" w:color="auto" w:fill="auto"/>
            <w:vAlign w:val="center"/>
          </w:tcPr>
          <w:p w14:paraId="1B3FA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1981" w:type="pct"/>
            <w:shd w:val="clear"/>
            <w:vAlign w:val="center"/>
          </w:tcPr>
          <w:p w14:paraId="76E61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用Cursor实现STC单片机编程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63E92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7B45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综合性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2F3DE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25010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选修</w:t>
            </w:r>
          </w:p>
        </w:tc>
        <w:tc>
          <w:tcPr>
            <w:tcW w:w="334" w:type="pct"/>
            <w:vAlign w:val="center"/>
          </w:tcPr>
          <w:p w14:paraId="79839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3DE1B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pct"/>
            <w:shd w:val="clear" w:color="auto" w:fill="auto"/>
            <w:vAlign w:val="center"/>
          </w:tcPr>
          <w:p w14:paraId="7BCB1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</w:rPr>
              <w:t>21146751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1981" w:type="pct"/>
            <w:shd w:val="clear"/>
            <w:vAlign w:val="center"/>
          </w:tcPr>
          <w:p w14:paraId="1505E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用Proteus进行单片机开发仿真</w:t>
            </w:r>
          </w:p>
        </w:tc>
        <w:tc>
          <w:tcPr>
            <w:tcW w:w="391" w:type="pct"/>
            <w:shd w:val="clear" w:color="auto" w:fill="auto"/>
            <w:vAlign w:val="center"/>
          </w:tcPr>
          <w:p w14:paraId="0C196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D18B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设计性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1EDA6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4E68B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/>
              </w:rPr>
              <w:t>选修</w:t>
            </w:r>
          </w:p>
        </w:tc>
        <w:tc>
          <w:tcPr>
            <w:tcW w:w="334" w:type="pct"/>
            <w:vAlign w:val="center"/>
          </w:tcPr>
          <w:p w14:paraId="4CAD1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</w:tbl>
    <w:p w14:paraId="49BF50F5">
      <w:pPr>
        <w:ind w:firstLine="420" w:firstLineChars="200"/>
        <w:rPr>
          <w:rFonts w:asciiTheme="minorEastAsia" w:hAnsiTheme="minorEastAsia" w:eastAsiaTheme="minorEastAsia"/>
          <w:kern w:val="0"/>
          <w:szCs w:val="21"/>
        </w:rPr>
      </w:pPr>
      <w:r>
        <w:rPr>
          <w:rFonts w:hint="eastAsia" w:asciiTheme="minorEastAsia" w:hAnsiTheme="minorEastAsia" w:eastAsiaTheme="minorEastAsia"/>
          <w:b/>
          <w:bCs/>
          <w:kern w:val="0"/>
          <w:szCs w:val="21"/>
        </w:rPr>
        <w:t>注：</w:t>
      </w:r>
      <w:r>
        <w:rPr>
          <w:rFonts w:hint="eastAsia" w:asciiTheme="minorEastAsia" w:hAnsiTheme="minorEastAsia" w:eastAsiaTheme="minorEastAsia"/>
          <w:kern w:val="0"/>
          <w:szCs w:val="21"/>
        </w:rPr>
        <w:t>实验类型指技能</w:t>
      </w:r>
      <w:r>
        <w:rPr>
          <w:rFonts w:hint="eastAsia" w:asciiTheme="minorEastAsia" w:hAnsiTheme="minorEastAsia" w:eastAsiaTheme="minorEastAsia"/>
          <w:kern w:val="0"/>
          <w:szCs w:val="21"/>
          <w:lang w:val="en-US" w:eastAsia="zh-CN"/>
        </w:rPr>
        <w:t>训练</w:t>
      </w:r>
      <w:r>
        <w:rPr>
          <w:rFonts w:hint="eastAsia" w:asciiTheme="minorEastAsia" w:hAnsiTheme="minorEastAsia" w:eastAsiaTheme="minorEastAsia"/>
          <w:kern w:val="0"/>
          <w:szCs w:val="21"/>
        </w:rPr>
        <w:t>性、演示性、验证性、综合性、设计性等；实验项目编号规则：共</w:t>
      </w:r>
      <w:r>
        <w:rPr>
          <w:rFonts w:hint="eastAsia" w:asciiTheme="minorEastAsia" w:hAnsiTheme="minorEastAsia" w:eastAsiaTheme="minorEastAsia"/>
          <w:kern w:val="0"/>
          <w:szCs w:val="21"/>
          <w:lang w:val="en-US" w:eastAsia="zh-CN"/>
        </w:rPr>
        <w:t>10</w:t>
      </w:r>
      <w:r>
        <w:rPr>
          <w:rFonts w:hint="eastAsia" w:asciiTheme="minorEastAsia" w:hAnsiTheme="minorEastAsia" w:eastAsiaTheme="minorEastAsia"/>
          <w:kern w:val="0"/>
          <w:szCs w:val="21"/>
        </w:rPr>
        <w:t>位，第1-</w:t>
      </w:r>
      <w:r>
        <w:rPr>
          <w:rFonts w:hint="eastAsia" w:asciiTheme="minorEastAsia" w:hAnsiTheme="minorEastAsia" w:eastAsiaTheme="minorEastAsia"/>
          <w:kern w:val="0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kern w:val="0"/>
          <w:szCs w:val="21"/>
        </w:rPr>
        <w:t>位为</w:t>
      </w:r>
      <w:r>
        <w:rPr>
          <w:rFonts w:hint="eastAsia" w:asciiTheme="minorEastAsia" w:hAnsiTheme="minorEastAsia" w:eastAsiaTheme="minorEastAsia"/>
          <w:kern w:val="0"/>
          <w:szCs w:val="21"/>
          <w:lang w:eastAsia="zh-CN"/>
        </w:rPr>
        <w:t>课程代码</w:t>
      </w:r>
      <w:r>
        <w:rPr>
          <w:rFonts w:hint="eastAsia" w:asciiTheme="minorEastAsia" w:hAnsiTheme="minorEastAsia" w:eastAsiaTheme="minorEastAsia"/>
          <w:kern w:val="0"/>
          <w:szCs w:val="21"/>
        </w:rPr>
        <w:t>，第</w:t>
      </w:r>
      <w:r>
        <w:rPr>
          <w:rFonts w:hint="eastAsia" w:asciiTheme="minorEastAsia" w:hAnsiTheme="minorEastAsia" w:eastAsiaTheme="minorEastAsia"/>
          <w:kern w:val="0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kern w:val="0"/>
          <w:szCs w:val="21"/>
        </w:rPr>
        <w:t>、</w:t>
      </w:r>
      <w:r>
        <w:rPr>
          <w:rFonts w:hint="eastAsia" w:asciiTheme="minorEastAsia" w:hAnsiTheme="minorEastAsia" w:eastAsiaTheme="minorEastAsia"/>
          <w:kern w:val="0"/>
          <w:szCs w:val="21"/>
          <w:lang w:val="en-US" w:eastAsia="zh-CN"/>
        </w:rPr>
        <w:t>10</w:t>
      </w:r>
      <w:r>
        <w:rPr>
          <w:rFonts w:hint="eastAsia" w:asciiTheme="minorEastAsia" w:hAnsiTheme="minorEastAsia" w:eastAsiaTheme="minorEastAsia"/>
          <w:kern w:val="0"/>
          <w:szCs w:val="21"/>
        </w:rPr>
        <w:t>位为流水号。</w:t>
      </w:r>
    </w:p>
    <w:p w14:paraId="4F73C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 w:firstLineChars="200"/>
        <w:textAlignment w:val="auto"/>
        <w:rPr>
          <w:rFonts w:asciiTheme="minorEastAsia" w:hAnsiTheme="minorEastAsia" w:eastAsiaTheme="minorEastAsia"/>
          <w:b/>
          <w:kern w:val="0"/>
          <w:sz w:val="24"/>
          <w:szCs w:val="24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3.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实验项目具体内容</w:t>
      </w:r>
    </w:p>
    <w:p w14:paraId="26BF5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实验项目一：STC开发环境搭建与IO控制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2FD7F861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4DBC1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掌握STC系列单片机（如STC89C52/STC8H）开发环境的搭建流程；理解单片机最小系统的组成；掌握Keil C51软件的使用及STC-ISP下载软件的操作；深入理解GPIO（通用输入输出）端口的工作原理及控制方法。</w:t>
      </w:r>
    </w:p>
    <w:p w14:paraId="25A09DA1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57D58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软件安装与配置：下载并安装Keil C51集成开发环境，配置软件许可证；安装USB转串口驱动程序，确保计算机能识别开发板。</w:t>
      </w:r>
    </w:p>
    <w:p w14:paraId="521AC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工程创建与设置：在Keil中新建工程，选择对应的STC芯片型号；配置“Options for Target”，设置输出文件为HEX格式。</w:t>
      </w:r>
    </w:p>
    <w:p w14:paraId="48769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代码编写与编译：编写C语言程序，通过直接操作寄存器（如P1口）控制LED；编译工程，检查并解决可能出现的语法错误。</w:t>
      </w:r>
    </w:p>
    <w:p w14:paraId="40F37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程序下载与调试：使用STC-ISP软件，选择正确的串口号和波特率；下载程序到单片机，观察LED的点亮、熄灭及流水灯效果；使用万用表测量IO口电平，验证程序逻辑。</w:t>
      </w:r>
    </w:p>
    <w:p w14:paraId="689E887D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02DF8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STC单片机开发板、PC机、USB数据线、Keil C51软件、STC-ISP软件。</w:t>
      </w:r>
    </w:p>
    <w:p w14:paraId="191C5AB2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2FB20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教师演示环境搭建与代码下载流程，学生动手操作并调试程序。</w:t>
      </w:r>
    </w:p>
    <w:p w14:paraId="28FDE3FD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23D3D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复习C语言基础语法；阅读单片机IO口结构图；了解二进制与十六进制在寄存器操作中的应用。</w:t>
      </w:r>
    </w:p>
    <w:p w14:paraId="6627F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</w:p>
    <w:p w14:paraId="6383C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实验项目二：STC实现呼吸灯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67017242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2D32A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理解PWM（脉冲宽度调制）的基本原理及其在LED调光中的应用；掌握利用单片机定时器产生PWM波形的方法；学习通过软件算法动态调节占空比以实现平滑亮度渐变。</w:t>
      </w:r>
    </w:p>
    <w:p w14:paraId="0D2BF18E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4976B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硬件连接：设计LED驱动电路，将LED正极通过限流电阻连接到单片机的一个IO口（如P1.0）。</w:t>
      </w:r>
    </w:p>
    <w:p w14:paraId="26B37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定时器配置：配置单片机定时器为工作模式1（16位定时器），计算并设置定时初值，以产生固定频率（如1kHz）的PWM信号。</w:t>
      </w:r>
    </w:p>
    <w:p w14:paraId="5BF89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软件逻辑实现：编写主程序，通过一个循环变量动态改变定时器的比较值，使PWM占空比在0%至100%之间循环变化；使用延时函数或查表法优化亮度变化的平滑度。</w:t>
      </w:r>
    </w:p>
    <w:p w14:paraId="1FA37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效果验证与优化：观察LED的“呼吸”效果，通过示波器观察PWM波形，验证占空比变化的准确性；调整PWM频率和占空比变化速率，优化视觉效果。</w:t>
      </w:r>
    </w:p>
    <w:p w14:paraId="0E741C30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37703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STC单片机开发板、PC机、示波器（可选，用于观察PWM波形）。</w:t>
      </w:r>
    </w:p>
    <w:p w14:paraId="234688DB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7E1B8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理论讲解PWM原理，学生编写代码并进行软硬件联调。</w:t>
      </w:r>
    </w:p>
    <w:p w14:paraId="63304873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715C4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理解占空比与平均电压的关系；预习单片机定时器的工作模式（如模式1或模式2）。</w:t>
      </w:r>
    </w:p>
    <w:p w14:paraId="17F09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实验项目三：STC实现printf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134231FA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0B5F8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掌握单片机串口通信（UART）的基本原理；学会重定向C库函数printf以通过串口发送数据；实现单片机与PC端的文本信息交互，为后续调试打下基础。</w:t>
      </w:r>
    </w:p>
    <w:p w14:paraId="406456A6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1EB8F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串口配置：配置串口通信寄存器，设置波特率为9600，工作模式为8位UART；使能串口接收和发送中断。</w:t>
      </w:r>
    </w:p>
    <w:p w14:paraId="42214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函数重定向：重写putchar函数，使其通过串口发送一个字符；在Keil中配置“Options for Target”，开启“Use MicroLIB”选项，以支持printf函数。</w:t>
      </w:r>
    </w:p>
    <w:p w14:paraId="43EA0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数据发送与接收：在主程序中调用printf函数，发送变量值、状态字符串等调试信息；使用PC端串口调试助手，设置相同的波特率，接收并显示数据。</w:t>
      </w:r>
    </w:p>
    <w:p w14:paraId="7D8A7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调试与应用：通过串口打印系统运行状态，如定时器计数值、IO口状态等；利用串口通信实现简单的命令交互，如接收PC端指令控制LED。</w:t>
      </w:r>
    </w:p>
    <w:p w14:paraId="1D9B8183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4BFC5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STC单片机开发板、PC机、串口调试助手软件。</w:t>
      </w:r>
    </w:p>
    <w:p w14:paraId="0E6926FB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05C3E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讲解串口通信协议，指导学生完成代码移植与串口测试。</w:t>
      </w:r>
    </w:p>
    <w:p w14:paraId="2E3F09B6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59EF8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了解UART通信的TX/RX引脚连接方式；理解波特率的定义及计算方法。</w:t>
      </w:r>
    </w:p>
    <w:p w14:paraId="60575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实验项目四：STM32开发环境搭建与IO控制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7C80448A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2A644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熟悉ARM Cortex-M内核架构；掌握STM32开发环境（Keil MDK或STM32CubeIDE）的安装与配置；理解STM32的GPIO架构及库函数（HAL库或标准库）的使用方法。</w:t>
      </w:r>
    </w:p>
    <w:p w14:paraId="5EB5D4EC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0847F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软件安装与工程创建：安装STM32相关开发软件（如Keil MDK-ARM）及芯片支持包（Device Family Pack）；创建新工程，选择目标芯片（如STM32F103ZET6）。</w:t>
      </w:r>
    </w:p>
    <w:p w14:paraId="56AAE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系统时钟配置：配置系统时钟，使能GPIO时钟；使用库函数（如HAL_GPIO_Init）配置GPIO引脚为推挽输出模式。</w:t>
      </w:r>
    </w:p>
    <w:p w14:paraId="1FB72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代码编写与编译：编写C语言程序，通过库函数控制GPIO引脚输出高低电平；编译工程，检查并解决可能出现的语法错误。</w:t>
      </w:r>
    </w:p>
    <w:p w14:paraId="0D9E4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程序下载与调试：使用ST-Link仿真器连接开发板和计算机；在Keil中配置调试器，下载程序到单片机；观察LED的闪烁效果，使用调试器查看GPIO寄存器状态。</w:t>
      </w:r>
    </w:p>
    <w:p w14:paraId="7953FB21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73A38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STM32开发板（如STM32F103系列）、PC机、ST-Link/J-Link仿真器。</w:t>
      </w:r>
    </w:p>
    <w:p w14:paraId="1D4EFEFD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63FB2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对比教学，演示STM32工程模板的建立与调试。</w:t>
      </w:r>
    </w:p>
    <w:p w14:paraId="7C3D0B48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3833D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了解ARM Cortex-M处理器特点；预习GPIO的推挽、开漏、上拉、下拉等模式。</w:t>
      </w:r>
    </w:p>
    <w:p w14:paraId="678AE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实验项目五：STM32实现呼吸灯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2F3C33A9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45429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掌握STM32高级定时器（TIM）产生PWM的方法；学习使用STM32CubeMX工具进行图形化配置；深入理解硬件PWM与软件模拟PWM的区别及优势。</w:t>
      </w:r>
    </w:p>
    <w:p w14:paraId="0437FCB3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168C1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CubeMX配置：使用STM32CubeMX工具，选择目标芯片；配置定时器（如TIM3）通道为PWM输出模式，设置自动重装载寄存器（ARR）和捕获比较寄存器（CCR）的值，以产生固定频率的PWM信号。</w:t>
      </w:r>
    </w:p>
    <w:p w14:paraId="4702A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工程生成与代码编写：生成初始化代码，在main.c中编写主程序逻辑；通过动态修改CCR值，实现PWM占空比的循环变化，从而控制LED亮度。</w:t>
      </w:r>
    </w:p>
    <w:p w14:paraId="2C870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硬件连接与验证：将LED连接到定时器的PWM输出引脚；编译并下载程序，观察LED的“呼吸”效果；使用示波器观察定时器输出波形，验证占空比变化的准确性。</w:t>
      </w:r>
    </w:p>
    <w:p w14:paraId="7397F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性能优化：调整PWM频率和占空比变化速率，优化视觉效果；对比硬件PWM与软件模拟PWM的CPU占用率，理解硬件PWM的优势。</w:t>
      </w:r>
    </w:p>
    <w:p w14:paraId="3FC9DA87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2F898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STM32开发板、PC机、示波器。</w:t>
      </w:r>
    </w:p>
    <w:p w14:paraId="6CB13DC3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65407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演示CubeMX配置流程，学生实现硬件PWM控制。</w:t>
      </w:r>
    </w:p>
    <w:p w14:paraId="445DA545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1307E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预习STM32定时器的时基单元结构；理解ARR与CCR寄存器对波形的影响。</w:t>
      </w:r>
    </w:p>
    <w:p w14:paraId="4FA69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实验项目六：STM32实现printf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50384162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0363B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掌握STM32串口外设的配置与使用；实现基于HAL库的串口通信及printf重定向；学习使用串口进行系统运行状态的实时监控。</w:t>
      </w:r>
    </w:p>
    <w:p w14:paraId="0567630E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2D583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串口配置：使用STM32CubeMX工具配置USART外设，设置波特率、数据位、停止位等参数；生成初始化代码。</w:t>
      </w:r>
    </w:p>
    <w:p w14:paraId="036E0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函数重定向：重写fputc函数，使其通过串口发送一个字符；在Keil中配置“Options for Target”，开启“Use MicroLIB”选项，以支持printf函数。</w:t>
      </w:r>
    </w:p>
    <w:p w14:paraId="7587E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数据发送与接收：在主程序中调用printf函数，发送系统信息、传感器数据及调试日志；使用PC端串口调试助手，设置相同的波特率，接收并显示数据。</w:t>
      </w:r>
    </w:p>
    <w:p w14:paraId="2CF2A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调试与应用：通过串口打印系统运行状态，如定时器计数值、GPIO状态等；利用串口通信实现简单的命令交互，如接收PC端指令控制LED。</w:t>
      </w:r>
    </w:p>
    <w:p w14:paraId="7146FD71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7D030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STM32开发板、PC机、串口调试助手。</w:t>
      </w:r>
    </w:p>
    <w:p w14:paraId="56043553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2C026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讲解HAL库串口API的使用，指导学生解决printf无法输出的常见问题。</w:t>
      </w:r>
    </w:p>
    <w:p w14:paraId="452DD2F5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50155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熟悉STM32的时钟树配置；了解串口中断接收的基本原理。</w:t>
      </w:r>
    </w:p>
    <w:p w14:paraId="65179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实验项目七：FreeRTOS实践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41D9044A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1E607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理解实时操作系统（RTOS）的基本概念（任务、调度、上下文切换）；掌握FreeRTOS在STM32上的移植与配置；学习多任务编程与资源管理方法。</w:t>
      </w:r>
    </w:p>
    <w:p w14:paraId="238803A3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5F010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FreeRTOS移植：下载FreeRTOS内核源码，将其集成到STM32工程中；配置FreeRTOSConfig.h文件，设置系统时钟、任务堆栈大小等参数。</w:t>
      </w:r>
    </w:p>
    <w:p w14:paraId="37D33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任务创建与管理：创建多个任务（如LED闪烁任务、串口打印任务），设置任务优先级和堆栈大小；使用xTaskCreate函数创建任务，vTaskStartScheduler函数启动调度器。</w:t>
      </w:r>
    </w:p>
    <w:p w14:paraId="5E4A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资源同步与通信：使用信号量（Semaphore）或互斥量（Mutex）解决多任务对共享资源（如串口）的竞争问题；使用队列（Queue）实现任务间的数据传输。</w:t>
      </w:r>
    </w:p>
    <w:p w14:paraId="32A9E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调试与验证：编译并下载程序，观察多任务并发执行的效果；使用调试器查看任务状态，验证调度器的正确性。</w:t>
      </w:r>
    </w:p>
    <w:p w14:paraId="31A6AB59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1DCF5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STM32开发板、PC机、Keil MDK或STM32CubeIDE。</w:t>
      </w:r>
    </w:p>
    <w:p w14:paraId="2404658E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46370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理论讲授RTOS内核机制，案例分析多任务调度过程。</w:t>
      </w:r>
    </w:p>
    <w:p w14:paraId="58A77068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10EE5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理解前后台系统（超级循环）与多任务系统的区别；复习链表与指针知识。</w:t>
      </w:r>
    </w:p>
    <w:p w14:paraId="4934E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实验项目八：VS Code下搭建STC开发环境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1048C3CB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60BDC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探索现代化的嵌入式开发工作流；掌握VS Code配合C/C++插件、PlatformIO或EIDE插件进行STC单片机开发的方法；提高代码编辑效率与项目管理能力。</w:t>
      </w:r>
    </w:p>
    <w:p w14:paraId="7B4B7990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6BDED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软件安装与插件配置：安装VS Code编辑器；安装C/C++扩展插件，以及Embedded IDE或PlatformIO插件；配置编译器路径（如SDCC或Keil C51编译器）。</w:t>
      </w:r>
    </w:p>
    <w:p w14:paraId="5208E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工程创建与配置：在VS Code中创建新工程，编写platformio.ini或c_cpp_properties.json配置文件，指定芯片型号、编译器和构建任务；配置下载任务，使用STC-ISP命令行工具实现一键烧录。</w:t>
      </w:r>
    </w:p>
    <w:p w14:paraId="41453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代码编写与编译：在VS Code中编写C语言程序，利用代码补全、语法高亮等功能提高开发效率；通过VS Code的集成终端执行编译命令，生成HEX文件。</w:t>
      </w:r>
    </w:p>
    <w:p w14:paraId="1CEE4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程序下载与调试：连接开发板，通过VS Code的任务系统下载程序；观察LED效果，验证开发环境的正确性。</w:t>
      </w:r>
    </w:p>
    <w:p w14:paraId="5DFF9151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2128B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STC开发板、PC机、VS Code软件。</w:t>
      </w:r>
    </w:p>
    <w:p w14:paraId="66ED70B6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3C531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演示插件配置与JSON文件修改，学生体验轻量级开发环境。</w:t>
      </w:r>
    </w:p>
    <w:p w14:paraId="55B23514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5C4C2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了解VS Code的基本操作；理解Makefile或构建脚本的基本逻辑。</w:t>
      </w:r>
    </w:p>
    <w:p w14:paraId="65CE3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实验项目九：VS Code下搭建STM32开发环境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350435E1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1BCAE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掌握基于VS Code + STM32官方插件 + PlatformIO的现代化开发环境搭建；理解两种主流开发方式的异同与适用场景；体验跨平台、高扩展性的嵌入式开发流程。</w:t>
      </w:r>
    </w:p>
    <w:p w14:paraId="14895443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208A6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方式一：STM32官方插件</w:t>
      </w:r>
    </w:p>
    <w:p w14:paraId="47809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安装STM32CubeMX、STM32CubeCLT及VS Code的STM32 VS Code Extension插件。</w:t>
      </w:r>
    </w:p>
    <w:p w14:paraId="18EA8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使用STM32CubeMX创建项目，配置引脚、时钟及外设，并选择生成CMake项目。</w:t>
      </w:r>
    </w:p>
    <w:p w14:paraId="0D5C6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在VS Code中导入CMake项目，自动识别编译器并配置调试环境。</w:t>
      </w:r>
    </w:p>
    <w:p w14:paraId="37BD4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编译、下载并调试程序，体验官方工具链的无缝集成。</w:t>
      </w:r>
    </w:p>
    <w:p w14:paraId="48408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方式二：PlatformIO开发</w:t>
      </w:r>
    </w:p>
    <w:p w14:paraId="3A3F8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安装PlatformIO IDE插件，创建新的STM32项目。</w:t>
      </w:r>
    </w:p>
    <w:p w14:paraId="5376C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配置platformio.ini文件，指定开发板、框架（如Arduino或STM32Cube）和调试器。</w:t>
      </w:r>
    </w:p>
    <w:p w14:paraId="5B5CF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利用PlatformIO的库管理器添加依赖，编写代码并编译。</w:t>
      </w:r>
    </w:p>
    <w:p w14:paraId="30BFD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通过集成终端或图形界面一键烧录，对比两种方式的开发效率与灵活性。</w:t>
      </w:r>
    </w:p>
    <w:p w14:paraId="7C40FC95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18051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STM32开发板、PC机、VS Code、STM32CubeMX。</w:t>
      </w:r>
    </w:p>
    <w:p w14:paraId="5F7BC4BE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1534F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对比演示两种开发方式，重点讲解配置细节与调试技巧。</w:t>
      </w:r>
    </w:p>
    <w:p w14:paraId="43D77B14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47528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了解CMake或PlatformIO的基本概念；熟悉STM32开发基础。</w:t>
      </w:r>
    </w:p>
    <w:p w14:paraId="66BC3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实验项目十：STM32CubeIDE环境搭建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02B292C3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65B36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掌握ST官方官方集成开发环境STM32CubeIDE的使用；理解其集成了CubeMX配置与Eclipse编译调试的一体化优势；熟悉官方推荐的标准开发流程。</w:t>
      </w:r>
    </w:p>
    <w:p w14:paraId="383FB613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27A4A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软件安装与项目创建：下载并安装STM32CubeIDE；启动软件，创建新项目，选择目标芯片。</w:t>
      </w:r>
    </w:p>
    <w:p w14:paraId="7B7A8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图形化配置与代码生成：利用图形化工具配置引脚、时钟树及中间件（如FreeRTOS、USB等）；生成初始化代码，自动创建工程结构。</w:t>
      </w:r>
    </w:p>
    <w:p w14:paraId="0D4B8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代码编写与编译：在集成编辑器中编写应用逻辑代码，利用代码补全、语法检查等功能；编译工程，查看编译输出。</w:t>
      </w:r>
    </w:p>
    <w:p w14:paraId="78BB4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调试与性能分析：使用内置调试器连接开发板，进行断点调试、单步执行、变量查看等操作；使用性能分析工具（如System Viewer）监控系统运行状态。</w:t>
      </w:r>
    </w:p>
    <w:p w14:paraId="6B4B83C5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2FE39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STM32开发板、PC机、STM32CubeIDE软件。</w:t>
      </w:r>
    </w:p>
    <w:p w14:paraId="7C598761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14572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全流程演示，重点讲解代码生成机制与调试视图。</w:t>
      </w:r>
    </w:p>
    <w:p w14:paraId="29435C4F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436A1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了解Eclipse IDE的基本界面；复习STM32系统架构。</w:t>
      </w:r>
    </w:p>
    <w:p w14:paraId="4012E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实验项目十一：用TRAE实现STC单片机编程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58381707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137E2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体验AI辅助编程工具（TRAE）在嵌入式开发中的应用；学习如何向AI描述硬件需求并生成高质量代码；掌握AI生成代码的审查与修正技巧。</w:t>
      </w:r>
    </w:p>
    <w:p w14:paraId="112A156F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6D554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环境准备与提示词设计：安装并配置TRAE编辑器；设计清晰的提示词，如“为STC89C52编写一个基于定时器中断的呼吸灯程序，使用P1.0引脚输出PWM”。</w:t>
      </w:r>
    </w:p>
    <w:p w14:paraId="70B47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代码生成与审查：使用TRAE生成代码，审查AI输出的C语言程序，检查寄存器配置、中断服务函数等关键部分；识别并修正可能存在的逻辑错误或硬件不兼容问题。</w:t>
      </w:r>
    </w:p>
    <w:p w14:paraId="39A03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编译与硬件验证：将AI生成的代码导入Keil或VS Code，编译并下载到开发板；观察LED效果，验证程序功能的正确性。</w:t>
      </w:r>
    </w:p>
    <w:p w14:paraId="333FB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迭代优化：根据硬件测试结果，向TRAE反馈问题，如“调整PWM频率为500Hz”，再次生成代码并验证，体验人机协作的迭代开发流程。</w:t>
      </w:r>
    </w:p>
    <w:p w14:paraId="70AE753F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7D825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STC开发板、PC机、TRAE软件。</w:t>
      </w:r>
    </w:p>
    <w:p w14:paraId="5C3E68C6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4FB9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演示提示词工程技巧，引导学生批判性地使用AI代码。</w:t>
      </w:r>
    </w:p>
    <w:p w14:paraId="6FB4988F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1E252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熟悉STC单片机基本编程逻辑，以便识别AI生成代码的正确性。</w:t>
      </w:r>
    </w:p>
    <w:p w14:paraId="58A35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实验项目十二：用Cursor实现STC单片机编程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6F3E9716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60D99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对比不同AI编程助手（Cursor）在单片机开发中的表现；掌握利用AI进行代码重构、注释生成及Bug修复的方法；提升智能化编程效率。</w:t>
      </w:r>
    </w:p>
    <w:p w14:paraId="003CF92E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51289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项目导入与代码分析：使用Cursor打开现有STC工程，利用其Chat功能询问代码实现细节，如“解释这段定时器初始化代码的作用”。</w:t>
      </w:r>
    </w:p>
    <w:p w14:paraId="6181B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功能扩展与重构：使用Cursor的Composer功能，输入需求如“为当前工程添加一个串口发送函数，波特率9600”，自动生成代码模块；对比Cursor与TRAE在代码风格、注释完整性和硬件抽象层使用上的差异。</w:t>
      </w:r>
    </w:p>
    <w:p w14:paraId="42ADE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Bug修复与优化：故意在代码中引入错误，使用Cursor的调试辅助功能定位并修复问题；利用AI建议优化代码结构，如将寄存器操作封装为函数。</w:t>
      </w:r>
    </w:p>
    <w:p w14:paraId="0A4FD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效率对比与总结：记录使用Cursor完成特定功能开发的时间，与传统开发方式对比，总结AI工具在提升开发效率方面的优势与局限。</w:t>
      </w:r>
    </w:p>
    <w:p w14:paraId="24AE7C54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5DC7A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STC开发板、PC机、Cursor软件。</w:t>
      </w:r>
    </w:p>
    <w:p w14:paraId="23882D1B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23C52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实操演练，重点在于人机协作开发模式的探索。</w:t>
      </w:r>
    </w:p>
    <w:p w14:paraId="758C9E90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73674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具备基本的C语言阅读能力。</w:t>
      </w:r>
    </w:p>
    <w:p w14:paraId="6EB1E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实验项目十三：用Proteus进行单片机开发仿真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】</w:t>
      </w:r>
    </w:p>
    <w:p w14:paraId="6AA0A8F8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实验目的：</w:t>
      </w:r>
    </w:p>
    <w:p w14:paraId="7FC84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掌握Proteus电子设计自动化（EDA）软件的使用；学会绘制单片机最小系统原理图；理解软硬件协同仿真的意义，降低硬件试错成本。</w:t>
      </w:r>
    </w:p>
    <w:p w14:paraId="189D68F6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实验内容：</w:t>
      </w:r>
    </w:p>
    <w:p w14:paraId="5B9A0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原理图绘制：在Proteus中选取单片机（如AT89C51或STM32）、LED、电阻、晶振等元件；绘制电路原理图，连接电源、复位电路、时钟电路及IO口外设。</w:t>
      </w:r>
    </w:p>
    <w:p w14:paraId="02024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程序编译与加载：在Keil中编译工程，生成HEX或ELF文件；在Proteus中双击单片机元件，加载编译好的程序文件。</w:t>
      </w:r>
    </w:p>
    <w:p w14:paraId="319C0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仿真运行与调试：运行仿真，观察虚拟示波器波形、LED状态及串口输出；使用Proteus的调试工具，如断点、单步执行，排查程序逻辑错误。</w:t>
      </w:r>
    </w:p>
    <w:p w14:paraId="6B925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硬件验证与对比：将仿真验证通过的程序下载到真实开发板，对比仿真与实际硬件的运行效果，分析差异原因（如时序、驱动能力等）。</w:t>
      </w:r>
    </w:p>
    <w:p w14:paraId="0E2EBEF8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主要仪器：</w:t>
      </w:r>
    </w:p>
    <w:p w14:paraId="38046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PC机、Proteus软件、Keil/MDK软件。</w:t>
      </w:r>
    </w:p>
    <w:p w14:paraId="14AAA3C6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教学方式：</w:t>
      </w:r>
    </w:p>
    <w:p w14:paraId="2FD24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演示原理图绘制与仿真配置，学生完成指定功能的虚拟验证。</w:t>
      </w:r>
    </w:p>
    <w:p w14:paraId="6C2FF189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预习要求：</w:t>
      </w:r>
    </w:p>
    <w:p w14:paraId="77F95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20" w:firstLineChars="200"/>
        <w:textAlignment w:val="auto"/>
      </w:pPr>
      <w:r>
        <w:rPr>
          <w:rFonts w:hint="eastAsia" w:ascii="宋体" w:hAnsi="宋体" w:eastAsia="宋体" w:cs="宋体"/>
        </w:rPr>
        <w:t>了解电路原理图的基本画法；熟悉单片机复位电路与时钟电路的连接。</w:t>
      </w:r>
    </w:p>
    <w:p w14:paraId="38526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 w:firstLineChars="200"/>
        <w:textAlignment w:val="auto"/>
        <w:rPr>
          <w:rFonts w:asciiTheme="minorEastAsia" w:hAnsiTheme="minorEastAsia" w:eastAsiaTheme="minorEastAsia"/>
          <w:b/>
          <w:kern w:val="0"/>
          <w:sz w:val="24"/>
          <w:szCs w:val="24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4.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实验课考核方式</w:t>
      </w:r>
    </w:p>
    <w:p w14:paraId="05FC4891">
      <w:pPr>
        <w:spacing w:line="360" w:lineRule="auto"/>
        <w:ind w:firstLine="480" w:firstLineChars="200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（1）实验报告：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每个实验要写一份实验报告，以提交到教学平台的为准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。</w:t>
      </w:r>
    </w:p>
    <w:p w14:paraId="7D8CE566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kern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（2）实验课的考核方式和成绩评定办法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eastAsia="zh-CN"/>
        </w:rPr>
        <w:t>：</w:t>
      </w:r>
    </w:p>
    <w:p w14:paraId="195B2422">
      <w:pPr>
        <w:spacing w:line="360" w:lineRule="auto"/>
        <w:ind w:firstLine="480" w:firstLineChars="200"/>
        <w:rPr>
          <w:rFonts w:hint="default" w:asciiTheme="minorEastAsia" w:hAnsiTheme="minorEastAsia" w:eastAsia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每个实验单独线下检查完毕后才允许写实验报告，只有实验报告没有线下检查的不纳入评分。STC单片机首个实验必须是其开发环境的搭建及IO操作，STM32的首个实验也必须是其开发环境的搭建及IO操作。线下实验效果占实验部分的60%分，但如果没有写对应的实验报告，该实验不计分。鼓励多做附加（选修）的实验。</w:t>
      </w:r>
    </w:p>
    <w:p w14:paraId="0F2DE7A2">
      <w:pPr>
        <w:spacing w:line="360" w:lineRule="auto"/>
        <w:ind w:firstLine="480" w:firstLineChars="200"/>
        <w:rPr>
          <w:rFonts w:asciiTheme="minorEastAsia" w:hAnsiTheme="minorEastAsia" w:eastAsiaTheme="minorEastAsia"/>
          <w:b/>
          <w:kern w:val="0"/>
          <w:sz w:val="24"/>
          <w:szCs w:val="24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5.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实验指导书以及主要参考书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163"/>
        <w:gridCol w:w="1022"/>
        <w:gridCol w:w="1747"/>
        <w:gridCol w:w="728"/>
        <w:gridCol w:w="727"/>
        <w:gridCol w:w="875"/>
        <w:gridCol w:w="524"/>
      </w:tblGrid>
      <w:tr w14:paraId="704D8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021" w:type="pct"/>
            <w:vAlign w:val="center"/>
          </w:tcPr>
          <w:p w14:paraId="5FB6EAF2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教材名称</w:t>
            </w:r>
          </w:p>
        </w:tc>
        <w:tc>
          <w:tcPr>
            <w:tcW w:w="682" w:type="pct"/>
            <w:vAlign w:val="center"/>
          </w:tcPr>
          <w:p w14:paraId="1DFA5E85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ISBN号</w:t>
            </w:r>
          </w:p>
        </w:tc>
        <w:tc>
          <w:tcPr>
            <w:tcW w:w="599" w:type="pct"/>
            <w:vAlign w:val="center"/>
          </w:tcPr>
          <w:p w14:paraId="4082C9CE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编者</w:t>
            </w:r>
          </w:p>
        </w:tc>
        <w:tc>
          <w:tcPr>
            <w:tcW w:w="1024" w:type="pct"/>
            <w:vAlign w:val="center"/>
          </w:tcPr>
          <w:p w14:paraId="327E2AE3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出版社</w:t>
            </w:r>
          </w:p>
        </w:tc>
        <w:tc>
          <w:tcPr>
            <w:tcW w:w="427" w:type="pct"/>
            <w:vAlign w:val="center"/>
          </w:tcPr>
          <w:p w14:paraId="159329C1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出版</w:t>
            </w:r>
          </w:p>
          <w:p w14:paraId="251AE01A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时间</w:t>
            </w:r>
          </w:p>
        </w:tc>
        <w:tc>
          <w:tcPr>
            <w:tcW w:w="426" w:type="pct"/>
            <w:vAlign w:val="center"/>
          </w:tcPr>
          <w:p w14:paraId="40BCFA81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版次</w:t>
            </w:r>
          </w:p>
        </w:tc>
        <w:tc>
          <w:tcPr>
            <w:tcW w:w="513" w:type="pct"/>
            <w:vAlign w:val="center"/>
          </w:tcPr>
          <w:p w14:paraId="649C598C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是否</w:t>
            </w:r>
          </w:p>
          <w:p w14:paraId="55B2A485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马工程</w:t>
            </w:r>
          </w:p>
          <w:p w14:paraId="0E51FFBD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  <w:lang w:val="en-US" w:eastAsia="zh-CN"/>
              </w:rPr>
              <w:t>重点</w:t>
            </w:r>
          </w:p>
          <w:p w14:paraId="4A474AEF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教材</w:t>
            </w:r>
          </w:p>
        </w:tc>
        <w:tc>
          <w:tcPr>
            <w:tcW w:w="307" w:type="pct"/>
            <w:vAlign w:val="center"/>
          </w:tcPr>
          <w:p w14:paraId="261F63E5">
            <w:pPr>
              <w:spacing w:line="240" w:lineRule="exact"/>
              <w:jc w:val="center"/>
              <w:rPr>
                <w:rFonts w:cs="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szCs w:val="21"/>
              </w:rPr>
              <w:t>备注</w:t>
            </w:r>
          </w:p>
        </w:tc>
      </w:tr>
      <w:tr w14:paraId="2A69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21" w:type="pct"/>
            <w:vAlign w:val="center"/>
          </w:tcPr>
          <w:p w14:paraId="04B19AF4">
            <w:pPr>
              <w:spacing w:line="24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无</w:t>
            </w:r>
          </w:p>
        </w:tc>
        <w:tc>
          <w:tcPr>
            <w:tcW w:w="682" w:type="pct"/>
            <w:vAlign w:val="center"/>
          </w:tcPr>
          <w:p w14:paraId="1592E520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99" w:type="pct"/>
            <w:vAlign w:val="center"/>
          </w:tcPr>
          <w:p w14:paraId="254E9F6C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024" w:type="pct"/>
            <w:vAlign w:val="center"/>
          </w:tcPr>
          <w:p w14:paraId="25B01E6C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7" w:type="pct"/>
            <w:vAlign w:val="center"/>
          </w:tcPr>
          <w:p w14:paraId="30F4A473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6" w:type="pct"/>
            <w:vAlign w:val="center"/>
          </w:tcPr>
          <w:p w14:paraId="584CDE14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13" w:type="pct"/>
            <w:vAlign w:val="center"/>
          </w:tcPr>
          <w:p w14:paraId="29CFB88A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07" w:type="pct"/>
            <w:vAlign w:val="center"/>
          </w:tcPr>
          <w:p w14:paraId="56F0B41E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4D1DB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21" w:type="pct"/>
            <w:vAlign w:val="center"/>
          </w:tcPr>
          <w:p w14:paraId="5D119BC0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682" w:type="pct"/>
            <w:vAlign w:val="center"/>
          </w:tcPr>
          <w:p w14:paraId="1C902ED6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99" w:type="pct"/>
            <w:vAlign w:val="center"/>
          </w:tcPr>
          <w:p w14:paraId="558307FA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024" w:type="pct"/>
            <w:vAlign w:val="center"/>
          </w:tcPr>
          <w:p w14:paraId="45894247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7" w:type="pct"/>
            <w:vAlign w:val="center"/>
          </w:tcPr>
          <w:p w14:paraId="0DCD7889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6" w:type="pct"/>
            <w:vAlign w:val="center"/>
          </w:tcPr>
          <w:p w14:paraId="5955691C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13" w:type="pct"/>
            <w:vAlign w:val="center"/>
          </w:tcPr>
          <w:p w14:paraId="53940721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07" w:type="pct"/>
            <w:vAlign w:val="center"/>
          </w:tcPr>
          <w:p w14:paraId="6DE6B17E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 w14:paraId="7019E1AF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十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、课程学习建议</w:t>
      </w:r>
    </w:p>
    <w:p w14:paraId="5F7A4950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eastAsia" w:ascii="Times New Roman" w:hAnsi="Times New Roman" w:eastAsia="仿宋_GB2312"/>
          <w:sz w:val="24"/>
          <w:szCs w:val="24"/>
          <w:lang w:val="en-US" w:eastAsia="zh-CN"/>
        </w:rPr>
      </w:pPr>
      <w:r>
        <w:rPr>
          <w:rFonts w:ascii="Times New Roman" w:hAnsi="Times New Roman" w:eastAsia="仿宋_GB2312"/>
          <w:sz w:val="24"/>
          <w:szCs w:val="24"/>
        </w:rPr>
        <w:t>1.</w:t>
      </w:r>
      <w:r>
        <w:rPr>
          <w:rFonts w:hint="eastAsia" w:ascii="Times New Roman" w:hAnsi="Times New Roman" w:eastAsia="仿宋_GB2312"/>
          <w:sz w:val="24"/>
          <w:szCs w:val="24"/>
          <w:lang w:val="en-US" w:eastAsia="zh-CN"/>
        </w:rPr>
        <w:t xml:space="preserve"> 单片机课程以实践为主，在调bug中成长；</w:t>
      </w:r>
    </w:p>
    <w:p w14:paraId="0D071149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default" w:ascii="Times New Roman" w:hAnsi="Times New Roman" w:eastAsia="仿宋_GB231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/>
          <w:sz w:val="24"/>
          <w:szCs w:val="24"/>
          <w:lang w:val="en-US" w:eastAsia="zh-CN"/>
        </w:rPr>
        <w:t>2. AI时代，单片机开发在代码的编写环节要求可能降低了，但对开发者的综合知识或者说大局意识要求更高了，开发一个项目需要了解更多的知识，才能设计一个更合理的系统来，所以建议多参考大创之类的比赛，提高综合开发能力。</w:t>
      </w:r>
    </w:p>
    <w:p w14:paraId="2DFB2D14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</w:p>
    <w:p w14:paraId="150275D8">
      <w:pPr>
        <w:pStyle w:val="3"/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textAlignment w:val="auto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十一、评价与审核</w:t>
      </w:r>
    </w:p>
    <w:tbl>
      <w:tblPr>
        <w:tblStyle w:val="8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4653"/>
        <w:gridCol w:w="871"/>
        <w:gridCol w:w="945"/>
        <w:gridCol w:w="956"/>
      </w:tblGrid>
      <w:tr w14:paraId="49DB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5000" w:type="pct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FB065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合理性评价（请在对应结论处打√）</w:t>
            </w:r>
          </w:p>
        </w:tc>
      </w:tr>
      <w:tr w14:paraId="1C19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3373" w:type="pct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2D89E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评价内容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45E72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90284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较</w:t>
            </w: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D991A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不</w:t>
            </w: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</w:tr>
      <w:tr w14:paraId="48AD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1869A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1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6C37E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大纲撰写规范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4C25F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6136E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6D7A4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5E7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FE195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2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51889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以专业人才培养方案为依据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6EE4D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33A17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BE0F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ECB3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EFD9F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3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66547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教材选用合理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937B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C3A80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B4793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2129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11362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7EEA4">
            <w:pPr>
              <w:spacing w:line="240" w:lineRule="exact"/>
              <w:jc w:val="left"/>
              <w:rPr>
                <w:rFonts w:hint="default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课程目标设置合理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3C510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BDE40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6DEAB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26A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604F0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5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4124E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课程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目标对毕业要求指标点支撑关系合理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40F6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D04A0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56FE3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76B7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50939">
            <w:pPr>
              <w:spacing w:line="240" w:lineRule="exact"/>
              <w:jc w:val="center"/>
              <w:rPr>
                <w:rFonts w:hint="default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6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1C220">
            <w:pPr>
              <w:spacing w:line="240" w:lineRule="exact"/>
              <w:jc w:val="left"/>
              <w:rPr>
                <w:rFonts w:hint="default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教学课时分配合理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74D30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09B041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C702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C14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5D32C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7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BC68C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教学内容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安排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81FB6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F43D1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11874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2E0C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B51D5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8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E1BF2">
            <w:pPr>
              <w:spacing w:line="240" w:lineRule="exact"/>
              <w:jc w:val="left"/>
              <w:rPr>
                <w:rFonts w:hint="default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教学内容能支撑课程目标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B8C4F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72BB1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B1EAD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6F94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0D4A5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9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7510C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教学方法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使用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CE306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8298F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F586B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3C7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5534F">
            <w:pPr>
              <w:spacing w:line="240" w:lineRule="exact"/>
              <w:jc w:val="center"/>
              <w:rPr>
                <w:rFonts w:hint="default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10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54229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eastAsia="zh-CN"/>
              </w:rPr>
              <w:t>课程考核及成绩评定方法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858E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A919C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EA7AA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0354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AE99B">
            <w:pPr>
              <w:spacing w:line="240" w:lineRule="exact"/>
              <w:jc w:val="center"/>
              <w:rPr>
                <w:rFonts w:hint="default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11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57D6D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考核方式能支撑课程目标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81FF4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538BF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9758D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7523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400D8">
            <w:pPr>
              <w:spacing w:line="240" w:lineRule="exact"/>
              <w:jc w:val="center"/>
              <w:rPr>
                <w:rFonts w:hint="default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12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C2266">
            <w:pPr>
              <w:spacing w:line="240" w:lineRule="exact"/>
              <w:jc w:val="left"/>
              <w:rPr>
                <w:rFonts w:hint="default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各考核方式的评分标准完整、合理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1AE71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4D416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B1571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3456D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46DAB">
            <w:pPr>
              <w:spacing w:line="240" w:lineRule="exact"/>
              <w:jc w:val="center"/>
              <w:rPr>
                <w:rFonts w:hint="default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13</w:t>
            </w:r>
          </w:p>
        </w:tc>
        <w:tc>
          <w:tcPr>
            <w:tcW w:w="2730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D1D8E">
            <w:pPr>
              <w:spacing w:line="240" w:lineRule="exact"/>
              <w:jc w:val="left"/>
              <w:rPr>
                <w:rFonts w:hint="default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实验项目设计合理（无实验不填）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074CB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1435F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3405B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750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3373" w:type="pct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9F44E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合理性总体评价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6125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DC41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9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732AD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AF7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CA730">
            <w:pPr>
              <w:tabs>
                <w:tab w:val="left" w:pos="420"/>
              </w:tabs>
              <w:jc w:val="center"/>
              <w:rPr>
                <w:b/>
                <w:color w:val="auto"/>
                <w:szCs w:val="21"/>
              </w:rPr>
            </w:pPr>
            <w:r>
              <w:rPr>
                <w:rFonts w:hint="eastAsia"/>
                <w:b/>
                <w:bCs/>
                <w:color w:val="auto"/>
              </w:rPr>
              <w:t>系（教研室）审核意见</w:t>
            </w:r>
          </w:p>
        </w:tc>
        <w:tc>
          <w:tcPr>
            <w:tcW w:w="4357" w:type="pct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3AB20">
            <w:pPr>
              <w:spacing w:line="480" w:lineRule="auto"/>
              <w:rPr>
                <w:color w:val="auto"/>
                <w:szCs w:val="21"/>
              </w:rPr>
            </w:pPr>
          </w:p>
          <w:p w14:paraId="3A37EAD7">
            <w:pPr>
              <w:spacing w:line="480" w:lineRule="auto"/>
              <w:rPr>
                <w:color w:val="auto"/>
                <w:szCs w:val="21"/>
              </w:rPr>
            </w:pPr>
          </w:p>
          <w:p w14:paraId="62EDB3DB">
            <w:pPr>
              <w:spacing w:line="480" w:lineRule="auto"/>
              <w:rPr>
                <w:color w:val="auto"/>
                <w:szCs w:val="21"/>
              </w:rPr>
            </w:pPr>
          </w:p>
          <w:p w14:paraId="2AB61E14">
            <w:pPr>
              <w:wordWrap w:val="0"/>
              <w:spacing w:line="400" w:lineRule="exact"/>
              <w:ind w:right="960"/>
              <w:jc w:val="righ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 xml:space="preserve">负责人签字：    </w:t>
            </w:r>
          </w:p>
          <w:p w14:paraId="31EADAF7">
            <w:pPr>
              <w:spacing w:line="400" w:lineRule="exact"/>
              <w:jc w:val="righ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年　　月　　日</w:t>
            </w:r>
          </w:p>
        </w:tc>
      </w:tr>
      <w:tr w14:paraId="3CBC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4" w:hRule="atLeast"/>
          <w:jc w:val="center"/>
        </w:trPr>
        <w:tc>
          <w:tcPr>
            <w:tcW w:w="642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60E1D">
            <w:pPr>
              <w:jc w:val="center"/>
              <w:rPr>
                <w:b/>
                <w:color w:val="auto"/>
                <w:szCs w:val="21"/>
              </w:rPr>
            </w:pPr>
            <w:r>
              <w:rPr>
                <w:rFonts w:hint="eastAsia"/>
                <w:b/>
                <w:bCs/>
                <w:color w:val="auto"/>
                <w:lang w:eastAsia="zh-CN"/>
              </w:rPr>
              <w:t>学</w:t>
            </w:r>
            <w:r>
              <w:rPr>
                <w:rFonts w:hint="eastAsia"/>
                <w:b/>
                <w:bCs/>
                <w:color w:val="auto"/>
              </w:rPr>
              <w:t>院审批意见</w:t>
            </w:r>
          </w:p>
        </w:tc>
        <w:tc>
          <w:tcPr>
            <w:tcW w:w="4357" w:type="pct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01656">
            <w:pPr>
              <w:rPr>
                <w:color w:val="auto"/>
                <w:szCs w:val="21"/>
              </w:rPr>
            </w:pPr>
          </w:p>
          <w:p w14:paraId="5664CE47">
            <w:pPr>
              <w:rPr>
                <w:color w:val="auto"/>
                <w:szCs w:val="21"/>
              </w:rPr>
            </w:pPr>
          </w:p>
          <w:p w14:paraId="51D1B156">
            <w:pPr>
              <w:rPr>
                <w:color w:val="auto"/>
                <w:szCs w:val="21"/>
              </w:rPr>
            </w:pPr>
          </w:p>
          <w:p w14:paraId="724F3051">
            <w:pPr>
              <w:rPr>
                <w:color w:val="auto"/>
                <w:szCs w:val="21"/>
              </w:rPr>
            </w:pPr>
          </w:p>
          <w:p w14:paraId="7491D4E6">
            <w:pPr>
              <w:rPr>
                <w:color w:val="auto"/>
                <w:szCs w:val="21"/>
              </w:rPr>
            </w:pPr>
          </w:p>
          <w:p w14:paraId="4F4EC915">
            <w:pPr>
              <w:wordWrap w:val="0"/>
              <w:spacing w:line="320" w:lineRule="exact"/>
              <w:jc w:val="righ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教学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副</w:t>
            </w:r>
            <w:r>
              <w:rPr>
                <w:rFonts w:hint="eastAsia"/>
                <w:color w:val="auto"/>
                <w:szCs w:val="21"/>
              </w:rPr>
              <w:t xml:space="preserve">院长签字：           </w:t>
            </w:r>
          </w:p>
          <w:p w14:paraId="764957EF">
            <w:pPr>
              <w:wordWrap w:val="0"/>
              <w:spacing w:line="320" w:lineRule="exact"/>
              <w:jc w:val="righ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单位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盖</w:t>
            </w:r>
            <w:r>
              <w:rPr>
                <w:rFonts w:hint="eastAsia"/>
                <w:color w:val="auto"/>
                <w:szCs w:val="21"/>
              </w:rPr>
              <w:t xml:space="preserve">章：           </w:t>
            </w:r>
          </w:p>
          <w:p w14:paraId="6D89E478">
            <w:pPr>
              <w:spacing w:line="320" w:lineRule="exact"/>
              <w:jc w:val="righ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年　　月　　日</w:t>
            </w:r>
          </w:p>
        </w:tc>
      </w:tr>
    </w:tbl>
    <w:p w14:paraId="00DF374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仿宋_GB2312"/>
          <w:kern w:val="0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3442F1E-506E-4B76-986A-EBC46539B9D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FE860FC7-A699-4DC6-819E-6AD6D90EA8F6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00A0E494-F177-42FF-8750-8F26E1C1896D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4" w:fontKey="{FAA3538C-FC69-4477-BB8E-EAF4842D2221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59DA36A5-1BB8-4B0F-B6C7-BD4CC86CE76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6" w:fontKey="{A1B9F89B-3B6F-4A7E-AE6C-3F7FB3158CB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49415335"/>
    </w:sdtPr>
    <w:sdtContent>
      <w:p w14:paraId="0654F295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22D32259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64126">
    <w:pPr>
      <w:pStyle w:val="7"/>
    </w:pPr>
    <w:r>
      <w:rPr>
        <w:rFonts w:hint="eastAsia"/>
        <w:lang w:val="en-US" w:eastAsia="zh-CN"/>
      </w:rPr>
      <w:t>嘉应学院</w:t>
    </w:r>
    <w:r>
      <w:rPr>
        <w:rFonts w:hint="eastAsia"/>
      </w:rPr>
      <w:t>本科</w:t>
    </w:r>
    <w:r>
      <w:rPr>
        <w:rFonts w:hint="eastAsia"/>
        <w:lang w:val="en-US" w:eastAsia="zh-CN"/>
      </w:rPr>
      <w:t>专业理论课程</w:t>
    </w:r>
    <w:r>
      <w:rPr>
        <w:rFonts w:hint="eastAsia"/>
      </w:rPr>
      <w:t>教学大纲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abstractNum w:abstractNumId="0">
    <w:nsid w:val="8402D710"/>
    <w:multiLevelType w:val="singleLevel"/>
    <w:tmpl w:val="8402D71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D4DB2717"/>
    <w:multiLevelType w:val="singleLevel"/>
    <w:tmpl w:val="D4DB271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E4814422"/>
    <w:multiLevelType w:val="singleLevel"/>
    <w:tmpl w:val="E481442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0247D6C0"/>
    <w:multiLevelType w:val="singleLevel"/>
    <w:tmpl w:val="0247D6C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05903C1B"/>
    <w:multiLevelType w:val="singleLevel"/>
    <w:tmpl w:val="05903C1B"/>
    <w:lvl w:ilvl="0" w:tentative="0">
      <w:start w:val="1"/>
      <w:numFmt w:val="bullet"/>
      <w:lvlText w:val=""/>
      <w:lvlPicBulletId w:val="0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3D72BC67"/>
    <w:multiLevelType w:val="singleLevel"/>
    <w:tmpl w:val="3D72BC6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48E6EBEC"/>
    <w:multiLevelType w:val="singleLevel"/>
    <w:tmpl w:val="48E6EBE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RjODlkNjhlMWY0MDI2M2VhNWJmY2RhZjE4ZjM1ZjcifQ=="/>
  </w:docVars>
  <w:rsids>
    <w:rsidRoot w:val="008C5588"/>
    <w:rsid w:val="000161DE"/>
    <w:rsid w:val="00017230"/>
    <w:rsid w:val="00051F23"/>
    <w:rsid w:val="00054AC6"/>
    <w:rsid w:val="00074530"/>
    <w:rsid w:val="000A29AC"/>
    <w:rsid w:val="000A6697"/>
    <w:rsid w:val="000E18C2"/>
    <w:rsid w:val="000E5793"/>
    <w:rsid w:val="000F14C6"/>
    <w:rsid w:val="000F6B70"/>
    <w:rsid w:val="00100249"/>
    <w:rsid w:val="00112AE1"/>
    <w:rsid w:val="001240D1"/>
    <w:rsid w:val="00132052"/>
    <w:rsid w:val="00141F4D"/>
    <w:rsid w:val="001778E4"/>
    <w:rsid w:val="00185A28"/>
    <w:rsid w:val="00192EBD"/>
    <w:rsid w:val="001A1863"/>
    <w:rsid w:val="001C0773"/>
    <w:rsid w:val="001D3A3D"/>
    <w:rsid w:val="00215AA4"/>
    <w:rsid w:val="00222A2B"/>
    <w:rsid w:val="00222B08"/>
    <w:rsid w:val="00232BD0"/>
    <w:rsid w:val="00233D1E"/>
    <w:rsid w:val="00260E29"/>
    <w:rsid w:val="0027285C"/>
    <w:rsid w:val="002850EF"/>
    <w:rsid w:val="002B0659"/>
    <w:rsid w:val="002E705B"/>
    <w:rsid w:val="00341E29"/>
    <w:rsid w:val="003462D1"/>
    <w:rsid w:val="00356920"/>
    <w:rsid w:val="0036099A"/>
    <w:rsid w:val="00374DD1"/>
    <w:rsid w:val="003803A2"/>
    <w:rsid w:val="00380A42"/>
    <w:rsid w:val="003B2391"/>
    <w:rsid w:val="00412D2F"/>
    <w:rsid w:val="00452047"/>
    <w:rsid w:val="004878A8"/>
    <w:rsid w:val="00574D0F"/>
    <w:rsid w:val="00590F88"/>
    <w:rsid w:val="005C238B"/>
    <w:rsid w:val="005C6FC5"/>
    <w:rsid w:val="005D6002"/>
    <w:rsid w:val="005E2D41"/>
    <w:rsid w:val="00601754"/>
    <w:rsid w:val="00605B0B"/>
    <w:rsid w:val="006071EF"/>
    <w:rsid w:val="00671DA8"/>
    <w:rsid w:val="00672400"/>
    <w:rsid w:val="00677CC6"/>
    <w:rsid w:val="00686307"/>
    <w:rsid w:val="006B3BFA"/>
    <w:rsid w:val="006D1468"/>
    <w:rsid w:val="006E0B14"/>
    <w:rsid w:val="006E77C9"/>
    <w:rsid w:val="00704416"/>
    <w:rsid w:val="00710B2D"/>
    <w:rsid w:val="00714931"/>
    <w:rsid w:val="0075759D"/>
    <w:rsid w:val="00765FD6"/>
    <w:rsid w:val="007A53F5"/>
    <w:rsid w:val="007B053F"/>
    <w:rsid w:val="007B14C1"/>
    <w:rsid w:val="007B2802"/>
    <w:rsid w:val="007B4654"/>
    <w:rsid w:val="00815459"/>
    <w:rsid w:val="00887838"/>
    <w:rsid w:val="00891381"/>
    <w:rsid w:val="008A0984"/>
    <w:rsid w:val="008A4EF3"/>
    <w:rsid w:val="008B2AE8"/>
    <w:rsid w:val="008C5588"/>
    <w:rsid w:val="008F7B64"/>
    <w:rsid w:val="00911A49"/>
    <w:rsid w:val="0092592F"/>
    <w:rsid w:val="009413A6"/>
    <w:rsid w:val="0094793D"/>
    <w:rsid w:val="009613AF"/>
    <w:rsid w:val="00981832"/>
    <w:rsid w:val="009C6AEB"/>
    <w:rsid w:val="009C737B"/>
    <w:rsid w:val="009E70A2"/>
    <w:rsid w:val="009F7399"/>
    <w:rsid w:val="00A13C32"/>
    <w:rsid w:val="00A26EB7"/>
    <w:rsid w:val="00A44F52"/>
    <w:rsid w:val="00A45CFA"/>
    <w:rsid w:val="00A52E8E"/>
    <w:rsid w:val="00A71F20"/>
    <w:rsid w:val="00AC0D4A"/>
    <w:rsid w:val="00AC0D94"/>
    <w:rsid w:val="00AC6E59"/>
    <w:rsid w:val="00AE4D41"/>
    <w:rsid w:val="00B0041A"/>
    <w:rsid w:val="00B40308"/>
    <w:rsid w:val="00B4126D"/>
    <w:rsid w:val="00B47B0D"/>
    <w:rsid w:val="00B574A4"/>
    <w:rsid w:val="00B67FB8"/>
    <w:rsid w:val="00BB7CC0"/>
    <w:rsid w:val="00BF69A4"/>
    <w:rsid w:val="00BF7547"/>
    <w:rsid w:val="00C13D35"/>
    <w:rsid w:val="00C1709F"/>
    <w:rsid w:val="00C37B3F"/>
    <w:rsid w:val="00C455AE"/>
    <w:rsid w:val="00C70138"/>
    <w:rsid w:val="00C756E2"/>
    <w:rsid w:val="00C8207F"/>
    <w:rsid w:val="00CA0921"/>
    <w:rsid w:val="00CB7898"/>
    <w:rsid w:val="00CC4D85"/>
    <w:rsid w:val="00CF0325"/>
    <w:rsid w:val="00D20F64"/>
    <w:rsid w:val="00D30627"/>
    <w:rsid w:val="00D30B5A"/>
    <w:rsid w:val="00DA372E"/>
    <w:rsid w:val="00DE37EF"/>
    <w:rsid w:val="00DF2BAF"/>
    <w:rsid w:val="00E14054"/>
    <w:rsid w:val="00E20B6B"/>
    <w:rsid w:val="00E24653"/>
    <w:rsid w:val="00E31B62"/>
    <w:rsid w:val="00E35E7D"/>
    <w:rsid w:val="00E768BA"/>
    <w:rsid w:val="00E93331"/>
    <w:rsid w:val="00EC441D"/>
    <w:rsid w:val="00EE6968"/>
    <w:rsid w:val="00EF6D7D"/>
    <w:rsid w:val="00F345BC"/>
    <w:rsid w:val="00F46EEE"/>
    <w:rsid w:val="00F4766B"/>
    <w:rsid w:val="00F6047D"/>
    <w:rsid w:val="00F828AB"/>
    <w:rsid w:val="00F924B0"/>
    <w:rsid w:val="00F96AA6"/>
    <w:rsid w:val="00FE4D13"/>
    <w:rsid w:val="00FF7ACD"/>
    <w:rsid w:val="011F3787"/>
    <w:rsid w:val="034C6634"/>
    <w:rsid w:val="04D537CA"/>
    <w:rsid w:val="05772045"/>
    <w:rsid w:val="05F54C20"/>
    <w:rsid w:val="06562220"/>
    <w:rsid w:val="08116E03"/>
    <w:rsid w:val="081E7145"/>
    <w:rsid w:val="092E4D8E"/>
    <w:rsid w:val="0A892E85"/>
    <w:rsid w:val="0AE51E8A"/>
    <w:rsid w:val="0B291F47"/>
    <w:rsid w:val="0B783791"/>
    <w:rsid w:val="0BB050E5"/>
    <w:rsid w:val="0C9475FE"/>
    <w:rsid w:val="0DF61620"/>
    <w:rsid w:val="0E5F5EF1"/>
    <w:rsid w:val="108118B3"/>
    <w:rsid w:val="11007916"/>
    <w:rsid w:val="11D16BFE"/>
    <w:rsid w:val="13145E86"/>
    <w:rsid w:val="13B8542D"/>
    <w:rsid w:val="146E6986"/>
    <w:rsid w:val="14E33208"/>
    <w:rsid w:val="153B58C2"/>
    <w:rsid w:val="155A2550"/>
    <w:rsid w:val="17680246"/>
    <w:rsid w:val="19E57F62"/>
    <w:rsid w:val="1B72077C"/>
    <w:rsid w:val="1BB366FC"/>
    <w:rsid w:val="1D037B0A"/>
    <w:rsid w:val="1E5D78EB"/>
    <w:rsid w:val="1F242E3B"/>
    <w:rsid w:val="20631369"/>
    <w:rsid w:val="208E05CF"/>
    <w:rsid w:val="20C86211"/>
    <w:rsid w:val="22284C58"/>
    <w:rsid w:val="222C4925"/>
    <w:rsid w:val="228527AD"/>
    <w:rsid w:val="239255F7"/>
    <w:rsid w:val="25034EC9"/>
    <w:rsid w:val="2586336F"/>
    <w:rsid w:val="25B07FF4"/>
    <w:rsid w:val="268A7650"/>
    <w:rsid w:val="26FA03F9"/>
    <w:rsid w:val="273A72C8"/>
    <w:rsid w:val="28DF5C31"/>
    <w:rsid w:val="29053906"/>
    <w:rsid w:val="2BCD0009"/>
    <w:rsid w:val="2C2422F5"/>
    <w:rsid w:val="2F522AA1"/>
    <w:rsid w:val="2F575B54"/>
    <w:rsid w:val="334E7C57"/>
    <w:rsid w:val="34B63D06"/>
    <w:rsid w:val="366033FD"/>
    <w:rsid w:val="37582E99"/>
    <w:rsid w:val="392A6A70"/>
    <w:rsid w:val="3B800BCA"/>
    <w:rsid w:val="3C3F6883"/>
    <w:rsid w:val="3E994DA1"/>
    <w:rsid w:val="3F1440C5"/>
    <w:rsid w:val="41870F04"/>
    <w:rsid w:val="424B37ED"/>
    <w:rsid w:val="455B2F2E"/>
    <w:rsid w:val="46DA1AD6"/>
    <w:rsid w:val="471915A7"/>
    <w:rsid w:val="49594252"/>
    <w:rsid w:val="496930A0"/>
    <w:rsid w:val="4A423F4B"/>
    <w:rsid w:val="4BC863A1"/>
    <w:rsid w:val="4D82399D"/>
    <w:rsid w:val="4E4A5793"/>
    <w:rsid w:val="4F6C6E7A"/>
    <w:rsid w:val="50595A45"/>
    <w:rsid w:val="527A416D"/>
    <w:rsid w:val="52E32DFB"/>
    <w:rsid w:val="53227B62"/>
    <w:rsid w:val="54787189"/>
    <w:rsid w:val="555D5DAC"/>
    <w:rsid w:val="578512A3"/>
    <w:rsid w:val="595355F5"/>
    <w:rsid w:val="5A4D572F"/>
    <w:rsid w:val="5AA435FB"/>
    <w:rsid w:val="5AFF7905"/>
    <w:rsid w:val="5B0369BF"/>
    <w:rsid w:val="5B315047"/>
    <w:rsid w:val="5BEE0A51"/>
    <w:rsid w:val="5D59378A"/>
    <w:rsid w:val="5E382458"/>
    <w:rsid w:val="5E6C74CD"/>
    <w:rsid w:val="5ED3731F"/>
    <w:rsid w:val="5F557FED"/>
    <w:rsid w:val="607406B8"/>
    <w:rsid w:val="60B2346C"/>
    <w:rsid w:val="61424A95"/>
    <w:rsid w:val="6149726C"/>
    <w:rsid w:val="61AE1315"/>
    <w:rsid w:val="62C872DC"/>
    <w:rsid w:val="63300BB3"/>
    <w:rsid w:val="639F57E1"/>
    <w:rsid w:val="66444E50"/>
    <w:rsid w:val="67E265E5"/>
    <w:rsid w:val="68B66784"/>
    <w:rsid w:val="69361B71"/>
    <w:rsid w:val="696A4AE4"/>
    <w:rsid w:val="6A2A3177"/>
    <w:rsid w:val="6BE37DBB"/>
    <w:rsid w:val="6C5B6D3D"/>
    <w:rsid w:val="6CDA5ADC"/>
    <w:rsid w:val="6FC502EC"/>
    <w:rsid w:val="702071B6"/>
    <w:rsid w:val="708741CD"/>
    <w:rsid w:val="708A15C7"/>
    <w:rsid w:val="7139546E"/>
    <w:rsid w:val="729F493B"/>
    <w:rsid w:val="72EE408F"/>
    <w:rsid w:val="732424B5"/>
    <w:rsid w:val="737F118B"/>
    <w:rsid w:val="75B24D2D"/>
    <w:rsid w:val="775C1F10"/>
    <w:rsid w:val="779B3860"/>
    <w:rsid w:val="77B76A4B"/>
    <w:rsid w:val="780A371A"/>
    <w:rsid w:val="785E1CB7"/>
    <w:rsid w:val="786969C5"/>
    <w:rsid w:val="7AB45BBF"/>
    <w:rsid w:val="7F6A368D"/>
    <w:rsid w:val="7F7B641C"/>
    <w:rsid w:val="7F87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qFormat/>
    <w:uiPriority w:val="0"/>
    <w:pPr>
      <w:keepNext/>
      <w:keepLines/>
      <w:ind w:firstLine="200" w:firstLineChars="200"/>
      <w:outlineLvl w:val="2"/>
    </w:pPr>
    <w:rPr>
      <w:rFonts w:ascii="Times New Roman" w:hAnsi="Times New Roman" w:eastAsia="黑体"/>
      <w:bCs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7"/>
    <w:qFormat/>
    <w:uiPriority w:val="99"/>
    <w:rPr>
      <w:rFonts w:ascii="Calibri" w:hAnsi="Calibri" w:eastAsia="楷体" w:cs="Times New Roman"/>
      <w:sz w:val="18"/>
      <w:szCs w:val="18"/>
    </w:rPr>
  </w:style>
  <w:style w:type="character" w:customStyle="1" w:styleId="12">
    <w:name w:val="页脚 字符"/>
    <w:basedOn w:val="10"/>
    <w:link w:val="6"/>
    <w:qFormat/>
    <w:uiPriority w:val="99"/>
    <w:rPr>
      <w:rFonts w:ascii="Calibri" w:hAnsi="Calibri" w:eastAsia="楷体" w:cs="Times New Roman"/>
      <w:sz w:val="18"/>
      <w:szCs w:val="18"/>
    </w:rPr>
  </w:style>
  <w:style w:type="character" w:customStyle="1" w:styleId="13">
    <w:name w:val="标题 1 字符"/>
    <w:basedOn w:val="1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4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10"/>
    <w:link w:val="4"/>
    <w:qFormat/>
    <w:uiPriority w:val="0"/>
    <w:rPr>
      <w:rFonts w:ascii="Times New Roman" w:hAnsi="Times New Roman" w:eastAsia="黑体" w:cs="Times New Roman"/>
      <w:bCs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框文本 字符"/>
    <w:basedOn w:val="10"/>
    <w:link w:val="5"/>
    <w:semiHidden/>
    <w:qFormat/>
    <w:uiPriority w:val="99"/>
    <w:rPr>
      <w:rFonts w:eastAsia="楷体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  <w:rPr>
      <w:rFonts w:cs="Calibri"/>
      <w:szCs w:val="21"/>
    </w:rPr>
  </w:style>
  <w:style w:type="paragraph" w:customStyle="1" w:styleId="1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WIN</Company>
  <Pages>17</Pages>
  <Words>2375</Words>
  <Characters>2718</Characters>
  <Lines>15</Lines>
  <Paragraphs>4</Paragraphs>
  <TotalTime>4</TotalTime>
  <ScaleCrop>false</ScaleCrop>
  <LinksUpToDate>false</LinksUpToDate>
  <CharactersWithSpaces>2746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2020-04-01T02:01:00Z</dcterms:created>
  <dc:creator>WIN</dc:creator>
  <cp:lastModifiedBy>曾镜泊</cp:lastModifiedBy>
  <cp:lastPrinted>2026-03-11T07:36:00Z</cp:lastPrinted>
  <dcterms:modified xsi:type="dcterms:W3CDTF">2026-05-08T03:34:11Z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3516C67FA2BD4A929619A5BD7C716577_13</vt:lpwstr>
  </property>
  <property fmtid="{D5CDD505-2E9C-101B-9397-08002B2CF9AE}" pid="4" name="KSOTemplateDocerSaveRecord">
    <vt:lpwstr>eyJoZGlkIjoiYWVlYzEwMjU1MjQzNzljNTg5NWIxODg4NmJjOWI1MmUiLCJ1c2VySWQiOiIyODk2NzgwNzUifQ==</vt:lpwstr>
  </property>
</Properties>
</file>