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基于因果场景与滚动承诺的微网购电调度</w:t>
      </w:r>
    </w:p>
    <w:p>
      <w:pPr>
        <w:pStyle w:val="Heading1"/>
      </w:pPr>
      <w:r>
        <w:t>摘要</w:t>
      </w:r>
    </w:p>
    <w:p>
      <w:pPr>
        <w:keepLines w:val="0"/>
        <w:ind w:firstLine="420"/>
      </w:pPr>
      <w:r>
        <w:t>针对负载、光伏出力与电价变化条件下的微网购电调度，本文在十分钟物理区间上建立统一的储能与采购模型。以实际附件为唯一观测来源，明确预测发布、历史轨迹完成和调度执行三类时刻，分别处理确定性日计划、日前风险采购及日内滚动调整。首先，将功率转换为区间电量，结合充放电效率、额定功率、SOC上下界及日末边界建立线性规划；问题一最优购电费为35,126.95元。其次，针对紧急购电价格为普通价格五倍的非对称损失，将缺口变量直接纳入经验场景目标，而不在点预测求解完成后仅追加罚款。场景由已完成的历史联合轨迹构造，另比较以因果同星期均值为中心、加入历史逐日前推误差的校准方式；场景构造和终端惩罚只用一月验证区间选择，二月至十二月不参与调参。问题二和波动价格下对应模型的正式期费用分别为14,794,949.72、15,623,134.83元。再次，建立全部计划购电和储能动作在场景间共享的随机规划，只有紧急购电为场景补救变量；按0、6、12、18点可用信息滚动求解，次日预览不形成正式承诺。频次比较固定同一日前采购轨迹、共同一月启动策略和年末SOC，消除日前计划不同造成的混杂。固定、波动价格下S3相对S0费用差分别为-123,506.61、-155,342.73元，其方向只解释本数据、所选合同和算法，不外推为预报更新的一般定理。进一步从同一正式承诺链重算最终净额与逐次调整两种结算，并对不退还取消部分原价的解释作同路径敏感性分析。针对无历史的首日，采用公开声明的启动策略而不伪造历史：一月储能保持待机，首日缺口由紧急合同补足，之后采购只利用已完成日期。逐段留存一月动作及费用，并由其末状态衔接正式期。最后，独立从原附件复核供需、SOC、功率边界、承诺链和结果表，并用未来观测扰动检查信息隔离。论文指定区间按物理键抽取，模板标签仅用于文件位置映射。结果说明，风险采购、状态边界、结算路径与预测信息需要共同建模；较低预测误差或一次求解成功均不能替代经济与可实施性验证。</w:t>
      </w:r>
    </w:p>
    <w:p>
      <w:pPr>
        <w:keepLines w:val="0"/>
        <w:ind w:firstLine="420"/>
      </w:pPr>
      <w:r>
        <w:t>关键词：微网调度；非对称缺口成本；经验场景；非前视约束；滚动优化</w:t>
      </w:r>
    </w:p>
    <w:p>
      <w:pPr>
        <w:pStyle w:val="Heading1"/>
      </w:pPr>
      <w:r>
        <w:t>1 问题与信息边界</w:t>
      </w:r>
    </w:p>
    <w:p>
      <w:pPr>
        <w:keepLines w:val="0"/>
        <w:ind w:firstLine="420"/>
      </w:pPr>
      <w:r>
        <w:t>微网由小区负载、光伏电源、储能和外部电网构成。问题一给定固定日型，要求0点制定计划且首尾储电量相同；问题二在负载和光伏变化下引入五倍价紧急购电；问题三允许使用每天四次发布的未来24小时光伏预报调整采购；问题四再考虑未知未来实时电价。除完整工作簿外，论文需报告四个指定日期的十分钟采购、四小时储能、端点SOC及紧急购电区间。</w:t>
      </w:r>
    </w:p>
    <w:p>
      <w:pPr>
        <w:keepLines w:val="0"/>
        <w:ind w:firstLine="420"/>
      </w:pPr>
      <w:r>
        <w:t>附件2—4覆盖2025年365天，正式结果表覆盖2月1日至12月31日334天，每天144段，共48,096段。1月1日6000 kWh是题给初值，不能不经运行过程移到2月。本文将一月用于有明示规则的设备启动和离线参数验证；正式比较自二月开始，所有方案读取同一启动末状态。</w:t>
      </w:r>
    </w:p>
    <w:p>
      <w:pPr>
        <w:keepLines w:val="0"/>
        <w:ind w:firstLine="420"/>
      </w:pPr>
      <w:r>
        <w:t>令 t 表示区间起点，Δt=1/6 h。源数据00:10解释为[00:00,00:10)的代表功率，依次至24:00。该右端点代表值解释是统一采用的离散化约定。原模板的0:10–0:20等文字与列序存在偏移，因此保存位置键、源时间戳、物理区间、模板标签四个字段；计算与论文按物理键，官方表按原位置保存，并另附映射页。六个指定区间的起始位置分别为61、73、85、97、109、121。</w:t>
      </w:r>
    </w:p>
    <w:p>
      <w:pPr>
        <w:keepLines w:val="0"/>
        <w:ind w:firstLine="420"/>
      </w:pPr>
      <w:r>
        <w:t>预报“提前1小时”对应发布后第一个整点，本文将该值作为前一个小时六个十分钟区间的代表值；例如6点发布的第1小时值用于6:00–7:00，18点的第7小时值用于次日0:00–1:00。此零阶保持离散化不使用未来实际插值。凌晨、跨日和全天终点采用同一映射。</w:t>
      </w:r>
    </w:p>
    <w:p>
      <w:pPr>
        <w:keepLines w:val="0"/>
        <w:ind w:firstLine="420"/>
      </w:pPr>
      <w:r>
        <w:t>信息集包括决策时刻以前已完成的观测、截至该时刻发布的预报及已形成的合同。允许观测在物理区间结束后立即可得；若存在实际通信延迟，应在可用时刻中加入延迟量。</w:t>
      </w:r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τ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σ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观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测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结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束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时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刻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≤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τ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；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预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报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发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布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时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间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≤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τ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；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既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有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采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购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承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诺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(1)</m:t>
        </m:r>
      </m:oMath>
    </w:p>
    <w:p>
      <w:pPr>
        <w:keepLines w:val="0"/>
        <w:ind w:firstLine="420"/>
      </w:pPr>
      <w:r>
        <w:t>计划采购和储能控制必须可由 Fτ 决定。当前或未来的实际负载、出力与电价只进入事后执行评价，不能作为当前优化输入。完全信息下界单独命名为事后对照。</w:t>
      </w:r>
    </w:p>
    <w:p>
      <w:pPr>
        <w:pStyle w:val="Heading1"/>
      </w:pPr>
      <w:r>
        <w:t>2 假设与符号</w:t>
      </w:r>
    </w:p>
    <w:p>
      <w:pPr>
        <w:keepLines w:val="0"/>
        <w:ind w:firstLine="420"/>
      </w:pPr>
      <w:r>
        <w:t>微网视为单母线系统，忽略未提供参数的线路损耗、储能自放电和寿命折旧；不引入售电收入。外网计划和紧急采购均非负，题面未给外网采购容量上限。允许光伏和已付费富余电量不利用，计入未用能量而非负采购。充电与放电效率各为0.9，往返效率为0.81。充放电量均定义在交流母线侧。</w:t>
      </w:r>
    </w:p>
    <w:p>
      <w:pPr>
        <w:keepLines w:val="0"/>
        <w:ind w:firstLine="420"/>
      </w:pPr>
      <w:r>
        <w:t>主结算采用取消部分退回原购电费、保留50%违约费的解释；新增量总价为1.5倍。价格按交付物理区间的固定价或实际价计，采购时用其因果预测。题面对取消退费和多次结算并不完全明确，因此本文同时报告不退原价及逐次收费的同路径对照；不同解释下的金额不能称为同一优化问题的最优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单位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Lₜ，Vₜ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负载与光伏区间电量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kWh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Bₜ，Aₜ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0点计划量与当前最终承诺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kWh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Cₜ，Dₜ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充电与放电母线电量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kWh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Eₜ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区间开始时储电量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kWh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Qₜ，Uₜ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紧急采购与未用富余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kWh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pₜ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交付区间电价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元/kWh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Hτ，s，Nτ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预测窗口、场景索引、可用场景数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—</w:t>
            </w:r>
          </w:p>
        </w:tc>
      </w:tr>
    </w:tbl>
    <w:p>
      <w:pPr>
        <w:spacing w:line="60" w:lineRule="exact" w:before="0" w:after="80"/>
      </w:pPr>
    </w:p>
    <w:p>
      <w:pPr>
        <w:pStyle w:val="Heading1"/>
      </w:pPr>
      <w:r>
        <w:t>3 物理约束与问题一</w:t>
      </w:r>
    </w:p>
    <w:p>
      <w:pPr>
        <w:keepLines w:val="0"/>
        <w:ind w:firstLine="420"/>
      </w:pPr>
      <w:r>
        <w:t>执行层由实际负载和光伏重新计算紧急缺口及未用能量。储能状态使用实际执行的充放电动作递推，前一日末值等于后一日初值。</w:t>
      </w:r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；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,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U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≥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(2)</m:t>
        </m:r>
      </m:oMath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+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1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.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9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f>
          <m:num>
            <m:sSub>
              <m:e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D</m:t>
                </m:r>
              </m:e>
              <m:sub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t</m:t>
                </m:r>
              </m:sub>
            </m:sSub>
          </m:num>
          <m:den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0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.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9</m:t>
            </m:r>
          </m:den>
        </m:f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(3)</m:t>
        </m:r>
      </m:oMath>
    </w:p>
    <w:p>
      <w:pPr>
        <w:jc w:val="center"/>
      </w:pPr>
      <m:oMath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1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2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≤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≤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1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8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；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≤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,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≤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f>
          <m:num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5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0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0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0</m:t>
            </m:r>
          </m:num>
          <m:den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6</m:t>
            </m:r>
          </m:den>
        </m:f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(4)</m:t>
        </m:r>
      </m:oMath>
    </w:p>
    <w:p>
      <w:pPr>
        <w:keepLines w:val="0"/>
        <w:ind w:firstLine="420"/>
      </w:pPr>
      <w:r>
        <w:t>物理设备不允许同时充放电。线性松弛求解后令z=0.9C−D/0.9，将动作替换为C′=max(z,0)/0.9、D′=0.9max(−z,0)。该变换保持SOC变化、降低循环损耗和所需供电，在允许免费处置富余、没有最小功率约束的本模型下不会破坏供需可行性。程序逐段验证转换后的互斥、状态、功率及情景供电约束，而不仅检查求解器返回成功。</w:t>
      </w:r>
    </w:p>
    <w:p>
      <w:pPr>
        <w:keepLines w:val="0"/>
        <w:ind w:firstLine="420"/>
      </w:pPr>
      <w:r>
        <w:t>问题一以Q=0、A=B建立确定性LP，最小化ΣpB，并施加E₀=E₁₄₄=6000。另按原附件独立构造约束矩阵重新求解，核对最优目标。存在并列最优时，不要求逐段动作唯一。无储能对照固定C=D=0，只购入max(L−V,0)。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全天购电量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全天费用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储能LP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59,482.6990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35,126.95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无储能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61,789.9354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48,052.05</w:t>
            </w:r>
          </w:p>
        </w:tc>
      </w:tr>
    </w:tbl>
    <w:p>
      <w:pPr>
        <w:spacing w:line="60" w:lineRule="exact" w:before="0" w:after="80"/>
      </w:pPr>
    </w:p>
    <w:p>
      <w:pPr>
        <w:pStyle w:val="Heading1"/>
      </w:pPr>
      <w:r>
        <w:t>4 不对称损失与日前随机规划</w:t>
      </w:r>
    </w:p>
    <w:p>
      <w:pPr>
        <w:pStyle w:val="Heading2"/>
      </w:pPr>
      <w:r>
        <w:t>4.1 联合经验场景</w:t>
      </w:r>
    </w:p>
    <w:p>
      <w:pPr>
        <w:keepLines w:val="0"/>
        <w:ind w:firstLine="420"/>
      </w:pPr>
      <w:r>
        <w:t>场景仅来自决策时已完整观测的最近20条24小时轨迹；不足20条时使用全部可用轨迹，并记录实际样本数。负载、光伏误差和价格保持同一历史日期配对，以避免独立拼接破坏相关结构。以下两种场景模型在一月内比较，不在正式期根据结果挑选。</w:t>
      </w:r>
    </w:p>
    <w:p>
      <w:pPr>
        <w:keepLines w:val="0"/>
        <w:ind w:firstLine="420"/>
      </w:pPr>
      <w:r>
        <w:t>原始历史候选直接使用历史联合负载、光伏和价格轨迹。因果残差候选先以决策日前最近4个同星期日均值为中心；不存在同星期历史时取最近最多4个已完成日。每一历史误差也必须相对当时仅用更早日期生成的预测计算，不能用当前的拟合曲线回填过去。</w:t>
      </w:r>
    </w:p>
    <w:p>
      <w:pPr>
        <w:jc w:val="center"/>
      </w:pPr>
      <m:oMath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X̃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m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a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x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，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|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τ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X</m:t>
            </m:r>
          </m:e>
          <m:sub>
            <m:sSup>
              <m:e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h</m:t>
                </m:r>
              </m:e>
              <m:sup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s</m:t>
                </m:r>
              </m:sup>
            </m:sSup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X̂</m:t>
            </m:r>
          </m:e>
          <m:sub>
            <m:sSup>
              <m:e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h</m:t>
                </m:r>
              </m:e>
              <m:sup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s</m:t>
                </m:r>
              </m:sup>
            </m:s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|</m:t>
            </m:r>
            <m:sSub>
              <m:e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τ</m:t>
                </m:r>
              </m:e>
              <m:sub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h</m:t>
                </m:r>
              </m:sub>
            </m:sSub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(5)</m:t>
        </m:r>
      </m:oMath>
    </w:p>
    <w:p>
      <w:pPr>
        <w:keepLines w:val="0"/>
        <w:ind w:firstLine="420"/>
      </w:pPr>
      <w:r>
        <w:t>式中X可为负载、光伏或波动电价；固定价格使用给定曲线。负值预测截断为零，这是预测分布的非负约束，不改变原始观测。没有先验基线的首日不进入残差样本。跨日预测对次日目标使用对应星期属性，但统计截止仍是当前决策日之前。</w:t>
      </w:r>
    </w:p>
    <w:p>
      <w:pPr>
        <w:keepLines w:val="0"/>
        <w:ind w:firstLine="420"/>
      </w:pPr>
      <w:r>
        <w:t>问题三/四-3的光伏中心使用当次正式发布预报，场景误差为同一历史发布时间对应的整段实际小时均值减原预报；历史轨迹结束时刻不得晚于当前决策时刻。两个候选都保留这种发布时间对齐。场景是由真实历史误差构成的预测样本，并非声称未来实际会等于某一历史日。</w:t>
      </w:r>
    </w:p>
    <w:p>
      <w:pPr>
        <w:pStyle w:val="Heading2"/>
      </w:pPr>
      <w:r>
        <w:t>4.2 目标与非前视约束</w:t>
      </w:r>
    </w:p>
    <w:p>
      <w:pPr>
        <w:keepLines w:val="0"/>
        <w:ind w:firstLine="420"/>
      </w:pPr>
      <w:r>
        <w:t>在给定Fτ的窗口内，对所有场景共享采购G、充电C、放电D和SOC；只有场景紧急量Qˢ允许不同。未来储能动作也不选择“最有利的场景分支”作为承诺，这比只共享第一个执行块更保守，但消除了场景信息先于观测到达的隐性假设。窗口解只执行至下一次允许更新；新信息到达后重新优化。</w:t>
      </w:r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G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≥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；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≥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，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∀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s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,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t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∈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τ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(6)</m:t>
        </m:r>
      </m:oMath>
    </w:p>
    <w:p>
      <w:pPr>
        <w:jc w:val="center"/>
      </w:pPr>
      <m:oMath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G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G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，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，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，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，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∀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s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(7)</m:t>
        </m:r>
      </m:oMath>
    </w:p>
    <w:p>
      <w:pPr>
        <w:jc w:val="center"/>
      </w:pPr>
      <m:oMath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m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i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n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f>
          <m:num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1</m:t>
            </m:r>
          </m:num>
          <m:den>
            <m:sSub>
              <m:e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Arial Unicode MS" w:hAnsi="Arial Unicode MS" w:eastAsia="Arial Unicode MS"/>
                    <w:sz w:val="20"/>
                  </w:rPr>
                  <m:t xml:space="preserve">τ</m:t>
                </m:r>
              </m:sub>
            </m:sSub>
          </m:den>
        </m:f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[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G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5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s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]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λ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末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6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ε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(8)</m:t>
        </m:r>
      </m:oMath>
    </w:p>
    <w:p>
      <w:pPr>
        <w:keepLines w:val="0"/>
        <w:ind w:firstLine="420"/>
      </w:pPr>
      <w:r>
        <w:t>式（8）用于未承诺的日前采购；已承诺的当前日区间改用第5节调整费用。λ为场景平均价格中位数乘惩罚倍数；ε=10⁻⁷元/kWh用于削弱无意义循环和并列解差异。它是明确的数值正则，实际费用表不计该项；不能据微小目标差宣称经济优势。真实评价终点强制E末=6000，中途分段保存状态不触发终端重置。</w:t>
      </w:r>
    </w:p>
    <w:p>
      <w:pPr>
        <w:keepLines w:val="0"/>
        <w:ind w:firstLine="420"/>
      </w:pPr>
      <w:r>
        <w:t>紧急成本在优化中与计划费同时权衡。无储能单期下，若净需求分布连续且价格固定正值，最小化pq+5pE[(N−q)⁺]给出F_N(q)=0.8。该推导解释损失不对称，不能把80%分位数机械替代含储能和跨时段耦合的式（8）。本文使用完整LP进行正式调度。</w:t>
      </w:r>
    </w:p>
    <w:p>
      <w:pPr>
        <w:pStyle w:val="Heading2"/>
      </w:pPr>
      <w:r>
        <w:t>4.3 训练与基线</w:t>
      </w:r>
    </w:p>
    <w:p>
      <w:pPr>
        <w:keepLines w:val="0"/>
        <w:ind w:firstLine="420"/>
      </w:pPr>
      <w:r>
        <w:t>一月8—31日用于比较两个场景候选和惩罚倍数0.5、1、1.5，四类模型合计实际费用最小者被锁定；验证子实验使用相同6000首尾SOC。相同目标并列时按预先列出的顺序取首项。正式期不重新选候选或惩罚倍数。选择结果为逐日前推因果残差场景、倍数1.0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场景候选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惩罚倍数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四模式一月验证合计费用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causal_residual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6,296,205.83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causal_residual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6,291,638.88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causal_residual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6,291,638.88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raw_history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6,578,596.29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raw_history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6,575,237.21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raw_history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6,575,237.21</w:t>
            </w:r>
          </w:p>
        </w:tc>
      </w:tr>
    </w:tbl>
    <w:p>
      <w:pPr>
        <w:spacing w:line="60" w:lineRule="exact" w:before="0" w:after="80"/>
      </w:pPr>
    </w:p>
    <w:p>
      <w:pPr>
        <w:keepLines w:val="0"/>
        <w:ind w:firstLine="420"/>
      </w:pPr>
      <w:r>
        <w:t>正式比较包括均值预测确定性采购和同场景无储能控制。前者将场景折叠为一个均值场景，后者固定充放电为零；采用共同日期、起始状态和最终状态。完全信息下界一次性使用正式期实际曲线求解，仅为事后最优信息对照。在线策略与其差额包含预测不足、有限场景、窗口和算法选择，不能全部解释为纯信息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正式期总费用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联合场景风险采购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14,794,949.72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304,382.5519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均值预测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16,457,210.18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1,084,623.2193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无储能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18,581,927.00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243,596.7610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完全信息事后下界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12,230,383.65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联合场景风险采购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15,623,134.83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301,847.5698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均值预测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17,291,874.90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1,084,623.2193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无储能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19,297,857.40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244,173.5421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完全信息事后下界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12,783,021.74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p>
      <w:pPr>
        <w:pStyle w:val="Heading1"/>
      </w:pPr>
      <w:r>
        <w:t>5 滚动调整与真实承诺结算</w:t>
      </w:r>
    </w:p>
    <w:p>
      <w:pPr>
        <w:pStyle w:val="Heading2"/>
      </w:pPr>
      <w:r>
        <w:t>5.1 共同日前合同的受控比较</w:t>
      </w:r>
    </w:p>
    <w:p>
      <w:pPr>
        <w:keepLines w:val="0"/>
        <w:ind w:firstLine="420"/>
      </w:pPr>
      <w:r>
        <w:t>先用只在0点求解的参考策略在线形成每一天的B及其参考状态。该参考过程本身只使用当日允许信息，可与实际调度并行运行。S0、S1、S2、S3分别允许在{0}、{0,6}、{0,6,12}、{0,6,12,18}求解，但四组读取完全相同的B。其他策略0点保持B锁定，只安排自身当前SOC下的储能；随后在允许时刻调整尚未交付的承诺。实际状态因过去更新而产生的差异属于处理结果，不另注入免费库存。</w:t>
      </w:r>
    </w:p>
    <w:p>
      <w:pPr>
        <w:keepLines w:val="0"/>
        <w:ind w:firstLine="420"/>
      </w:pPr>
      <w:r>
        <w:t>每次求解使用未来24小时；当前日剩余区间形成正式承诺，次日部分仅用于储能前瞻，不进入当前日调整账本。年末窗口按评价终点截断。已经执行的时段不得重写。S3作为题目完整四时点机制的正式结果表口径；费用最低的受控方案另如实报告，不将“机制最完整”当作最优证明。</w:t>
      </w:r>
    </w:p>
    <w:p>
      <w:pPr>
        <w:pStyle w:val="Heading2"/>
      </w:pPr>
      <w:r>
        <w:t>5.2 主结算与逐次结算</w:t>
      </w:r>
    </w:p>
    <w:p>
      <w:pPr>
        <w:keepLines w:val="0"/>
        <w:ind w:firstLine="420"/>
      </w:pPr>
      <w:r>
        <w:t>令x=A−B，下调取消部分退原价后保留50%违约费，上调新增量按1.5倍价计。主费用与逐次费用分别为：</w:t>
      </w:r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x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x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.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5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x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(9)</m:t>
        </m:r>
      </m:oMath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净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[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末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5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]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(10)</m:t>
        </m:r>
      </m:oMath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逐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次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[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(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−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1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)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+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5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]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(11)</m:t>
        </m:r>
      </m:oMath>
    </w:p>
    <w:p>
      <w:pPr>
        <w:keepLines w:val="0"/>
        <w:ind w:firstLine="420"/>
      </w:pPr>
      <w:r>
        <w:t>两式严格使用同一正式承诺链和同一执行轨迹。每条承诺记录发布时间、决策时SOC、交付物理键、旧值、新值和可用历史截止。以价格1元、计划100 kWh说明：100→80的主费用为90元，100→120为130元；100→80→100的净变化为0，逐次费用比净额多20元。</w:t>
      </w:r>
    </w:p>
    <w:p>
      <w:pPr>
        <w:keepLines w:val="0"/>
        <w:ind w:firstLine="420"/>
      </w:pPr>
      <w:r>
        <w:t>在某交付时段各次调整均采用相同非负价格的本文口径下，由三角不等式：</w:t>
      </w:r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逐</m:t>
            </m:r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次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净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=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.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5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[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Δ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−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sSub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∑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</m:sub>
        </m:sSub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Δ</m:t>
        </m:r>
        <m:sSubSup>
          <m:e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Arial Unicode MS" w:hAnsi="Arial Unicode MS" w:eastAsia="Arial Unicode MS"/>
                <w:sz w:val="20"/>
              </w:rPr>
              <m:t xml:space="preserve">k</m:t>
            </m:r>
          </m:sup>
        </m:sSubSup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|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]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≥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0</m:t>
        </m:r>
        <m:r>
          <m:rPr>
            <m:sty m:val="p"/>
          </m:rPr>
          <w:rPr>
            <w:rFonts w:ascii="Arial Unicode MS" w:hAnsi="Arial Unicode MS" w:eastAsia="Arial Unicode MS"/>
            <w:sz w:val="20"/>
          </w:rPr>
          <m:t xml:space="preserve">  (12)</m:t>
        </m:r>
      </m:oMath>
    </w:p>
    <w:p>
      <w:pPr>
        <w:keepLines w:val="0"/>
        <w:ind w:firstLine="420"/>
      </w:pPr>
      <w:r>
        <w:t>仅一次有效调整时可相等，因此审计不要求两种费用必须不同。若采用每次下单瞬时价格而非交付区间价，应重新定义合同价格和决策目标，上式不能直接套用。本轮不把该歧义隐藏为已知市场规则。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最终净额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同链逐次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不退原价同路径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14,794,949.72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14,794,949.72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14,794,949.72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15,632,485.48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15,728,646.00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16,097,957.53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15,623,134.83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15,623,134.83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15,623,134.83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16,455,780.60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16,554,607.22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16,936,032.61</w:t>
            </w:r>
          </w:p>
        </w:tc>
      </w:tr>
    </w:tbl>
    <w:p>
      <w:pPr>
        <w:spacing w:line="60" w:lineRule="exact" w:before="0" w:after="80"/>
      </w:pPr>
    </w:p>
    <w:p>
      <w:pPr>
        <w:keepLines w:val="0"/>
        <w:ind w:firstLine="420"/>
      </w:pPr>
      <w:r>
        <w:t>不退还取消部分原价的对照在相同路径上额外加Σp(B−A末)⁺；它反映计费解释变化，未重新优化策略，故不能称为另一制度下的最优策略收益。</w:t>
      </w:r>
    </w:p>
    <w:p>
      <w:pPr>
        <w:pStyle w:val="Heading1"/>
      </w:pPr>
      <w:r>
        <w:t>6 连续启动与因果检验</w:t>
      </w:r>
    </w:p>
    <w:p>
      <w:pPr>
        <w:keepLines w:val="0"/>
        <w:ind w:firstLine="420"/>
      </w:pPr>
      <w:r>
        <w:t>缺少首日前史时，本文不从首日完整实际曲线构造0点预测。一月采用共同设备启动策略：储能保持待机，SOC按零充放电真实递推；首日计划采购为零，实际负载减光伏的正缺口由紧急合同供给，负缺口弃置。随后各日按截至前一日已完成的经验净负载与价格进行单期采购。价格变化时以历史价格为权的经验80%分位数求解采购量，一月仍不操作储能。所有计划、实际紧急量和费用逐段记录。</w:t>
      </w:r>
    </w:p>
    <w:p>
      <w:pPr>
        <w:keepLines w:val="0"/>
        <w:ind w:firstLine="420"/>
      </w:pPr>
      <w:r>
        <w:t>这是保守的可实施启动合同，不声称为一月最优策略，也不将一月费用隐去。由于每一段C=D=0，一月末6000是从题给一月初值推出的真实状态，而不是二月凭空重置。训练候选回放是独立的离线选型实验，不伪称它们是已经实际执行的启动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一月启动费用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一月末SOC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二月初SOC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2,637,166.81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2,939,367.99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2,637,166.81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2,939,367.99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p>
      <w:pPr>
        <w:keepLines w:val="0"/>
        <w:ind w:firstLine="420"/>
      </w:pPr>
      <w:r>
        <w:t>未来信息扰动检验保持决策时已知数据不变，只改其后的实际负载、光伏和实时价，要求场景及当前购电/充放电决策不变；同时验证更晚发布的预报不会影响更早决策。对于前一日同一发布时间的24小时残差，其完整观测恰截至本日同一时刻，可在立即观测假设下使用；不是仅比较日期大小就认定因果性。</w:t>
      </w:r>
    </w:p>
    <w:p>
      <w:pPr>
        <w:keepLines w:val="0"/>
        <w:ind w:firstLine="420"/>
      </w:pPr>
      <w:r>
        <w:t>分段复验比较连续运行与在中途保存SOC后继续运行，不能因传入了临时end_date就额外强制SOC恢复。年末终端和训练子实验终端采用显式评价端点，普通中途截断不改变控制规则。</w:t>
      </w:r>
    </w:p>
    <w:p>
      <w:pPr>
        <w:pStyle w:val="Heading1"/>
      </w:pPr>
      <w:r>
        <w:t>7 结果与稳健性边界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计划费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调整净费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总费用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13,628,630.29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1,166,319.43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14,794,949.72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14,398,125.99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1,225,008.84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15,623,134.83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13,787,650.62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-94,795.02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1,939,629.88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15,632,485.48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14,529,578.19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-76,763.21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2,002,965.61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16,455,780.60</w:t>
            </w:r>
          </w:p>
        </w:tc>
      </w:tr>
    </w:tbl>
    <w:p>
      <w:pPr>
        <w:spacing w:line="60" w:lineRule="exact" w:before="0" w:after="80"/>
      </w:pPr>
    </w:p>
    <w:p>
      <w:pPr>
        <w:keepNext w:val="0"/>
        <w:keepLines/>
        <w:jc w:val="center"/>
      </w:pPr>
      <w:r>
        <w:rPr>
          <w:rFonts w:ascii="Arial Unicode MS" w:hAnsi="Arial Unicode MS" w:eastAsia="Arial Unicode MS"/>
          <w:sz w:val="18"/>
        </w:rPr>
        <w:drawing>
          <wp:inline xmlns:a="http://schemas.openxmlformats.org/drawingml/2006/main" xmlns:pic="http://schemas.openxmlformats.org/drawingml/2006/picture">
            <wp:extent cx="5472000" cy="24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/>
          <w:sz w:val="18"/>
        </w:rPr>
        <w:br/>
      </w:r>
      <w:r>
        <w:rPr>
          <w:rFonts w:ascii="Arial Unicode MS" w:hAnsi="Arial Unicode MS" w:eastAsia="Arial Unicode MS"/>
          <w:sz w:val="18"/>
        </w:rPr>
        <w:t>图  四类正式结果的计划 调整与紧急费用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时点策略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主费用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逐次费用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15,755,992.09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15,755,992.09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480,127.6923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15,719,285.75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15,719,285.75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458,877.2938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15,632,278.97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15,728,445.92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461,452.2838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15,632,485.48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15,728,646.00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461,512.7475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16,611,123.32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16,611,123.32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491,220.5871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16,551,767.48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16,551,767.48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458,919.9717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16,455,768.85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16,554,595.47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461,095.1851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16,455,780.60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16,554,607.22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461,100.4099</w:t>
            </w:r>
          </w:p>
        </w:tc>
      </w:tr>
    </w:tbl>
    <w:p>
      <w:pPr>
        <w:spacing w:line="60" w:lineRule="exact" w:before="0" w:after="80"/>
      </w:pPr>
    </w:p>
    <w:p>
      <w:pPr>
        <w:keepNext w:val="0"/>
        <w:keepLines/>
        <w:jc w:val="center"/>
      </w:pPr>
      <w:r>
        <w:rPr>
          <w:rFonts w:ascii="Arial Unicode MS" w:hAnsi="Arial Unicode MS" w:eastAsia="Arial Unicode MS"/>
          <w:sz w:val="18"/>
        </w:rPr>
        <w:drawing>
          <wp:inline xmlns:a="http://schemas.openxmlformats.org/drawingml/2006/main" xmlns:pic="http://schemas.openxmlformats.org/drawingml/2006/picture">
            <wp:extent cx="5472000" cy="23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9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/>
          <w:sz w:val="18"/>
        </w:rPr>
        <w:br/>
      </w:r>
      <w:r>
        <w:rPr>
          <w:rFonts w:ascii="Arial Unicode MS" w:hAnsi="Arial Unicode MS" w:eastAsia="Arial Unicode MS"/>
          <w:sz w:val="18"/>
        </w:rPr>
        <w:t>图  共同日前合同下的更新频次比较</w:t>
      </w:r>
    </w:p>
    <w:p>
      <w:pPr>
        <w:keepLines w:val="0"/>
        <w:ind w:firstLine="420"/>
      </w:pPr>
      <w:r>
        <w:t>Q3在本样本共同日前合同下，主费用最低为S2，费用15,632,278.97元；S3相对S0减少123,506.61元。该差额来自本算法在更新信息下选择的后续采购和储能，不能推广成信息本身必然有害或必然有益。</w:t>
      </w:r>
    </w:p>
    <w:p>
      <w:pPr>
        <w:keepLines w:val="0"/>
        <w:ind w:firstLine="420"/>
      </w:pPr>
      <w:r>
        <w:t>Q4_3在本样本共同日前合同下，主费用最低为S2，费用16,455,768.85元；S3相对S0减少155,342.73元。该差额来自本算法在更新信息下选择的后续采购和储能，不能推广成信息本身必然有害或必然有益。</w:t>
      </w:r>
    </w:p>
    <w:p>
      <w:pPr>
        <w:keepLines w:val="0"/>
        <w:ind w:firstLine="420"/>
      </w:pPr>
      <w:r>
        <w:t>逐日配对差使用7天移动块、2000次重采样估计区间，重采样对象是已经实现的真实逐日费用差，不制造新的购电观测。该区间描述这一个年份样本中的时序变动，并不排除有限样本偏差或分布漂移。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比较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配对差额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95%区间下端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95%区间上端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S1_minus_S0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-36,706.34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-94,800.29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24,743.50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S2_minus_S0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-123,713.12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-184,599.51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-64,757.47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S3_minus_S0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-123,506.61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-183,617.04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-62,973.55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S1_minus_S0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-59,355.84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-120,183.32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9,131.22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S2_minus_S0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-155,354.47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-212,721.58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-91,199.75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q4_3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S3_minus_S0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-155,342.73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-216,836.95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-92,212.38</w:t>
            </w:r>
          </w:p>
        </w:tc>
      </w:tr>
    </w:tbl>
    <w:p>
      <w:pPr>
        <w:spacing w:line="60" w:lineRule="exact" w:before="0" w:after="80"/>
      </w:pPr>
    </w:p>
    <w:p>
      <w:pPr>
        <w:keepNext w:val="0"/>
        <w:keepLines/>
        <w:jc w:val="center"/>
      </w:pPr>
      <w:r>
        <w:rPr>
          <w:rFonts w:ascii="Arial Unicode MS" w:hAnsi="Arial Unicode MS" w:eastAsia="Arial Unicode MS"/>
          <w:sz w:val="18"/>
        </w:rPr>
        <w:drawing>
          <wp:inline xmlns:a="http://schemas.openxmlformats.org/drawingml/2006/main" xmlns:pic="http://schemas.openxmlformats.org/drawingml/2006/picture">
            <wp:extent cx="5472000" cy="24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dif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/>
          <w:sz w:val="18"/>
        </w:rPr>
        <w:br/>
      </w:r>
      <w:r>
        <w:rPr>
          <w:rFonts w:ascii="Arial Unicode MS" w:hAnsi="Arial Unicode MS" w:eastAsia="Arial Unicode MS"/>
          <w:sz w:val="18"/>
        </w:rPr>
        <w:t>图  两种电价下S3相对S0累计费用差</w:t>
      </w:r>
    </w:p>
    <w:p>
      <w:pPr>
        <w:keepNext w:val="0"/>
        <w:keepLines/>
        <w:jc w:val="center"/>
      </w:pPr>
      <w:r>
        <w:rPr>
          <w:rFonts w:ascii="Arial Unicode MS" w:hAnsi="Arial Unicode MS" w:eastAsia="Arial Unicode MS"/>
          <w:sz w:val="18"/>
        </w:rPr>
        <w:drawing>
          <wp:inline xmlns:a="http://schemas.openxmlformats.org/drawingml/2006/main" xmlns:pic="http://schemas.openxmlformats.org/drawingml/2006/picture">
            <wp:extent cx="5472000" cy="328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_disp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/>
          <w:sz w:val="18"/>
        </w:rPr>
        <w:br/>
      </w:r>
      <w:r>
        <w:rPr>
          <w:rFonts w:ascii="Arial Unicode MS" w:hAnsi="Arial Unicode MS" w:eastAsia="Arial Unicode MS"/>
          <w:sz w:val="18"/>
        </w:rPr>
        <w:t>图  六月二十一日问题三的执行轨迹与SOC</w:t>
      </w:r>
    </w:p>
    <w:p>
      <w:pPr>
        <w:keepLines w:val="0"/>
        <w:ind w:firstLine="420"/>
      </w:pPr>
      <w:r>
        <w:t>以四个指定日期、两种电价、每天四次决策构成32个固定LP实例，分别用HiGHS自动、对偶单纯形和内点法复求。相同初始状态、场景、B和窗口下比较目标及动作，检验可行性和并列解敏感性。它不等价于36次完整年度策略回放，不能由实例目标接近推出全年实际费用相同。</w:t>
      </w:r>
    </w:p>
    <w:p>
      <w:pPr>
        <w:keepLines w:val="0"/>
        <w:ind w:firstLine="420"/>
      </w:pPr>
      <w:r>
        <w:t>共完成96次固定实例复求。相对HiGHS自动法的目标最大绝对差为7.27596e-12元，窗口采购量最大L1差为292.46 kWh；最大SOC递推残差为1.023e-12 kWh。目标接近而动作不一致时应视为并列解敏感性，全年策略排序仍需额外完整回放才能确认。</w:t>
      </w:r>
    </w:p>
    <w:p>
      <w:pPr>
        <w:keepLines w:val="0"/>
        <w:ind w:firstLine="420"/>
      </w:pPr>
      <w:r>
        <w:t>风险评价仍有明确边界：有限历史场景不保证覆盖未来极端情况；负载/光伏/价格联合关系可能随季节改变；全部未来动作共享限制了场景补救自由度，可能增加保守性；有限窗口终端惩罚只是长期价值的近似。本文不引入附件未给出的外网限额或售电收益，也不把紧急购电量当作最终停电量。</w:t>
      </w:r>
    </w:p>
    <w:p>
      <w:pPr>
        <w:pStyle w:val="Heading1"/>
      </w:pPr>
      <w:r>
        <w:t>8 证据链与结论</w:t>
      </w:r>
    </w:p>
    <w:p>
      <w:pPr>
        <w:keepLines w:val="0"/>
        <w:ind w:firstLine="420"/>
      </w:pPr>
      <w:r>
        <w:t>证据按“原始附件及哈希—物理时间映射—历史完成时刻和发布预报—当前源码与已解析配置—逐时段执行与承诺链—工作簿及论文数值”保存。独立审计直接从原始Excel取实际负载、光伏及价格，重新计算状态和费用；另建问题一LP，不以模型自带PASS或求解器状态代替数学核验。文档构建从持久化paper/main.md读取内容，全部结果宏由当前运行值替换；生成后再核对指定区间和四小时聚合。</w:t>
      </w:r>
    </w:p>
    <w:p>
      <w:pPr>
        <w:keepLines w:val="0"/>
        <w:ind w:firstLine="420"/>
      </w:pPr>
      <w:r>
        <w:t>本轮独立检查共237项，失败0项。检查覆盖逐时段原数据匹配、物理区间、设备边界、真实缺口及费用、正式承诺连续性、共同日前合同和一月衔接。测试还覆盖未来观测隔离、分段状态不重置、不同充放电效率和年末边界。该结果是所列检查范围内的证据，不是模型最优性或外推有效性的证明。</w:t>
      </w:r>
    </w:p>
    <w:p>
      <w:pPr>
        <w:keepLines w:val="0"/>
        <w:ind w:firstLine="420"/>
      </w:pPr>
      <w:r>
        <w:t>问题一可用线性规划实现题设物理边界内的确定性调度。问题二/四-2的采购必须显式面对五倍缺口损失，点预测均值并非充分的经济决策准则。对问题三/四-3，固定共同日前承诺后才可讨论更新频次；结果的正负均应如实保留。逐次收费必须从真实承诺链计算，其同路径差额受式（12）约束。最后，一月启动策略、正式期初值及终端必须与同一状态合同一致，才能使费用和策略比较具有可解释性。</w:t>
      </w:r>
    </w:p>
    <w:p>
      <w:pPr>
        <w:pStyle w:val="Heading1"/>
      </w:pPr>
      <w:r>
        <w:t>AI工具使用声明</w:t>
      </w:r>
    </w:p>
    <w:p>
      <w:pPr>
        <w:keepLines w:val="0"/>
        <w:ind w:firstLine="420"/>
      </w:pPr>
      <w:r>
        <w:t>本轮使用OpenAI Codex辅助审查既有程序、实现修订、组织实验、复算结果和生成文档。保留原始输入，不编造观测数据或计算结果；预测场景与统计重采样均明确标记为数学估计。此前AI会话的具体型号和完整操作记录无法由现存项目全部核验，不猜填。参赛队仍需对题意假设、模型取舍、代码、数值和最终提交内容进行人工审阅。详细范围和记录索引见AI工具使用详情.pdf。</w:t>
      </w:r>
    </w:p>
    <w:p>
      <w:pPr>
        <w:pStyle w:val="Heading1"/>
      </w:pPr>
      <w:r>
        <w:t>参考材料</w:t>
      </w:r>
    </w:p>
    <w:p>
      <w:pPr>
        <w:keepNext/>
        <w:keepLines w:val="0"/>
        <w:ind w:firstLine="420"/>
      </w:pPr>
      <w:r>
        <w:t>[1] 2026年高教社杯全国大学生数学建模竞赛 C题 微网与外部电网电力调控策略 原题及附件1至5。</w:t>
      </w:r>
    </w:p>
    <w:p>
      <w:pPr>
        <w:keepLines w:val="0"/>
        <w:ind w:firstLine="420"/>
      </w:pPr>
      <w:r>
        <w:t>[2] 本项目可复现实验资料 原始输入哈希 已解析配置 逐时段明细 正式承诺链 独立复核报告与源码。</w:t>
      </w:r>
    </w:p>
    <w:p>
      <w:pPr>
        <w:pStyle w:val="Heading1"/>
      </w:pPr>
      <w:r>
        <w:t>附录</w:t>
      </w:r>
    </w:p>
    <w:p>
      <w:pPr>
        <w:pStyle w:val="Heading2"/>
      </w:pPr>
      <w:r>
        <w:t>附录A 题面指定结果</w:t>
      </w:r>
    </w:p>
    <w:p>
      <w:pPr>
        <w:keepLines w:val="0"/>
        <w:ind w:firstLine="420"/>
      </w:pPr>
      <w:r>
        <w:t>表格按物理区间抽取。问题三及问题四-3均为S3完整机制口径；表中同时列0点计划和最终承诺，不将两种量混用。所有电量单位为kWh，费用单位为元。全精度参与计算，四位小数只在展示时舍入；紧急表按每天连续正缺口区间聚合。</w:t>
      </w:r>
    </w:p>
    <w:p>
      <w:pPr>
        <w:pStyle w:val="Heading3"/>
      </w:pPr>
      <w:r>
        <w:t>Q1 2025-01-01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480.4125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480.4125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445.4317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445.4317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531.8940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531.8940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59,482.6990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59,482.6990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35,126.95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4,500.0000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6,365.8412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4,787.9643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1,702.9970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5,286.0352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91.1014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5,780.1319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2,859.8681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Q2 2025-03-20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662.0628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662.0628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521.3045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521.3045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701.0510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701.0510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71,611.5551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71,611.5551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45,330.57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4,500.0000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4,986.8567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5,898.7854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3,653.1433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5,481.1266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577.7287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5,666.2340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2,973.7660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19.0054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1:10-1:30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42.3965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0.8868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106.3099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3:50-4:00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0.7579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40.5585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5:50-6:00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9.6804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8:20-8:30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0.0281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15:30-16:50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136.6221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79.7381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20.2454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21:20-21:30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9.9067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23:30-23:50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43.2042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Q2 2025-06-21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270.9544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270.9544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44,317.3693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44,317.3693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25,430.97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925.2727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2,546.3943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4,007.4024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32.7666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2,796.9521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36.8372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5,869.8662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2,770.1338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7.1975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3:20-3:30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2.6717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27.2964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Q2 2025-09-23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389.9034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389.9034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495.7207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495.7207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756.8145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756.8145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64,683.9027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64,683.9027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54,413.55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4,500.0000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6,370.3856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5,660.4829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2,269.6144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5,234.9501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185.3007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5,560.6287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3,079.3713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0:30-1:20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171.6364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179.8680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3:10-3:20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7.2253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3:40-4:00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38.1843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4:20-4:30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6.3537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64.3631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5:40-5:50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17.4609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39.9485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6:50-7:10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46.4634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9:20-11:10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687.3832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12:10-12:20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34.5086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14:20-15:30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393.8956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15:50-17:50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639.8084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216.4812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19:00-19:30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100.8129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19:50-22:00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586.8745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22:10-22:40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92.9401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23:00-23:40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95.4675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Q2 2025-12-21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1,060.2059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1,060.2059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904.1864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904.1864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731.0644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103,683.5072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103,683.5072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67,672.11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4,500.0000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1,666.6667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1,508.3333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7,806.6667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2,835.0000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5,614.8196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3,025.1804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8.2484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3:30-3:50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25.2708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11:00-11:10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1.2873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17:20-17:30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6.0454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6.6983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19:40-20:00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59.0221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Q3 2025-03-20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850.5195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572.9210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691.5551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670.3114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701.0163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701.0163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73,153.5596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68,035.7056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53,295.77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4,486.8644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6,288.2413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5,443.1711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2,351.7587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6,101.9723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711.5661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5,666.2340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2,973.7660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6,011.8220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12.6675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1:10-1:30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41.4065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0.8868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106.3099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3:50-4:00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0.7579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40.5518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5:50-6:40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283.9429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148.6680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8:00-8:40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389.2008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9:00-9:20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231.9733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75.2595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11:00-11:50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276.4465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12:30-12:50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185.5360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13:10-14:00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102.8504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14:50-15:00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91.4396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15:40-16:00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185.6210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16:30-17:00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215.6824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17:50-18:00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1.6308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79.8939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20.2454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21:20-21:30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9.9067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23:30-23:50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43.2042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Q3 2025-06-21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259.5906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259.5906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39,027.9639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38,924.9185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23,844.92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4,320.0000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6,083.2092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9.2682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4,594.8997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27.5462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5,893.4659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5,366.1146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2,768.8465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6,029.5032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7.1975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3:20-3:30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2.6720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5:00-5:10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5.6007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195.8855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13.9667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18:50-19:00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24.3090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Q3 2025-09-23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556.9921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435.2244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697.7418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697.7418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755.3255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755.3255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71,018.2496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67,255.4981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56,892.92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4,469.4905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832.9685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5,845.3760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6,055.9581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2,821.5471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5,546.0894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757.6585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16.6471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5,574.1128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5,357.0539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3,079.3713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6,057.7015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6,021.3485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0:30-1:20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164.5246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179.8680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3:10-3:20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7.2253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3:40-4:00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38.1843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4:20-4:30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6.3539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54.8209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5:40-5:50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17.4609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133.6420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248.2242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8:00-8:30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163.7542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34.2439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11:00-11:10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21.9809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11:40-11:50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1.5358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12:50-13:00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12.1870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13:30-14:00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174.9619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14:40-15:00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156.3889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15:40-16:00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219.8262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16:30-17:00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178.4692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17:20-18:50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511.2547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19:00-19:30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100.8152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19:50-22:00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586.8756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22:10-22:40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92.9401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23:00-23:50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99.7459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Q3 2025-12-21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1,006.9192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1,006.9192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965.4095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965.4095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731.0633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101,836.4072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99,908.8762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68,839.39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4,475.2658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1,647.9174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1,600.4611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7,465.6904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8,213.1269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2,975.9722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0.4947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5,614.8196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5,362.9476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3,025.1804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6,027.0131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6,026.6528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8.2484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3:30-3:50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25.2708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85.2606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8:00-8:10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36.6391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9:00-9:20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57.0566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11:00-12:00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687.2493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12:50-13:00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3.0959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13:50-14:00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20.9081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14:50-15:00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11.7177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15:50-16:00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55.8293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16:40-17:00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91.7416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17:20-17:30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6.2231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6.6997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19:40-20:00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59.0221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Q4_2 2025-03-20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662.0628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662.0628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521.3045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521.3045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701.0510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701.0510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71,751.2395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71,751.2395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46,667.50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5,283.2858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5,898.7854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3,704.8972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5,101.5338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597.0756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5,666.2340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2,973.7660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19.0054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1:10-1:30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42.3965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0.8868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109.9422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3:50-4:00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0.7579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42.8569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5:50-6:00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9.6804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15:30-16:50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136.6221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79.7381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20.2454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21:20-21:30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9.9067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23:30-23:50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43.2042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Q4_2 2025-06-21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270.9544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270.9544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496.1851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496.1851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44,903.6591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44,903.6591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22,307.40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2,247.6359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2,559.5579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4,303.0422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40.1968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2,062.8868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57.2328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5,869.8662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6,263.5118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3,523.5784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7.1975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3:20-3:30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2.6717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27.2964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Q4_2 2025-09-23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389.9034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389.9034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495.7207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495.7207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64,704.0238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64,704.0238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56,947.39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6,352.9335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5,691.2229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2,287.0665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5,038.1602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50.8003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6,312.6995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2,327.3005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0:30-1:20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171.8013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179.8680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3:10-3:20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7.2253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3:40-4:00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38.1843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4:20-4:30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6.3537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70.1346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5:40-5:50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17.4609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39.9485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6:50-7:10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46.4634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9:20-11:10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658.6726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12:10-12:20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34.5086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14:20-15:30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411.5260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15:50-17:50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639.8084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216.4812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19:00-19:30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100.8129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19:50-22:00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586.8746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22:10-22:40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92.9401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23:00-23:40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97.1327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Q4_2 2025-12-21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1,060.2059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1,060.2059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904.1864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904.1864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731.0644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103,577.5086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103,577.5086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79,771.49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833.3333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7,806.6667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8,696.6951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3,129.3230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5,614.8196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3,025.1804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8.2484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3:30-3:50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25.2708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11:00-11:10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1.2873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17:20-17:30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6.0454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6.6983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19:40-20:00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59.0221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Q4_3 2025-03-20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850.5195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570.8778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309.1426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691.5551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687.3114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701.0163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701.0163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72,867.5694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68,055.5090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54,809.53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2,000.0000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6,278.9662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5,443.1711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2,361.0338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6,101.9723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711.5661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5,666.2340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5,328.5294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2,976.6885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5,992.4292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19.0054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1:10-1:30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42.3965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0.8868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109.9422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3:50-4:00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0.7579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42.9154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5:50-6:40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278.5855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148.6680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8:00-8:40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382.4816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9:00-9:20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231.9733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75.2595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11:00-11:50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274.2590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12:30-12:50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181.9861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13:10-14:00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102.8504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14:50-15:00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91.4396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15:30-16:00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167.7821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16:30-17:00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192.2386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17:50-18:00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12.0391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79.8939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20.2454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21:20-21:30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9.9067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23:30-23:50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43.2042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Q4_3 2025-06-21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259.5906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259.5906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572.3498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572.3498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39,488.2755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39,426.6223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20,827.64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3,540.3852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1,669.7950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2,099.7834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6,083.2092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9.2682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4,594.8997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27.5462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5,892.1757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6,263.5118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3,521.6217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5,964.0385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6,002.1773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0:20-0:30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7.1975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3:20-3:30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2.6720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5:00-5:10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5.6007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195.8855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13.9667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18:50-19:00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24.3090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Q4_3 2025-09-23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66.3309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556.9921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435.2244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211.4517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157.5829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697.7418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697.7418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70,773.8684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67,327.8786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59,667.96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5,987.9969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6,042.8171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2,652.0031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5,200.6404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467.2005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14.2894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6,324.2739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2,327.3005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0:30-1:20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171.8013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1:30-2:40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179.8680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3:10-3:20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7.2253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3:40-4:00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38.1843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4:20-4:30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6.3539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4:50-5:20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70.1352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5:40-5:50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17.4609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6:00-6:30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133.6420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236.0701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8:00-8:30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163.7542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34.2439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11:00-11:20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26.2146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11:40-11:50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2.4173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13:30-14:00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174.1958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14:40-15:00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192.0331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15:40-16:00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193.0308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16:30-17:00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187.2556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17:20-18:50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511.2547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19:00-19:30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100.8152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19:50-22:00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586.8756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22:10-22:40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92.9401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23:00-23:40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97.1327</w:t>
            </w:r>
          </w:p>
        </w:tc>
      </w:tr>
    </w:tbl>
    <w:p>
      <w:pPr>
        <w:spacing w:line="60" w:lineRule="exact" w:before="0" w:after="80"/>
      </w:pPr>
    </w:p>
    <w:p>
      <w:pPr>
        <w:pStyle w:val="Heading3"/>
        <w:pageBreakBefore/>
      </w:pPr>
      <w:r>
        <w:t>Q4_3 2025-12-21 指定结果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最终承诺量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10:00-10:10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12:00-12:10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1,006.9192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1,006.9192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14:00-14:10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16:00-16:10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965.4095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965.4095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18:00-18:10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731.0633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20:00-20:10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全天计划量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全天最终量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全天总购电费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101,586.3615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99,749.3345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81,948.38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物理区间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充电量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0:00-4:00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5,314.1330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0.7858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4:00-8:00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0.0000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938.9771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8:00-12:00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5,833.3333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7,462.1538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12:00-16:00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8,211.2025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2,975.3438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16:00-20:00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0.4947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5,614.8196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20:00-24:00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5,343.6832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3,025.1804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0点SOC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24点SOC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6,018.1534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6,009.3148</w:t>
            </w:r>
          </w:p>
        </w:tc>
      </w:tr>
    </w:tbl>
    <w:p>
      <w:pPr>
        <w:spacing w:line="60" w:lineRule="exact"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紧急购电物理区间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紧急购电量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3:00-3:10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8.2484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3:30-3:50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25.2708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7:00-7:20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85.2606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8:00-8:10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36.6391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9:00-9:20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57.0566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11:00-12:00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767.0957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12:50-13:00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3.0959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13:50-14:00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20.9081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14:50-15:00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11.7177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15:50-16:00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55.8293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16:40-17:00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91.7416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17:20-17:30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6.2231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18:40-19:00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6.6997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19:40-20:00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59.0221</w:t>
            </w:r>
          </w:p>
        </w:tc>
      </w:tr>
    </w:tbl>
    <w:p>
      <w:pPr>
        <w:spacing w:line="60" w:lineRule="exact" w:before="0" w:after="80"/>
      </w:pPr>
    </w:p>
    <w:p>
      <w:pPr>
        <w:pStyle w:val="Heading2"/>
        <w:pageBreakBefore/>
      </w:pPr>
      <w:r>
        <w:t>附录B 运行与核验</w:t>
      </w:r>
    </w:p>
    <w:p>
      <w:pPr>
        <w:keepLines w:val="0"/>
        <w:ind w:firstLine="420"/>
      </w:pPr>
      <w:r>
        <w:t>运行入口为支撑材料/run_pipeline.sh。原始附件路径在config/final.yaml中配置，也可用CUMCM_SOURCE_ROOT覆盖。源数据校验、模型训练、正式期运行、独立数值审核、工作簿、图、论文及最终清单按依赖顺序生成，任一必要检查失败即停止。已交付包同时包含压缩冻结数据、当前源码及参数来源。年度费用与训练费用分开，三种结算口径分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位置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正式明细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frozen/q*_dispatch.csv（解包后）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真实承诺链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frozen/decision_versions.csv（解包后）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训练与解析配置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evidence/january_parameter_validation.csv及frozen/resolved_config.json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独立复核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audit/independent_validation.json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源码与输入校验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evidence/source_provenance.json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可执行入口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4F7FA"/>
          </w:tcPr>
          <w:p>
            <w:pPr>
              <w:pStyle w:val="ResultTableText"/>
              <w:keepNext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run_pipeline.sh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数学约束测试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pStyle w:val="ResultTableText"/>
              <w:spacing w:after="0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tests/test_closed_loop.py</w:t>
            </w:r>
          </w:p>
        </w:tc>
      </w:tr>
    </w:tbl>
    <w:p>
      <w:pPr>
        <w:spacing w:line="60" w:lineRule="exact" w:before="0" w:after="8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ltTableText">
    <w:name w:val="ResultTableText"/>
    <w:pPr>
      <w:spacing w:line="240" w:lineRule="auto" w:before="0" w:after="0"/>
    </w:pPr>
    <w:rPr>
      <w:rFonts w:ascii="Arial Unicode MS" w:hAnsi="Arial Unicode MS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