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7E828">
      <w:pPr>
        <w:spacing w:before="72" w:line="227" w:lineRule="auto"/>
        <w:ind w:left="164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1"/>
          <w:sz w:val="22"/>
          <w:szCs w:val="22"/>
        </w:rPr>
        <w:t>7.4.7</w:t>
      </w:r>
      <w:r>
        <w:rPr>
          <w:rFonts w:ascii="楷体" w:hAnsi="楷体" w:eastAsia="楷体" w:cs="楷体"/>
          <w:spacing w:val="59"/>
          <w:sz w:val="22"/>
          <w:szCs w:val="22"/>
        </w:rPr>
        <w:t xml:space="preserve"> </w:t>
      </w:r>
      <w:bookmarkStart w:id="1" w:name="_GoBack"/>
      <w:r>
        <w:rPr>
          <w:rFonts w:ascii="楷体" w:hAnsi="楷体" w:eastAsia="楷体" w:cs="楷体"/>
          <w:b/>
          <w:bCs/>
          <w:spacing w:val="11"/>
          <w:sz w:val="22"/>
          <w:szCs w:val="22"/>
        </w:rPr>
        <w:t>模型检验、改进与推广</w:t>
      </w:r>
    </w:p>
    <w:bookmarkEnd w:id="1"/>
    <w:p w14:paraId="3138DBEB">
      <w:pPr>
        <w:spacing w:before="283" w:line="227" w:lineRule="auto"/>
        <w:ind w:left="28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(1)核心标准</w:t>
      </w:r>
    </w:p>
    <w:p w14:paraId="28157D2D">
      <w:pPr>
        <w:spacing w:before="197" w:line="375" w:lineRule="auto"/>
        <w:ind w:left="164" w:right="18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9"/>
          <w:sz w:val="22"/>
          <w:szCs w:val="22"/>
        </w:rPr>
        <w:t>无完整检验体系直接无缘国奖，必须包含</w:t>
      </w:r>
      <w:r>
        <w:rPr>
          <w:rFonts w:ascii="楷体" w:hAnsi="楷体" w:eastAsia="楷体" w:cs="楷体"/>
          <w:b/>
          <w:bCs/>
          <w:spacing w:val="19"/>
          <w:sz w:val="22"/>
          <w:szCs w:val="22"/>
        </w:rPr>
        <w:t>误差分析+灵敏度分析+稳健性检验三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5"/>
          <w:sz w:val="22"/>
          <w:szCs w:val="22"/>
        </w:rPr>
        <w:t>大核心内容，搭配务实改进方案与格局化推广。</w:t>
      </w:r>
    </w:p>
    <w:p w14:paraId="0B753DBE">
      <w:pPr>
        <w:spacing w:before="18" w:line="226" w:lineRule="auto"/>
        <w:ind w:left="168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24"/>
          <w:sz w:val="22"/>
          <w:szCs w:val="22"/>
        </w:rPr>
        <w:t>(2)三类满分检验写法</w:t>
      </w:r>
    </w:p>
    <w:p w14:paraId="7FC88F32">
      <w:pPr>
        <w:pStyle w:val="2"/>
        <w:spacing w:before="178" w:line="352" w:lineRule="auto"/>
        <w:ind w:left="694" w:right="235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误差分析(预测/拟合/机理题必写):采用</w:t>
      </w:r>
      <w:r>
        <w:rPr>
          <w:sz w:val="24"/>
          <w:szCs w:val="24"/>
        </w:rPr>
        <w:t>RMSE</w:t>
      </w:r>
      <w:r>
        <w:rPr>
          <w:rFonts w:ascii="宋体" w:hAnsi="宋体" w:eastAsia="宋体" w:cs="宋体"/>
          <w:spacing w:val="2"/>
          <w:sz w:val="24"/>
          <w:szCs w:val="24"/>
        </w:rPr>
        <w:t>、</w:t>
      </w:r>
      <w:r>
        <w:rPr>
          <w:sz w:val="24"/>
          <w:szCs w:val="24"/>
        </w:rPr>
        <w:t>MAPE</w:t>
      </w:r>
      <w:r>
        <w:rPr>
          <w:spacing w:val="-1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量化模型精</w:t>
      </w:r>
      <w:r>
        <w:rPr>
          <w:rFonts w:ascii="楷体" w:hAnsi="楷体" w:eastAsia="楷体" w:cs="楷体"/>
          <w:spacing w:val="1"/>
          <w:sz w:val="24"/>
          <w:szCs w:val="24"/>
        </w:rPr>
        <w:t>度，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本文模型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RMSE=3.26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MAPE=4.12%,</w:t>
      </w:r>
      <w:r>
        <w:rPr>
          <w:rFonts w:ascii="楷体" w:hAnsi="楷体" w:eastAsia="楷体" w:cs="楷体"/>
          <w:spacing w:val="-4"/>
          <w:sz w:val="24"/>
          <w:szCs w:val="24"/>
        </w:rPr>
        <w:t>相较传统模型误差大幅降低，拟合与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0"/>
          <w:sz w:val="24"/>
          <w:szCs w:val="24"/>
        </w:rPr>
        <w:t>计算精度优异。</w:t>
      </w:r>
    </w:p>
    <w:p w14:paraId="2B7B9F5B">
      <w:pPr>
        <w:spacing w:before="8" w:line="352" w:lineRule="auto"/>
        <w:ind w:left="694" w:right="213" w:firstLine="3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9"/>
          <w:sz w:val="24"/>
          <w:szCs w:val="24"/>
        </w:rPr>
        <w:t>灵敏度分析(针对优化、评价、多参数模型):</w:t>
      </w:r>
      <w:r>
        <w:rPr>
          <w:rFonts w:ascii="楷体" w:hAnsi="楷体" w:eastAsia="楷体" w:cs="楷体"/>
          <w:spacing w:val="-4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对核心参</w:t>
      </w:r>
      <w:r>
        <w:rPr>
          <w:rFonts w:ascii="楷体" w:hAnsi="楷体" w:eastAsia="楷体" w:cs="楷体"/>
          <w:spacing w:val="8"/>
          <w:sz w:val="24"/>
          <w:szCs w:val="24"/>
        </w:rPr>
        <w:t>数进行±10%、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9"/>
          <w:sz w:val="24"/>
          <w:szCs w:val="24"/>
        </w:rPr>
        <w:t>±20%梯</w:t>
      </w:r>
      <w:r>
        <w:rPr>
          <w:rFonts w:ascii="楷体" w:hAnsi="楷体" w:eastAsia="楷体" w:cs="楷体"/>
          <w:spacing w:val="9"/>
          <w:sz w:val="24"/>
          <w:szCs w:val="24"/>
        </w:rPr>
        <w:t>度扰动测试，参数小幅波动时，模型求解</w:t>
      </w:r>
      <w:r>
        <w:rPr>
          <w:rFonts w:ascii="楷体" w:hAnsi="楷体" w:eastAsia="楷体" w:cs="楷体"/>
          <w:spacing w:val="8"/>
          <w:sz w:val="24"/>
          <w:szCs w:val="24"/>
        </w:rPr>
        <w:t>结果偏差控制在5%以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内，方案无明显偏移，模型抗干扰能力强、稳定性优异。</w:t>
      </w:r>
    </w:p>
    <w:p w14:paraId="25591E97">
      <w:pPr>
        <w:spacing w:before="36" w:line="375" w:lineRule="auto"/>
        <w:ind w:left="694" w:right="22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7"/>
          <w:sz w:val="23"/>
          <w:szCs w:val="23"/>
        </w:rPr>
        <w:t>稳健性检验(全题型通用):替换多种算法、调整</w:t>
      </w:r>
      <w:r>
        <w:rPr>
          <w:rFonts w:ascii="楷体" w:hAnsi="楷体" w:eastAsia="楷体" w:cs="楷体"/>
          <w:spacing w:val="26"/>
          <w:sz w:val="23"/>
          <w:szCs w:val="23"/>
        </w:rPr>
        <w:t>参数区间重复求解，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最终结果趋势一致、误差可控，证明模型结论无偶然性，普适性极强。</w:t>
      </w:r>
    </w:p>
    <w:p w14:paraId="4CC1D1A1">
      <w:pPr>
        <w:spacing w:before="131" w:line="224" w:lineRule="auto"/>
        <w:ind w:left="2314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6"/>
          <w:sz w:val="22"/>
          <w:szCs w:val="22"/>
        </w:rPr>
        <w:t>表7-5数学建模竞赛三大类必做检验</w:t>
      </w:r>
    </w:p>
    <w:p w14:paraId="5E7364F9">
      <w:pPr>
        <w:spacing w:line="162" w:lineRule="exact"/>
      </w:pPr>
    </w:p>
    <w:tbl>
      <w:tblPr>
        <w:tblStyle w:val="6"/>
        <w:tblW w:w="85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1938"/>
        <w:gridCol w:w="2796"/>
        <w:gridCol w:w="2452"/>
      </w:tblGrid>
      <w:tr w14:paraId="5A4CB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1333" w:type="dxa"/>
            <w:shd w:val="clear" w:color="auto" w:fill="4E80BC"/>
            <w:vAlign w:val="top"/>
          </w:tcPr>
          <w:p w14:paraId="7E381DF6">
            <w:pPr>
              <w:pStyle w:val="5"/>
              <w:spacing w:before="212" w:line="220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</w:rPr>
              <w:t>对比维度</w:t>
            </w:r>
          </w:p>
        </w:tc>
        <w:tc>
          <w:tcPr>
            <w:tcW w:w="1938" w:type="dxa"/>
            <w:shd w:val="clear" w:color="auto" w:fill="4E80BC"/>
            <w:vAlign w:val="top"/>
          </w:tcPr>
          <w:p w14:paraId="2B223AC8">
            <w:pPr>
              <w:pStyle w:val="5"/>
              <w:spacing w:before="212" w:line="220" w:lineRule="auto"/>
              <w:ind w:left="485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</w:rPr>
              <w:t>误差分析</w:t>
            </w:r>
          </w:p>
        </w:tc>
        <w:tc>
          <w:tcPr>
            <w:tcW w:w="2796" w:type="dxa"/>
            <w:shd w:val="clear" w:color="auto" w:fill="4F80BB"/>
            <w:vAlign w:val="top"/>
          </w:tcPr>
          <w:p w14:paraId="1D90647E">
            <w:pPr>
              <w:pStyle w:val="5"/>
              <w:spacing w:before="211" w:line="219" w:lineRule="auto"/>
              <w:ind w:left="797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</w:rPr>
              <w:t>灵敏度分析</w:t>
            </w:r>
          </w:p>
        </w:tc>
        <w:tc>
          <w:tcPr>
            <w:tcW w:w="2452" w:type="dxa"/>
            <w:shd w:val="clear" w:color="auto" w:fill="4E80BC"/>
            <w:vAlign w:val="top"/>
          </w:tcPr>
          <w:p w14:paraId="6D633832">
            <w:pPr>
              <w:pStyle w:val="5"/>
              <w:spacing w:before="211" w:line="219" w:lineRule="auto"/>
              <w:ind w:left="621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</w:rPr>
              <w:t>稳健性分析</w:t>
            </w:r>
          </w:p>
        </w:tc>
      </w:tr>
      <w:tr w14:paraId="4E53A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333" w:type="dxa"/>
            <w:vAlign w:val="top"/>
          </w:tcPr>
          <w:p w14:paraId="45086167">
            <w:pPr>
              <w:spacing w:line="293" w:lineRule="auto"/>
              <w:rPr>
                <w:rFonts w:ascii="Arial"/>
                <w:sz w:val="21"/>
              </w:rPr>
            </w:pPr>
          </w:p>
          <w:p w14:paraId="1E3E6962">
            <w:pPr>
              <w:spacing w:line="293" w:lineRule="auto"/>
              <w:rPr>
                <w:rFonts w:ascii="Arial"/>
                <w:sz w:val="21"/>
              </w:rPr>
            </w:pPr>
          </w:p>
          <w:p w14:paraId="479E3147">
            <w:pPr>
              <w:pStyle w:val="5"/>
              <w:spacing w:before="78" w:line="220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核心定义</w:t>
            </w:r>
          </w:p>
        </w:tc>
        <w:tc>
          <w:tcPr>
            <w:tcW w:w="1938" w:type="dxa"/>
            <w:vAlign w:val="top"/>
          </w:tcPr>
          <w:p w14:paraId="49A2710E">
            <w:pPr>
              <w:spacing w:line="300" w:lineRule="auto"/>
              <w:rPr>
                <w:rFonts w:ascii="Arial"/>
                <w:sz w:val="21"/>
              </w:rPr>
            </w:pPr>
          </w:p>
          <w:p w14:paraId="4E4D6BC8">
            <w:pPr>
              <w:pStyle w:val="5"/>
              <w:spacing w:before="78"/>
              <w:ind w:left="121" w:right="115" w:firstLine="60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检验模型拟合/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预测精度，判断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模型算得准不准</w:t>
            </w:r>
          </w:p>
        </w:tc>
        <w:tc>
          <w:tcPr>
            <w:tcW w:w="2796" w:type="dxa"/>
            <w:vAlign w:val="top"/>
          </w:tcPr>
          <w:p w14:paraId="5C720CC9">
            <w:pPr>
              <w:spacing w:line="288" w:lineRule="auto"/>
              <w:rPr>
                <w:rFonts w:ascii="Arial"/>
                <w:sz w:val="21"/>
              </w:rPr>
            </w:pPr>
          </w:p>
          <w:p w14:paraId="5F9F7B47">
            <w:pPr>
              <w:pStyle w:val="5"/>
              <w:spacing w:before="78" w:line="248" w:lineRule="auto"/>
              <w:ind w:left="123" w:right="181" w:firstLine="70"/>
              <w:jc w:val="both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检验模型对内部参数变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动的波动情况，判断模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型稳不稳定</w:t>
            </w:r>
          </w:p>
        </w:tc>
        <w:tc>
          <w:tcPr>
            <w:tcW w:w="2452" w:type="dxa"/>
            <w:vAlign w:val="top"/>
          </w:tcPr>
          <w:p w14:paraId="1BE6B06F">
            <w:pPr>
              <w:pStyle w:val="5"/>
              <w:spacing w:before="200" w:line="219" w:lineRule="auto"/>
              <w:ind w:left="13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检验结论对数据、算</w:t>
            </w:r>
          </w:p>
          <w:p w14:paraId="02646F05">
            <w:pPr>
              <w:pStyle w:val="5"/>
              <w:spacing w:before="35" w:line="219" w:lineRule="auto"/>
              <w:ind w:left="13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法、场景变动的耐受</w:t>
            </w:r>
          </w:p>
          <w:p w14:paraId="34105B1D">
            <w:pPr>
              <w:pStyle w:val="5"/>
              <w:spacing w:before="25" w:line="219" w:lineRule="auto"/>
              <w:ind w:left="25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度，判断结论真不</w:t>
            </w:r>
          </w:p>
          <w:p w14:paraId="021A276E">
            <w:pPr>
              <w:pStyle w:val="5"/>
              <w:spacing w:before="23" w:line="219" w:lineRule="auto"/>
              <w:ind w:left="10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真、是不是偶然</w:t>
            </w:r>
          </w:p>
        </w:tc>
      </w:tr>
      <w:tr w14:paraId="7D4C1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7" w:hRule="atLeast"/>
        </w:trPr>
        <w:tc>
          <w:tcPr>
            <w:tcW w:w="1333" w:type="dxa"/>
            <w:vAlign w:val="top"/>
          </w:tcPr>
          <w:p w14:paraId="760CBE9B">
            <w:pPr>
              <w:spacing w:line="298" w:lineRule="auto"/>
              <w:rPr>
                <w:rFonts w:ascii="Arial"/>
                <w:sz w:val="21"/>
              </w:rPr>
            </w:pPr>
          </w:p>
          <w:p w14:paraId="6C6AFB68">
            <w:pPr>
              <w:spacing w:line="299" w:lineRule="auto"/>
              <w:rPr>
                <w:rFonts w:ascii="Arial"/>
                <w:sz w:val="21"/>
              </w:rPr>
            </w:pPr>
          </w:p>
          <w:p w14:paraId="60CA57CA">
            <w:pPr>
              <w:pStyle w:val="5"/>
              <w:spacing w:before="78" w:line="219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改动对象</w:t>
            </w:r>
          </w:p>
        </w:tc>
        <w:tc>
          <w:tcPr>
            <w:tcW w:w="1938" w:type="dxa"/>
            <w:vAlign w:val="top"/>
          </w:tcPr>
          <w:p w14:paraId="5D11B65B">
            <w:pPr>
              <w:pStyle w:val="5"/>
              <w:spacing w:before="221" w:line="249" w:lineRule="auto"/>
              <w:ind w:left="121" w:right="109"/>
              <w:jc w:val="both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不动模型、不动</w:t>
            </w:r>
            <w:r>
              <w:rPr>
                <w:spacing w:val="1"/>
                <w:sz w:val="24"/>
                <w:szCs w:val="24"/>
              </w:rPr>
              <w:t xml:space="preserve"> 数据仅对比真实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值与模型计算值</w:t>
            </w:r>
            <w:r>
              <w:rPr>
                <w:spacing w:val="3"/>
                <w:sz w:val="24"/>
                <w:szCs w:val="24"/>
              </w:rPr>
              <w:t xml:space="preserve"> 的差距</w:t>
            </w:r>
          </w:p>
        </w:tc>
        <w:tc>
          <w:tcPr>
            <w:tcW w:w="2796" w:type="dxa"/>
            <w:vAlign w:val="top"/>
          </w:tcPr>
          <w:p w14:paraId="37A3F2C8">
            <w:pPr>
              <w:spacing w:line="291" w:lineRule="auto"/>
              <w:rPr>
                <w:rFonts w:ascii="Arial"/>
                <w:sz w:val="21"/>
              </w:rPr>
            </w:pPr>
          </w:p>
          <w:p w14:paraId="0D162D2F">
            <w:pPr>
              <w:pStyle w:val="5"/>
              <w:spacing w:before="78" w:line="244" w:lineRule="auto"/>
              <w:ind w:left="103" w:right="71" w:firstLine="90"/>
              <w:jc w:val="both"/>
              <w:rPr>
                <w:sz w:val="24"/>
                <w:szCs w:val="24"/>
              </w:rPr>
            </w:pPr>
            <w:r>
              <w:rPr>
                <w:spacing w:val="12"/>
                <w:sz w:val="24"/>
                <w:szCs w:val="24"/>
              </w:rPr>
              <w:t>改模型内部参数权重、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1"/>
                <w:sz w:val="24"/>
                <w:szCs w:val="24"/>
              </w:rPr>
              <w:t>成本系数、约束阈值、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算法参数</w:t>
            </w:r>
          </w:p>
        </w:tc>
        <w:tc>
          <w:tcPr>
            <w:tcW w:w="2452" w:type="dxa"/>
            <w:vAlign w:val="top"/>
          </w:tcPr>
          <w:p w14:paraId="50407FA9">
            <w:pPr>
              <w:pStyle w:val="5"/>
              <w:spacing w:before="224" w:line="246" w:lineRule="auto"/>
              <w:ind w:left="117" w:right="24" w:firstLine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改外部条件/数据/方</w:t>
            </w:r>
            <w:r>
              <w:rPr>
                <w:spacing w:val="4"/>
                <w:sz w:val="24"/>
                <w:szCs w:val="24"/>
              </w:rPr>
              <w:t xml:space="preserve">  </w:t>
            </w:r>
            <w:r>
              <w:rPr>
                <w:spacing w:val="3"/>
                <w:sz w:val="24"/>
                <w:szCs w:val="24"/>
              </w:rPr>
              <w:t xml:space="preserve">法样本区间、剔除异  </w:t>
            </w:r>
            <w:r>
              <w:rPr>
                <w:spacing w:val="15"/>
                <w:sz w:val="24"/>
                <w:szCs w:val="24"/>
              </w:rPr>
              <w:t>常值、换评价算法、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数据小幅扰动</w:t>
            </w:r>
          </w:p>
        </w:tc>
      </w:tr>
      <w:tr w14:paraId="34F72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1333" w:type="dxa"/>
            <w:vAlign w:val="top"/>
          </w:tcPr>
          <w:p w14:paraId="4397A1F7">
            <w:pPr>
              <w:spacing w:line="300" w:lineRule="auto"/>
              <w:rPr>
                <w:rFonts w:ascii="Arial"/>
                <w:sz w:val="21"/>
              </w:rPr>
            </w:pPr>
          </w:p>
          <w:p w14:paraId="5C1F9F4F">
            <w:pPr>
              <w:spacing w:line="301" w:lineRule="auto"/>
              <w:rPr>
                <w:rFonts w:ascii="Arial"/>
                <w:sz w:val="21"/>
              </w:rPr>
            </w:pPr>
          </w:p>
          <w:p w14:paraId="6BF704B1">
            <w:pPr>
              <w:pStyle w:val="5"/>
              <w:spacing w:before="78" w:line="220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核心目的</w:t>
            </w:r>
          </w:p>
        </w:tc>
        <w:tc>
          <w:tcPr>
            <w:tcW w:w="1938" w:type="dxa"/>
            <w:vAlign w:val="top"/>
          </w:tcPr>
          <w:p w14:paraId="2ABD0B70">
            <w:pPr>
              <w:spacing w:line="294" w:lineRule="auto"/>
              <w:rPr>
                <w:rFonts w:ascii="Arial"/>
                <w:sz w:val="21"/>
              </w:rPr>
            </w:pPr>
          </w:p>
          <w:p w14:paraId="1897A3BC">
            <w:pPr>
              <w:pStyle w:val="5"/>
              <w:spacing w:before="78" w:line="244" w:lineRule="auto"/>
              <w:ind w:left="111" w:right="111" w:firstLine="10"/>
              <w:jc w:val="both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证明：模型精度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高、误差小，拟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合效果优秀</w:t>
            </w:r>
          </w:p>
        </w:tc>
        <w:tc>
          <w:tcPr>
            <w:tcW w:w="2796" w:type="dxa"/>
            <w:vAlign w:val="top"/>
          </w:tcPr>
          <w:p w14:paraId="7CFA569F">
            <w:pPr>
              <w:pStyle w:val="5"/>
              <w:spacing w:before="233"/>
              <w:ind w:left="123" w:right="176" w:firstLine="70"/>
              <w:jc w:val="both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证明：参数小幅变化不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会导致结果剧变，模型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参数稳定性好；同时识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别关键影响因素</w:t>
            </w:r>
          </w:p>
        </w:tc>
        <w:tc>
          <w:tcPr>
            <w:tcW w:w="2452" w:type="dxa"/>
            <w:vAlign w:val="top"/>
          </w:tcPr>
          <w:p w14:paraId="0B31D5DA">
            <w:pPr>
              <w:pStyle w:val="5"/>
              <w:spacing w:before="234" w:line="219" w:lineRule="auto"/>
              <w:ind w:left="13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证明：结论不依赖特</w:t>
            </w:r>
          </w:p>
          <w:p w14:paraId="6B0AB96D">
            <w:pPr>
              <w:pStyle w:val="5"/>
              <w:spacing w:before="26" w:line="219" w:lineRule="auto"/>
              <w:ind w:left="137"/>
              <w:rPr>
                <w:sz w:val="24"/>
                <w:szCs w:val="24"/>
              </w:rPr>
            </w:pPr>
            <w:r>
              <w:rPr>
                <w:spacing w:val="13"/>
                <w:sz w:val="24"/>
                <w:szCs w:val="24"/>
              </w:rPr>
              <w:t>定数据、特定算法、</w:t>
            </w:r>
          </w:p>
          <w:p w14:paraId="3C5D41FD">
            <w:pPr>
              <w:pStyle w:val="5"/>
              <w:spacing w:before="25" w:line="219" w:lineRule="auto"/>
              <w:ind w:left="25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特定场景，结论普</w:t>
            </w:r>
          </w:p>
          <w:p w14:paraId="5ADC920D">
            <w:pPr>
              <w:pStyle w:val="5"/>
              <w:spacing w:before="23" w:line="219" w:lineRule="auto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适、可信、不偶然</w:t>
            </w:r>
          </w:p>
        </w:tc>
      </w:tr>
      <w:tr w14:paraId="3BD9A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1333" w:type="dxa"/>
            <w:vAlign w:val="top"/>
          </w:tcPr>
          <w:p w14:paraId="1E140238">
            <w:pPr>
              <w:spacing w:line="306" w:lineRule="auto"/>
              <w:rPr>
                <w:rFonts w:ascii="Arial"/>
                <w:sz w:val="21"/>
              </w:rPr>
            </w:pPr>
          </w:p>
          <w:p w14:paraId="16C80024">
            <w:pPr>
              <w:spacing w:line="307" w:lineRule="auto"/>
              <w:rPr>
                <w:rFonts w:ascii="Arial"/>
                <w:sz w:val="21"/>
              </w:rPr>
            </w:pPr>
          </w:p>
          <w:p w14:paraId="566304B8">
            <w:pPr>
              <w:pStyle w:val="5"/>
              <w:spacing w:before="78" w:line="220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常用指标</w:t>
            </w:r>
          </w:p>
        </w:tc>
        <w:tc>
          <w:tcPr>
            <w:tcW w:w="1938" w:type="dxa"/>
            <w:vAlign w:val="top"/>
          </w:tcPr>
          <w:p w14:paraId="7A27177F">
            <w:pPr>
              <w:pStyle w:val="5"/>
              <w:spacing w:before="314" w:line="173" w:lineRule="auto"/>
              <w:ind w:left="36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MAE</w:t>
            </w:r>
            <w:r>
              <w:rPr>
                <w:spacing w:val="-7"/>
                <w:sz w:val="24"/>
                <w:szCs w:val="24"/>
              </w:rPr>
              <w:t>、MSE、</w:t>
            </w:r>
          </w:p>
          <w:p w14:paraId="13E9689A">
            <w:pPr>
              <w:pStyle w:val="5"/>
              <w:spacing w:before="3" w:line="251" w:lineRule="auto"/>
              <w:ind w:left="111" w:right="66" w:hanging="46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RMSE、R²</w:t>
            </w:r>
            <w:r>
              <w:rPr>
                <w:spacing w:val="-2"/>
                <w:sz w:val="24"/>
                <w:szCs w:val="24"/>
              </w:rPr>
              <w:t xml:space="preserve"> 、相对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误差、拟合对比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图</w:t>
            </w:r>
          </w:p>
        </w:tc>
        <w:tc>
          <w:tcPr>
            <w:tcW w:w="2796" w:type="dxa"/>
            <w:vAlign w:val="top"/>
          </w:tcPr>
          <w:p w14:paraId="0EFA930C">
            <w:pPr>
              <w:spacing w:line="309" w:lineRule="auto"/>
              <w:rPr>
                <w:rFonts w:ascii="Arial"/>
                <w:sz w:val="21"/>
              </w:rPr>
            </w:pPr>
          </w:p>
          <w:p w14:paraId="3848A02C">
            <w:pPr>
              <w:pStyle w:val="5"/>
              <w:spacing w:before="78" w:line="246" w:lineRule="auto"/>
              <w:ind w:left="193" w:right="12" w:hanging="60"/>
              <w:jc w:val="both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参数±5%、±10%扰动；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权重微调；约束条件微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"/>
                <w:sz w:val="24"/>
                <w:szCs w:val="24"/>
              </w:rPr>
              <w:t>调，观察结果变化幅度</w:t>
            </w:r>
          </w:p>
        </w:tc>
        <w:tc>
          <w:tcPr>
            <w:tcW w:w="2452" w:type="dxa"/>
            <w:vAlign w:val="top"/>
          </w:tcPr>
          <w:p w14:paraId="5F3BB04A">
            <w:pPr>
              <w:pStyle w:val="5"/>
              <w:spacing w:before="246" w:line="219" w:lineRule="auto"/>
              <w:ind w:left="13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缩样本区间、剔除异</w:t>
            </w:r>
          </w:p>
          <w:p w14:paraId="7DB22185">
            <w:pPr>
              <w:pStyle w:val="5"/>
              <w:spacing w:before="14" w:line="218" w:lineRule="auto"/>
              <w:ind w:left="25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常值、数据小幅扰</w:t>
            </w:r>
          </w:p>
          <w:p w14:paraId="684A6A89">
            <w:pPr>
              <w:pStyle w:val="5"/>
              <w:spacing w:before="26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动、更换同维度评价</w:t>
            </w:r>
          </w:p>
          <w:p w14:paraId="7CF77F8B">
            <w:pPr>
              <w:pStyle w:val="5"/>
              <w:spacing w:before="68" w:line="219" w:lineRule="auto"/>
              <w:ind w:left="9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/预测算法</w:t>
            </w:r>
          </w:p>
        </w:tc>
      </w:tr>
    </w:tbl>
    <w:p w14:paraId="19532142">
      <w:pPr>
        <w:pStyle w:val="2"/>
      </w:pPr>
    </w:p>
    <w:p w14:paraId="7BF93962">
      <w:pPr>
        <w:sectPr>
          <w:footerReference r:id="rId5" w:type="default"/>
          <w:pgSz w:w="11910" w:h="16840"/>
          <w:pgMar w:top="400" w:right="1695" w:bottom="1203" w:left="1685" w:header="0" w:footer="1043" w:gutter="0"/>
          <w:cols w:space="720" w:num="1"/>
        </w:sectPr>
      </w:pPr>
    </w:p>
    <w:p w14:paraId="20EC2522">
      <w:pPr>
        <w:spacing w:before="15"/>
      </w:pPr>
    </w:p>
    <w:p w14:paraId="529CB93D">
      <w:pPr>
        <w:spacing w:before="15"/>
      </w:pPr>
    </w:p>
    <w:p w14:paraId="79FAFC99">
      <w:pPr>
        <w:spacing w:before="15"/>
      </w:pPr>
    </w:p>
    <w:p w14:paraId="473BF2F3">
      <w:pPr>
        <w:spacing w:before="14"/>
      </w:pPr>
    </w:p>
    <w:tbl>
      <w:tblPr>
        <w:tblStyle w:val="6"/>
        <w:tblW w:w="8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1948"/>
        <w:gridCol w:w="2786"/>
        <w:gridCol w:w="2452"/>
      </w:tblGrid>
      <w:tr w14:paraId="02EB1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1343" w:type="dxa"/>
            <w:vAlign w:val="top"/>
          </w:tcPr>
          <w:p w14:paraId="0244C099">
            <w:pPr>
              <w:spacing w:line="444" w:lineRule="auto"/>
              <w:rPr>
                <w:rFonts w:ascii="Arial"/>
                <w:sz w:val="21"/>
              </w:rPr>
            </w:pPr>
          </w:p>
          <w:p w14:paraId="51B52D34">
            <w:pPr>
              <w:pStyle w:val="5"/>
              <w:spacing w:before="81" w:line="221" w:lineRule="auto"/>
              <w:ind w:left="164"/>
              <w:rPr>
                <w:sz w:val="25"/>
                <w:szCs w:val="25"/>
              </w:rPr>
            </w:pPr>
            <w:bookmarkStart w:id="0" w:name="bookmark128"/>
            <w:bookmarkEnd w:id="0"/>
            <w:r>
              <w:rPr>
                <w:spacing w:val="4"/>
                <w:sz w:val="25"/>
                <w:szCs w:val="25"/>
              </w:rPr>
              <w:t>适配题型</w:t>
            </w:r>
          </w:p>
        </w:tc>
        <w:tc>
          <w:tcPr>
            <w:tcW w:w="1948" w:type="dxa"/>
            <w:vAlign w:val="top"/>
          </w:tcPr>
          <w:p w14:paraId="3F5DB51C">
            <w:pPr>
              <w:pStyle w:val="5"/>
              <w:spacing w:before="236" w:line="235" w:lineRule="auto"/>
              <w:ind w:left="91" w:right="83"/>
              <w:jc w:val="both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优先预测、拟合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类题目，所有题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pacing w:val="16"/>
                <w:sz w:val="25"/>
                <w:szCs w:val="25"/>
              </w:rPr>
              <w:t>型通用</w:t>
            </w:r>
          </w:p>
        </w:tc>
        <w:tc>
          <w:tcPr>
            <w:tcW w:w="2786" w:type="dxa"/>
            <w:vAlign w:val="top"/>
          </w:tcPr>
          <w:p w14:paraId="5DDB353D">
            <w:pPr>
              <w:spacing w:line="318" w:lineRule="auto"/>
              <w:rPr>
                <w:rFonts w:ascii="Arial"/>
                <w:sz w:val="21"/>
              </w:rPr>
            </w:pPr>
          </w:p>
          <w:p w14:paraId="02677FD5">
            <w:pPr>
              <w:pStyle w:val="5"/>
              <w:spacing w:before="82" w:line="218" w:lineRule="auto"/>
              <w:ind w:left="123" w:right="389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优先优化、评价类题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目，多参数模型必做</w:t>
            </w:r>
          </w:p>
        </w:tc>
        <w:tc>
          <w:tcPr>
            <w:tcW w:w="2452" w:type="dxa"/>
            <w:vAlign w:val="top"/>
          </w:tcPr>
          <w:p w14:paraId="1D5B2A06">
            <w:pPr>
              <w:spacing w:line="321" w:lineRule="auto"/>
              <w:rPr>
                <w:rFonts w:ascii="Arial"/>
                <w:sz w:val="21"/>
              </w:rPr>
            </w:pPr>
          </w:p>
          <w:p w14:paraId="328EEB47">
            <w:pPr>
              <w:pStyle w:val="5"/>
              <w:spacing w:before="82" w:line="232" w:lineRule="auto"/>
              <w:ind w:left="117" w:right="83" w:hanging="2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所有题型必做，冲奖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3"/>
                <w:sz w:val="25"/>
                <w:szCs w:val="25"/>
              </w:rPr>
              <w:t>核心加分项</w:t>
            </w:r>
          </w:p>
        </w:tc>
      </w:tr>
      <w:tr w14:paraId="045F0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343" w:type="dxa"/>
            <w:vAlign w:val="top"/>
          </w:tcPr>
          <w:p w14:paraId="0407ED63">
            <w:pPr>
              <w:spacing w:line="433" w:lineRule="auto"/>
              <w:rPr>
                <w:rFonts w:ascii="Arial"/>
                <w:sz w:val="21"/>
              </w:rPr>
            </w:pPr>
          </w:p>
          <w:p w14:paraId="4DFE1563">
            <w:pPr>
              <w:pStyle w:val="5"/>
              <w:spacing w:before="81" w:line="220" w:lineRule="auto"/>
              <w:ind w:left="164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通俗理解</w:t>
            </w:r>
          </w:p>
        </w:tc>
        <w:tc>
          <w:tcPr>
            <w:tcW w:w="1948" w:type="dxa"/>
            <w:vAlign w:val="top"/>
          </w:tcPr>
          <w:p w14:paraId="7FA1620D">
            <w:pPr>
              <w:pStyle w:val="5"/>
              <w:spacing w:before="217" w:line="241" w:lineRule="auto"/>
              <w:ind w:left="91" w:right="81" w:firstLine="120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模型算出来的</w:t>
            </w:r>
            <w:r>
              <w:rPr>
                <w:sz w:val="25"/>
                <w:szCs w:val="25"/>
              </w:rPr>
              <w:t xml:space="preserve">  </w:t>
            </w:r>
            <w:r>
              <w:rPr>
                <w:spacing w:val="2"/>
                <w:sz w:val="25"/>
                <w:szCs w:val="25"/>
              </w:rPr>
              <w:t>数，和真实数据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9"/>
                <w:sz w:val="25"/>
                <w:szCs w:val="25"/>
              </w:rPr>
              <w:t>差得大不大?</w:t>
            </w:r>
          </w:p>
        </w:tc>
        <w:tc>
          <w:tcPr>
            <w:tcW w:w="2786" w:type="dxa"/>
            <w:vAlign w:val="top"/>
          </w:tcPr>
          <w:p w14:paraId="7B61618E">
            <w:pPr>
              <w:spacing w:line="282" w:lineRule="auto"/>
              <w:rPr>
                <w:rFonts w:ascii="Arial"/>
                <w:sz w:val="21"/>
              </w:rPr>
            </w:pPr>
          </w:p>
          <w:p w14:paraId="69893179">
            <w:pPr>
              <w:pStyle w:val="5"/>
              <w:spacing w:before="81" w:line="260" w:lineRule="auto"/>
              <w:ind w:left="123" w:right="147" w:hanging="1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参数稍微变一变，结果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会不会直接翻车?</w:t>
            </w:r>
          </w:p>
        </w:tc>
        <w:tc>
          <w:tcPr>
            <w:tcW w:w="2452" w:type="dxa"/>
            <w:vAlign w:val="top"/>
          </w:tcPr>
          <w:p w14:paraId="576DAD5C">
            <w:pPr>
              <w:pStyle w:val="5"/>
              <w:spacing w:before="214" w:line="238" w:lineRule="auto"/>
              <w:ind w:left="97" w:right="80" w:firstLine="12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换批数据、换种算  法，核心结论还一不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pacing w:val="9"/>
                <w:sz w:val="25"/>
                <w:szCs w:val="25"/>
              </w:rPr>
              <w:t>一样?</w:t>
            </w:r>
          </w:p>
        </w:tc>
      </w:tr>
    </w:tbl>
    <w:p w14:paraId="16365261">
      <w:pPr>
        <w:pStyle w:val="2"/>
        <w:spacing w:line="411" w:lineRule="auto"/>
      </w:pPr>
    </w:p>
    <w:p w14:paraId="49B2777F">
      <w:pPr>
        <w:spacing w:before="78" w:line="232" w:lineRule="auto"/>
        <w:ind w:left="22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(3)</w:t>
      </w:r>
      <w:r>
        <w:rPr>
          <w:rFonts w:ascii="楷体" w:hAnsi="楷体" w:eastAsia="楷体" w:cs="楷体"/>
          <w:spacing w:val="2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10"/>
          <w:sz w:val="24"/>
          <w:szCs w:val="24"/>
        </w:rPr>
        <w:t>模型改进</w:t>
      </w:r>
    </w:p>
    <w:p w14:paraId="2995BFDF">
      <w:pPr>
        <w:spacing w:before="200" w:line="363" w:lineRule="auto"/>
        <w:ind w:left="84" w:right="14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2"/>
          <w:sz w:val="23"/>
          <w:szCs w:val="23"/>
        </w:rPr>
        <w:t>基于模型简化假设的局限性，可通过增加多元环</w:t>
      </w:r>
      <w:r>
        <w:rPr>
          <w:rFonts w:ascii="楷体" w:hAnsi="楷体" w:eastAsia="楷体" w:cs="楷体"/>
          <w:spacing w:val="21"/>
          <w:sz w:val="23"/>
          <w:szCs w:val="23"/>
        </w:rPr>
        <w:t>境约束、引入自适应优化算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法、融合多模型迭代求解等方式，弥补单一模型缺陷，提升极端场景下的适配</w:t>
      </w:r>
      <w:r>
        <w:rPr>
          <w:rFonts w:ascii="楷体" w:hAnsi="楷体" w:eastAsia="楷体" w:cs="楷体"/>
          <w:spacing w:val="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精度与稳定性。</w:t>
      </w:r>
    </w:p>
    <w:p w14:paraId="2795461A">
      <w:pPr>
        <w:spacing w:line="226" w:lineRule="auto"/>
        <w:ind w:left="22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6"/>
          <w:sz w:val="24"/>
          <w:szCs w:val="24"/>
        </w:rPr>
        <w:t>(4)</w:t>
      </w:r>
      <w:r>
        <w:rPr>
          <w:rFonts w:ascii="楷体" w:hAnsi="楷体" w:eastAsia="楷体" w:cs="楷体"/>
          <w:spacing w:val="3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6"/>
          <w:sz w:val="24"/>
          <w:szCs w:val="24"/>
        </w:rPr>
        <w:t>模型推广</w:t>
      </w:r>
    </w:p>
    <w:p w14:paraId="177C1429">
      <w:pPr>
        <w:spacing w:before="209" w:line="360" w:lineRule="auto"/>
        <w:ind w:left="84" w:right="158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本文搭建的建模体系逻辑通用、落地性强，不仅可解决本次赛</w:t>
      </w:r>
      <w:r>
        <w:rPr>
          <w:rFonts w:ascii="楷体" w:hAnsi="楷体" w:eastAsia="楷体" w:cs="楷体"/>
          <w:spacing w:val="13"/>
          <w:sz w:val="23"/>
          <w:szCs w:val="23"/>
        </w:rPr>
        <w:t>题场景问题，还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可迁移至工程参数优化、时序数据预测、医疗数据分析、资源调度布局等同类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场景，具备较高的学术参考价值与工程应用价值。</w:t>
      </w:r>
    </w:p>
    <w:p w14:paraId="7D2A29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6219B">
    <w:pPr>
      <w:spacing w:line="173" w:lineRule="auto"/>
      <w:ind w:left="414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57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1D661593"/>
    <w:rsid w:val="1D66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2026-09-12T15:03:00Z</dcterms:created>
  <dc:creator>微信用户</dc:creator>
  <cp:lastModifiedBy>微信用户</cp:lastModifiedBy>
  <dcterms:modified xsi:type="dcterms:W3CDTF">2026-09-12T15:04:11Z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27D418DF98D24FEAB2F7BA01080EAAF0_11</vt:lpwstr>
  </property>
</Properties>
</file>