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黑体" w:hAnsi="黑体" w:eastAsia="黑体"/>
          <w:sz w:val="32"/>
        </w:rPr>
        <w:t>基于扩散模型的少样本时间序列异常检测方法研究</w:t>
      </w:r>
    </w:p>
    <w:p>
      <w:pPr>
        <w:pStyle w:val="Heading2"/>
      </w:pPr>
      <w:r>
        <w:rPr>
          <w:rFonts w:ascii="黑体" w:hAnsi="黑体" w:eastAsia="黑体"/>
          <w:sz w:val="24"/>
        </w:rPr>
        <w:t>摘  要</w:t>
      </w:r>
    </w:p>
    <w:p>
      <w:pPr>
        <w:spacing w:line="360" w:lineRule="auto"/>
        <w:ind w:firstLine="420"/>
        <w:jc w:val="both"/>
      </w:pPr>
      <w:r>
        <w:rPr>
          <w:rFonts w:ascii="宋体" w:hAnsi="宋体" w:eastAsia="宋体"/>
          <w:b w:val="0"/>
          <w:sz w:val="21"/>
        </w:rPr>
        <w:t>时间序列异常检测在工业制造、医疗监护、网络安全等领域具有重要的应用价值。然而，实际场景中异常样本稀缺、标注成本高昂，传统监督学习方法难以有效工作。本文提出一种基于扩散模型的少样本时间序列异常检测方法。该方法以一维U-Net作为去噪主干网络，通过前向扩散过程对正常时序数据逐步加噪，训练网络学习逆向去噪还原标准正常波形，在检测阶段利用原始时序与重建时序之间的重建误差区分正常与异常片段。针对少样本场景，引入数据增强、条件扩散和多尺度重建三种优化策略，提升模型在有限数据条件下的泛化能力。在UCR Anomaly Archive数据集上的实验结果表明，本文方法在AUROC指标上达到0.750，优于自编码器（0.742）、变分自编码器（0.736）、AnoGAN（0.601）和孤立森林（0.645）等基线方法。消融实验进一步验证了三种优化策略的有效性。少样本实验表明，当训练数据比例降至10%时，本文方法性能几乎无损，而基线方法显著退化，验证了方法在少样本场景下的优越性。此外，基于Streamlit框架开发了交互式可视化检测平台。</w:t>
      </w:r>
    </w:p>
    <w:p>
      <w:pPr>
        <w:ind w:firstLine="420"/>
      </w:pPr>
      <w:r>
        <w:rPr>
          <w:rFonts w:ascii="宋体" w:hAnsi="宋体" w:eastAsia="宋体"/>
          <w:b/>
          <w:sz w:val="21"/>
        </w:rPr>
        <w:t>关键词：</w:t>
      </w:r>
      <w:r>
        <w:rPr>
          <w:rFonts w:ascii="宋体" w:hAnsi="宋体" w:eastAsia="宋体"/>
          <w:sz w:val="21"/>
        </w:rPr>
        <w:t>扩散模型；时间序列异常检测；少样本学习；U-Net；数据增强</w:t>
      </w:r>
    </w:p>
    <w:p>
      <w:r>
        <w:br w:type="page"/>
      </w:r>
    </w:p>
    <w:p>
      <w:pPr>
        <w:pStyle w:val="Heading2"/>
      </w:pPr>
      <w:r>
        <w:rPr>
          <w:rFonts w:ascii="黑体" w:hAnsi="黑体" w:eastAsia="黑体"/>
          <w:sz w:val="24"/>
        </w:rPr>
        <w:t>Abstract</w:t>
      </w:r>
    </w:p>
    <w:p>
      <w:pPr>
        <w:spacing w:line="360" w:lineRule="auto"/>
        <w:ind w:firstLine="420"/>
        <w:jc w:val="both"/>
      </w:pPr>
      <w:r>
        <w:rPr>
          <w:rFonts w:ascii="Times New Roman" w:hAnsi="Times New Roman"/>
          <w:sz w:val="21"/>
        </w:rPr>
        <w:t>Time series anomaly detection is of great importance in fields such as industrial manufacturing, medical monitoring, and cybersecurity. However, anomaly samples are scarce and labeling is expensive in real-world scenarios, making traditional supervised learning methods ineffective. This paper proposes a few-shot time series anomaly detection method based on diffusion models. The method employs a 1D U-Net as the denoising backbone, which gradually adds noise to normal time series data through the forward diffusion process and trains the network to learn reverse denoising to restore standard normal waveforms. During detection, anomalies are identified by the reconstruction error between the original and reconstructed time series. To address the few-shot challenge, three optimization strategies are introduced: data augmentation, conditional diffusion, and multi-scale reconstruction. Experimental results on the UCR Anomaly Archive dataset demonstrate that the proposed method achieves an AUROC of 0.750, outperforming baseline methods including Autoencoder (0.742), VAE (0.736), AnoGAN (0.601), and Isolation Forest (0.645). Ablation studies further validate the effectiveness of the three optimization strategies. Few-shot experiments show that when the training data ratio drops to 10%, the proposed method suffers almost no performance degradation while the baselines degrade significantly, demonstrating its superiority in few-shot scenarios. An interactive visualization platform is also developed based on the Streamlit framework.</w:t>
      </w:r>
    </w:p>
    <w:p>
      <w:pPr>
        <w:ind w:firstLine="420"/>
      </w:pPr>
      <w:r>
        <w:rPr>
          <w:rFonts w:ascii="Times New Roman" w:hAnsi="Times New Roman"/>
          <w:b/>
          <w:sz w:val="21"/>
        </w:rPr>
        <w:t xml:space="preserve">Keywords: </w:t>
      </w:r>
      <w:r>
        <w:rPr>
          <w:rFonts w:ascii="Times New Roman" w:hAnsi="Times New Roman"/>
          <w:sz w:val="21"/>
        </w:rPr>
        <w:t>Diffusion Model; Time Series Anomaly Detection; Few-shot Learning; U-Net; Data Augmentation</w:t>
      </w:r>
    </w:p>
    <w:p>
      <w:r>
        <w:br w:type="page"/>
      </w:r>
    </w:p>
    <w:p>
      <w:pPr>
        <w:pStyle w:val="Heading1"/>
      </w:pPr>
      <w:r>
        <w:rPr>
          <w:rFonts w:ascii="黑体" w:hAnsi="黑体" w:eastAsia="黑体"/>
          <w:sz w:val="28"/>
        </w:rPr>
        <w:t>1 引言</w:t>
      </w:r>
    </w:p>
    <w:p>
      <w:pPr>
        <w:pStyle w:val="Heading2"/>
      </w:pPr>
      <w:r>
        <w:rPr>
          <w:rFonts w:ascii="黑体" w:hAnsi="黑体" w:eastAsia="黑体"/>
          <w:sz w:val="24"/>
        </w:rPr>
        <w:t>1.1 研究背景与意义</w:t>
      </w:r>
    </w:p>
    <w:p>
      <w:pPr>
        <w:spacing w:line="360" w:lineRule="auto"/>
        <w:ind w:firstLine="420"/>
        <w:jc w:val="both"/>
      </w:pPr>
      <w:r>
        <w:rPr>
          <w:rFonts w:ascii="宋体" w:hAnsi="宋体" w:eastAsia="宋体"/>
          <w:b w:val="0"/>
          <w:sz w:val="21"/>
        </w:rPr>
        <w:t>时间序列数据广泛存在于工业物联网、金融交易、医疗监护、网络安全等各类实际应用场景中。这些场景中，设备故障、网络入侵、心律失常等异常事件虽然发生频率低，但一旦未被及时发现，往往会导致严重的经济损失甚至安全事故。因此，时间序列异常检测一直是数据挖掘和机器学习领域的重要研究方向。</w:t>
      </w:r>
    </w:p>
    <w:p>
      <w:pPr>
        <w:spacing w:line="360" w:lineRule="auto"/>
        <w:ind w:firstLine="420"/>
        <w:jc w:val="both"/>
      </w:pPr>
      <w:r>
        <w:rPr>
          <w:rFonts w:ascii="宋体" w:hAnsi="宋体" w:eastAsia="宋体"/>
          <w:b w:val="0"/>
          <w:sz w:val="21"/>
        </w:rPr>
        <w:t>传统的异常检测方法可分为基于统计模型的方法和基于机器学习的方法两类。基于统计模型的方法（如ARIMA、GARCH等）通常需要对数据分布做出先验假设，难以适应复杂多变的实际时序数据。基于机器学习的方法（如孤立森林、One-Class SVM等）虽然降低了对数据分布的假设要求，但在处理高维、非线性的时序数据时仍面临表征能力不足的问题。</w:t>
      </w:r>
    </w:p>
    <w:p>
      <w:pPr>
        <w:spacing w:line="360" w:lineRule="auto"/>
        <w:ind w:firstLine="420"/>
        <w:jc w:val="both"/>
      </w:pPr>
      <w:r>
        <w:rPr>
          <w:rFonts w:ascii="宋体" w:hAnsi="宋体" w:eastAsia="宋体"/>
          <w:b w:val="0"/>
          <w:sz w:val="21"/>
        </w:rPr>
        <w:t>近年来，基于深度学习的异常检测方法取得了显著进展。自编码器（AE）、变分自编码器（VAE）和生成对抗网络（GAN）等生成模型通过学习正常数据的分布，将重建误差或似然度作为异常分数，在实践中表现出良好的检测效果。然而，这些方法在少样本场景下存在明显不足：AE和VAE在训练数据有限时容易过拟合，导致重建模糊；GAN的训练不稳定问题在少样本条件下更加突出。</w:t>
      </w:r>
    </w:p>
    <w:p>
      <w:pPr>
        <w:spacing w:line="360" w:lineRule="auto"/>
        <w:ind w:firstLine="420"/>
        <w:jc w:val="both"/>
      </w:pPr>
      <w:r>
        <w:rPr>
          <w:rFonts w:ascii="宋体" w:hAnsi="宋体" w:eastAsia="宋体"/>
          <w:b w:val="0"/>
          <w:sz w:val="21"/>
        </w:rPr>
        <w:t>扩散模型（Diffusion Model）作为近年来新兴的生成模型范式，在图像生成领域取得了突破性进展。扩散模型通过定义一个逐步加噪的前向过程和一个学习逆向去噪的反向过程，能够稳定地建模复杂的数据分布。与GAN相比，扩散模型的训练更加稳定；与VAE相比，扩散模型的生成质量更高。这些优势使其在异常检测领域展现出巨大的应用潜力。</w:t>
      </w:r>
    </w:p>
    <w:p>
      <w:pPr>
        <w:spacing w:line="360" w:lineRule="auto"/>
        <w:ind w:firstLine="420"/>
        <w:jc w:val="both"/>
      </w:pPr>
      <w:r>
        <w:rPr>
          <w:rFonts w:ascii="宋体" w:hAnsi="宋体" w:eastAsia="宋体"/>
          <w:b w:val="0"/>
          <w:sz w:val="21"/>
        </w:rPr>
        <w:t>然而，将扩散模型应用于少样本时间序列异常检测仍面临以下挑战：（1）扩散模型的去噪过程通常从纯噪声开始，这在异常检测场景中会丢失输入数据的结构信息；（2）少样本条件下模型泛化能力不足；（3）时间序列数据具有时序依赖性，需要专门设计的网络结构。</w:t>
      </w:r>
    </w:p>
    <w:p>
      <w:pPr>
        <w:pStyle w:val="Heading2"/>
      </w:pPr>
      <w:r>
        <w:rPr>
          <w:rFonts w:ascii="黑体" w:hAnsi="黑体" w:eastAsia="黑体"/>
          <w:sz w:val="24"/>
        </w:rPr>
        <w:t>1.2 研究内容与贡献</w:t>
      </w:r>
    </w:p>
    <w:p>
      <w:pPr>
        <w:spacing w:line="360" w:lineRule="auto"/>
        <w:ind w:firstLine="420"/>
        <w:jc w:val="both"/>
      </w:pPr>
      <w:r>
        <w:rPr>
          <w:rFonts w:ascii="宋体" w:hAnsi="宋体" w:eastAsia="宋体"/>
          <w:b w:val="0"/>
          <w:sz w:val="21"/>
        </w:rPr>
        <w:t>本文针对少样本时间序列异常检测问题，提出了一种基于扩散模型的方法，主要贡献如下：</w:t>
      </w:r>
    </w:p>
    <w:p>
      <w:pPr>
        <w:spacing w:line="360" w:lineRule="auto"/>
        <w:ind w:firstLine="420"/>
        <w:jc w:val="both"/>
      </w:pPr>
      <w:r>
        <w:rPr>
          <w:rFonts w:ascii="宋体" w:hAnsi="宋体" w:eastAsia="宋体"/>
          <w:b w:val="0"/>
          <w:sz w:val="21"/>
        </w:rPr>
        <w:t>（1）提出部分扩散重建策略：不同于从纯噪声开始的传统生成方式，本文对输入时序进行部分加噪后逆向去噪，保留输入的结构信息，使正常数据得到低误差重建，而异常数据因偏离训练分布产生高重建误差。</w:t>
      </w:r>
    </w:p>
    <w:p>
      <w:pPr>
        <w:spacing w:line="360" w:lineRule="auto"/>
        <w:ind w:firstLine="420"/>
        <w:jc w:val="both"/>
      </w:pPr>
      <w:r>
        <w:rPr>
          <w:rFonts w:ascii="宋体" w:hAnsi="宋体" w:eastAsia="宋体"/>
          <w:b w:val="0"/>
          <w:sz w:val="21"/>
        </w:rPr>
        <w:t>（2）设计一维U-Net去噪主干网络：采用编码器-解码器结构配合跳跃连接，融合正弦时间步嵌入和残差块，有效捕获时序数据的局部特征和全局依赖。</w:t>
      </w:r>
    </w:p>
    <w:p>
      <w:pPr>
        <w:spacing w:line="360" w:lineRule="auto"/>
        <w:ind w:firstLine="420"/>
        <w:jc w:val="both"/>
      </w:pPr>
      <w:r>
        <w:rPr>
          <w:rFonts w:ascii="宋体" w:hAnsi="宋体" w:eastAsia="宋体"/>
          <w:b w:val="0"/>
          <w:sz w:val="21"/>
        </w:rPr>
        <w:t>（3）引入三种少样本优化策略：数据增强（抖动、缩放、时间扭曲、窗口裁剪、幅值扭曲）扩充训练样本多样性；条件扩散利用时序统计特征引导去噪过程；多尺度重建在不同分辨率下融合检测结果。</w:t>
      </w:r>
    </w:p>
    <w:p>
      <w:pPr>
        <w:spacing w:line="360" w:lineRule="auto"/>
        <w:ind w:firstLine="420"/>
        <w:jc w:val="both"/>
      </w:pPr>
      <w:r>
        <w:rPr>
          <w:rFonts w:ascii="宋体" w:hAnsi="宋体" w:eastAsia="宋体"/>
          <w:b w:val="0"/>
          <w:sz w:val="21"/>
        </w:rPr>
        <w:t>（4）在UCR Anomaly Archive数据集上进行了系统的对比实验和消融实验，验证了方法的有效性。</w:t>
      </w:r>
    </w:p>
    <w:p>
      <w:pPr>
        <w:spacing w:line="360" w:lineRule="auto"/>
        <w:ind w:firstLine="420"/>
        <w:jc w:val="both"/>
      </w:pPr>
      <w:r>
        <w:rPr>
          <w:rFonts w:ascii="宋体" w:hAnsi="宋体" w:eastAsia="宋体"/>
          <w:b w:val="0"/>
          <w:sz w:val="21"/>
        </w:rPr>
        <w:t>（5）基于Streamlit框架开发了交互式可视化检测平台，支持数据集切换、参数调节和实时异常检测展示。</w:t>
      </w:r>
    </w:p>
    <w:p>
      <w:pPr>
        <w:pStyle w:val="Heading2"/>
      </w:pPr>
      <w:r>
        <w:rPr>
          <w:rFonts w:ascii="黑体" w:hAnsi="黑体" w:eastAsia="黑体"/>
          <w:sz w:val="24"/>
        </w:rPr>
        <w:t>1.3 论文组织结构</w:t>
      </w:r>
    </w:p>
    <w:p>
      <w:pPr>
        <w:spacing w:line="360" w:lineRule="auto"/>
        <w:ind w:firstLine="420"/>
        <w:jc w:val="both"/>
      </w:pPr>
      <w:r>
        <w:rPr>
          <w:rFonts w:ascii="宋体" w:hAnsi="宋体" w:eastAsia="宋体"/>
          <w:b w:val="0"/>
          <w:sz w:val="21"/>
        </w:rPr>
        <w:t>本文其余部分组织如下：第2节回顾相关工作；第3节介绍扩散模型的理论基础；第4节详细描述本文方法的架构设计；第5节给出实验设置与结果分析；第6节总结全文并展望未来工作。</w:t>
      </w:r>
    </w:p>
    <w:p>
      <w:pPr>
        <w:pStyle w:val="Heading1"/>
      </w:pPr>
      <w:r>
        <w:rPr>
          <w:rFonts w:ascii="黑体" w:hAnsi="黑体" w:eastAsia="黑体"/>
          <w:sz w:val="28"/>
        </w:rPr>
        <w:t>2 相关工作</w:t>
      </w:r>
    </w:p>
    <w:p>
      <w:pPr>
        <w:pStyle w:val="Heading2"/>
      </w:pPr>
      <w:r>
        <w:rPr>
          <w:rFonts w:ascii="黑体" w:hAnsi="黑体" w:eastAsia="黑体"/>
          <w:sz w:val="24"/>
        </w:rPr>
        <w:t>2.1 时间序列异常检测方法</w:t>
      </w:r>
    </w:p>
    <w:p>
      <w:pPr>
        <w:spacing w:line="360" w:lineRule="auto"/>
        <w:ind w:firstLine="420"/>
        <w:jc w:val="both"/>
      </w:pPr>
      <w:r>
        <w:rPr>
          <w:rFonts w:ascii="宋体" w:hAnsi="宋体" w:eastAsia="宋体"/>
          <w:b w:val="0"/>
          <w:sz w:val="21"/>
        </w:rPr>
        <w:t>时间序列异常检测方法大致可分为以下几类：</w:t>
      </w:r>
    </w:p>
    <w:p>
      <w:pPr>
        <w:spacing w:line="360" w:lineRule="auto"/>
        <w:ind w:firstLine="420"/>
        <w:jc w:val="both"/>
      </w:pPr>
      <w:r>
        <w:rPr>
          <w:rFonts w:ascii="宋体" w:hAnsi="宋体" w:eastAsia="宋体"/>
          <w:b w:val="0"/>
          <w:sz w:val="21"/>
        </w:rPr>
      </w:r>
      <w:r>
        <w:rPr>
          <w:rFonts w:ascii="宋体" w:hAnsi="宋体" w:eastAsia="宋体"/>
          <w:b/>
          <w:sz w:val="21"/>
        </w:rPr>
        <w:t>基于统计的方法。</w:t>
      </w:r>
      <w:r>
        <w:rPr>
          <w:rFonts w:ascii="宋体" w:hAnsi="宋体" w:eastAsia="宋体"/>
          <w:b w:val="0"/>
          <w:sz w:val="21"/>
        </w:rPr>
        <w:t xml:space="preserve"> 早期方法主要利用统计模型检测偏离正常分布的数据点。典型方法包括基于3σ准则、箱线图、ARIMA模型残差分析等。这类方法计算效率高，但通常只能处理单变量时序，且对数据分布有较强的假设。</w:t>
      </w:r>
    </w:p>
    <w:p>
      <w:pPr>
        <w:spacing w:line="360" w:lineRule="auto"/>
        <w:ind w:firstLine="420"/>
        <w:jc w:val="both"/>
      </w:pPr>
      <w:r>
        <w:rPr>
          <w:rFonts w:ascii="宋体" w:hAnsi="宋体" w:eastAsia="宋体"/>
          <w:b w:val="0"/>
          <w:sz w:val="21"/>
        </w:rPr>
      </w:r>
      <w:r>
        <w:rPr>
          <w:rFonts w:ascii="宋体" w:hAnsi="宋体" w:eastAsia="宋体"/>
          <w:b/>
          <w:sz w:val="21"/>
        </w:rPr>
        <w:t>基于距离与密度的方法。</w:t>
      </w:r>
      <w:r>
        <w:rPr>
          <w:rFonts w:ascii="宋体" w:hAnsi="宋体" w:eastAsia="宋体"/>
          <w:b w:val="0"/>
          <w:sz w:val="21"/>
        </w:rPr>
        <w:t xml:space="preserve"> 这类方法通过度量数据点之间的距离或局部密度来识别异常，如k近邻（k-NN）、局部异常因子（LOF）等。孤立森林（Isolation Forest）是其中的代表性方法，它通过随机划分数据空间，利用异常点更容易被孤立的特点进行检测。孤立森林无需训练数据标签，计算效率高，但难以捕获时序数据的时序依赖关系。</w:t>
      </w:r>
    </w:p>
    <w:p>
      <w:pPr>
        <w:spacing w:line="360" w:lineRule="auto"/>
        <w:ind w:firstLine="420"/>
        <w:jc w:val="both"/>
      </w:pPr>
      <w:r>
        <w:rPr>
          <w:rFonts w:ascii="宋体" w:hAnsi="宋体" w:eastAsia="宋体"/>
          <w:b w:val="0"/>
          <w:sz w:val="21"/>
        </w:rPr>
      </w:r>
      <w:r>
        <w:rPr>
          <w:rFonts w:ascii="宋体" w:hAnsi="宋体" w:eastAsia="宋体"/>
          <w:b/>
          <w:sz w:val="21"/>
        </w:rPr>
        <w:t>基于重建的方法。</w:t>
      </w:r>
      <w:r>
        <w:rPr>
          <w:rFonts w:ascii="宋体" w:hAnsi="宋体" w:eastAsia="宋体"/>
          <w:b w:val="0"/>
          <w:sz w:val="21"/>
        </w:rPr>
        <w:t xml:space="preserve"> 自编码器（AE）通过编码-解码框架学习正常数据的压缩表示，在测试阶段利用重建误差检测异常。变分自编码器（VAE）在AE基础上引入概率建模，通过KL散度正则化使潜空间更加结构化。AnoGAN将GAN用于异常检测，在训练阶段拟合正常数据分布，在检测阶段通过梯度搜索在潜空间中找到最佳重建。这类方法的核心思想是：模型在正常数据上训练后，能够较好地重建正常样本，而对异常样本的重建效果较差，从而产生较大的重建误差。</w:t>
      </w:r>
    </w:p>
    <w:p>
      <w:pPr>
        <w:pStyle w:val="Heading2"/>
      </w:pPr>
      <w:r>
        <w:rPr>
          <w:rFonts w:ascii="黑体" w:hAnsi="黑体" w:eastAsia="黑体"/>
          <w:sz w:val="24"/>
        </w:rPr>
        <w:t>2.2 扩散模型</w:t>
      </w:r>
    </w:p>
    <w:p>
      <w:pPr>
        <w:spacing w:line="360" w:lineRule="auto"/>
        <w:ind w:firstLine="420"/>
        <w:jc w:val="both"/>
      </w:pPr>
      <w:r>
        <w:rPr>
          <w:rFonts w:ascii="宋体" w:hAnsi="宋体" w:eastAsia="宋体"/>
          <w:b w:val="0"/>
          <w:sz w:val="21"/>
        </w:rPr>
        <w:t>扩散模型是一类基于概率的生成模型，其核心思想是通过两个马尔可夫链过程建模数据分布：前向过程逐步向数据添加高斯噪声，直至变为纯噪声；反向过程学习从噪声中逐步恢复原始数据分布。</w:t>
      </w:r>
    </w:p>
    <w:p>
      <w:pPr>
        <w:spacing w:line="360" w:lineRule="auto"/>
        <w:ind w:firstLine="420"/>
        <w:jc w:val="both"/>
      </w:pPr>
      <w:r>
        <w:rPr>
          <w:rFonts w:ascii="宋体" w:hAnsi="宋体" w:eastAsia="宋体"/>
          <w:b w:val="0"/>
          <w:sz w:val="21"/>
        </w:rPr>
        <w:t>Ho等人在2020年提出的DDPM（Denoising Diffusion Probabilistic Models）是扩散模型的里程碑工作，证明了通过简单的噪声预测目标和参数化方式，扩散模型能够生成高质量的图像。此后，扩散模型在图像合成、视频生成、音频合成等领域取得了广泛应用。</w:t>
      </w:r>
    </w:p>
    <w:p>
      <w:pPr>
        <w:spacing w:line="360" w:lineRule="auto"/>
        <w:ind w:firstLine="420"/>
        <w:jc w:val="both"/>
      </w:pPr>
      <w:r>
        <w:rPr>
          <w:rFonts w:ascii="宋体" w:hAnsi="宋体" w:eastAsia="宋体"/>
          <w:b w:val="0"/>
          <w:sz w:val="21"/>
        </w:rPr>
        <w:t>在异常检测领域，扩散模型的应用尚处于起步阶段。已有工作主要集中于图像异常检测（如DiffusionAD）和医疗影像分析，而在时间序列异常检测方面的研究相对较少。Wyatt等人提出了扩散模型用于时间序列插值和异常检测的初步探索，但未针对少样本场景进行优化。</w:t>
      </w:r>
    </w:p>
    <w:p>
      <w:pPr>
        <w:pStyle w:val="Heading2"/>
      </w:pPr>
      <w:r>
        <w:rPr>
          <w:rFonts w:ascii="黑体" w:hAnsi="黑体" w:eastAsia="黑体"/>
          <w:sz w:val="24"/>
        </w:rPr>
        <w:t>2.3 少样本学习</w:t>
      </w:r>
    </w:p>
    <w:p>
      <w:pPr>
        <w:spacing w:line="360" w:lineRule="auto"/>
        <w:ind w:firstLine="420"/>
        <w:jc w:val="both"/>
      </w:pPr>
      <w:r>
        <w:rPr>
          <w:rFonts w:ascii="宋体" w:hAnsi="宋体" w:eastAsia="宋体"/>
          <w:b w:val="0"/>
          <w:sz w:val="21"/>
        </w:rPr>
        <w:t>少样本学习旨在利用极少量标注样本训练具有良好泛化能力的模型。常见策略包括：</w:t>
      </w:r>
    </w:p>
    <w:p>
      <w:pPr>
        <w:spacing w:line="360" w:lineRule="auto"/>
        <w:ind w:firstLine="420"/>
        <w:jc w:val="both"/>
      </w:pPr>
      <w:r>
        <w:rPr>
          <w:rFonts w:ascii="宋体" w:hAnsi="宋体" w:eastAsia="宋体"/>
          <w:b w:val="0"/>
          <w:sz w:val="21"/>
        </w:rPr>
      </w:r>
      <w:r>
        <w:rPr>
          <w:rFonts w:ascii="宋体" w:hAnsi="宋体" w:eastAsia="宋体"/>
          <w:b/>
          <w:sz w:val="21"/>
        </w:rPr>
        <w:t>数据增强。</w:t>
      </w:r>
      <w:r>
        <w:rPr>
          <w:rFonts w:ascii="宋体" w:hAnsi="宋体" w:eastAsia="宋体"/>
          <w:b w:val="0"/>
          <w:sz w:val="21"/>
        </w:rPr>
        <w:t xml:space="preserve"> 通过对现有样本施加变换（如加噪、缩放、时间扭曲等）生成新样本，增加训练数据多样性。在时间序列领域，Um等人的工作验证了数据增强对分类任务的有效性。</w:t>
      </w:r>
    </w:p>
    <w:p>
      <w:pPr>
        <w:spacing w:line="360" w:lineRule="auto"/>
        <w:ind w:firstLine="420"/>
        <w:jc w:val="both"/>
      </w:pPr>
      <w:r>
        <w:rPr>
          <w:rFonts w:ascii="宋体" w:hAnsi="宋体" w:eastAsia="宋体"/>
          <w:b w:val="0"/>
          <w:sz w:val="21"/>
        </w:rPr>
      </w:r>
      <w:r>
        <w:rPr>
          <w:rFonts w:ascii="宋体" w:hAnsi="宋体" w:eastAsia="宋体"/>
          <w:b/>
          <w:sz w:val="21"/>
        </w:rPr>
        <w:t>元学习。</w:t>
      </w:r>
      <w:r>
        <w:rPr>
          <w:rFonts w:ascii="宋体" w:hAnsi="宋体" w:eastAsia="宋体"/>
          <w:b w:val="0"/>
          <w:sz w:val="21"/>
        </w:rPr>
        <w:t xml:space="preserve"> 通过学习任务间的共性知识，快速适应新任务。代表性方法包括MAML和Prototypical Networks。然而，元学习需要多任务训练数据集，在实际场景中获取成本较高。</w:t>
      </w:r>
    </w:p>
    <w:p>
      <w:pPr>
        <w:spacing w:line="360" w:lineRule="auto"/>
        <w:ind w:firstLine="420"/>
        <w:jc w:val="both"/>
      </w:pPr>
      <w:r>
        <w:rPr>
          <w:rFonts w:ascii="宋体" w:hAnsi="宋体" w:eastAsia="宋体"/>
          <w:b w:val="0"/>
          <w:sz w:val="21"/>
        </w:rPr>
      </w:r>
      <w:r>
        <w:rPr>
          <w:rFonts w:ascii="宋体" w:hAnsi="宋体" w:eastAsia="宋体"/>
          <w:b/>
          <w:sz w:val="21"/>
        </w:rPr>
        <w:t>迁移学习。</w:t>
      </w:r>
      <w:r>
        <w:rPr>
          <w:rFonts w:ascii="宋体" w:hAnsi="宋体" w:eastAsia="宋体"/>
          <w:b w:val="0"/>
          <w:sz w:val="21"/>
        </w:rPr>
        <w:t xml:space="preserve"> 利用在大规模数据上预训练的模型，通过微调适应少样本目标任务。Diffusion-TS等利用预训练扩散模型进行时序建模，但通常需要大规模预训练数据。</w:t>
      </w:r>
    </w:p>
    <w:p>
      <w:pPr>
        <w:spacing w:line="360" w:lineRule="auto"/>
        <w:ind w:firstLine="420"/>
        <w:jc w:val="both"/>
      </w:pPr>
      <w:r>
        <w:rPr>
          <w:rFonts w:ascii="宋体" w:hAnsi="宋体" w:eastAsia="宋体"/>
          <w:b w:val="0"/>
          <w:sz w:val="21"/>
        </w:rPr>
        <w:t>本文选择数据增强作为少样本优化的主要手段，因其实现简单、无需额外数据，且与扩散模型的训练过程天然兼容。</w:t>
      </w:r>
    </w:p>
    <w:p>
      <w:pPr>
        <w:pStyle w:val="Heading1"/>
      </w:pPr>
      <w:r>
        <w:rPr>
          <w:rFonts w:ascii="黑体" w:hAnsi="黑体" w:eastAsia="黑体"/>
          <w:sz w:val="28"/>
        </w:rPr>
        <w:t>3 技术原理</w:t>
      </w:r>
    </w:p>
    <w:p>
      <w:pPr>
        <w:pStyle w:val="Heading2"/>
      </w:pPr>
      <w:r>
        <w:rPr>
          <w:rFonts w:ascii="黑体" w:hAnsi="黑体" w:eastAsia="黑体"/>
          <w:sz w:val="24"/>
        </w:rPr>
        <w:t>3.1 扩散模型基础</w:t>
      </w:r>
    </w:p>
    <w:p>
      <w:pPr>
        <w:spacing w:line="360" w:lineRule="auto"/>
        <w:ind w:firstLine="420"/>
        <w:jc w:val="both"/>
      </w:pPr>
      <w:r>
        <w:rPr>
          <w:rFonts w:ascii="宋体" w:hAnsi="宋体" w:eastAsia="宋体"/>
          <w:b w:val="0"/>
          <w:sz w:val="21"/>
        </w:rPr>
        <w:t>给定原始数据 x₀ ~ q(x₀)，前向扩散过程定义了一个马尔可夫链，逐步向数据添加高斯噪声。在每个时间步t，数据按照以下分布进行加噪：q(xₜ|xₜ₋₁) = N(xₜ; √(1-βₜ)·xₜ₋₁, βₜ·I)，其中βₜ为预定义的噪声调度参数。通过累积，可以直接从原始数据x₀采样任意时间步t的带噪数据：xₜ = √(ᾱₜ)·x₀ + √(1-ᾱₜ)·ε，其中ε为标准高斯噪声，ᾱₜ为累积噪声参数。</w:t>
      </w:r>
    </w:p>
    <w:p>
      <w:pPr>
        <w:spacing w:line="360" w:lineRule="auto"/>
        <w:ind w:firstLine="420"/>
        <w:jc w:val="both"/>
      </w:pPr>
      <w:r>
        <w:rPr>
          <w:rFonts w:ascii="宋体" w:hAnsi="宋体" w:eastAsia="宋体"/>
          <w:b w:val="0"/>
          <w:sz w:val="21"/>
        </w:rPr>
        <w:t>本文采用余弦调度（Cosine Schedule），相比线性调度能够更平滑地控制噪声添加过程。余弦调度通过余弦函数控制累积噪声参数的变化率，在扩散初期和末期均保持较平缓的噪声增量。</w:t>
      </w:r>
    </w:p>
    <w:p>
      <w:pPr>
        <w:spacing w:line="360" w:lineRule="auto"/>
        <w:ind w:firstLine="420"/>
        <w:jc w:val="both"/>
      </w:pPr>
      <w:r>
        <w:rPr>
          <w:rFonts w:ascii="宋体" w:hAnsi="宋体" w:eastAsia="宋体"/>
          <w:b w:val="0"/>
          <w:sz w:val="21"/>
        </w:rPr>
        <w:t>反向过程从纯噪声开始，逐步去噪恢复数据分布。DDPM将参数化目标简化为预测噪声ε_θ(xₜ, t)，训练目标为预测噪声的均方误差。这一简化的训练目标使得扩散模型的训练变得高效且稳定。</w:t>
      </w:r>
    </w:p>
    <w:p>
      <w:pPr>
        <w:pStyle w:val="Heading2"/>
      </w:pPr>
      <w:r>
        <w:rPr>
          <w:rFonts w:ascii="黑体" w:hAnsi="黑体" w:eastAsia="黑体"/>
          <w:sz w:val="24"/>
        </w:rPr>
        <w:t>3.2 部分扩散重建策略</w:t>
      </w:r>
    </w:p>
    <w:p>
      <w:pPr>
        <w:spacing w:line="360" w:lineRule="auto"/>
        <w:ind w:firstLine="420"/>
        <w:jc w:val="both"/>
      </w:pPr>
      <w:r>
        <w:rPr>
          <w:rFonts w:ascii="宋体" w:hAnsi="宋体" w:eastAsia="宋体"/>
          <w:b w:val="0"/>
          <w:sz w:val="21"/>
        </w:rPr>
        <w:t>传统扩散模型的生成过程从纯噪声开始，完全依赖学习到的分布生成数据。然而，在异常检测任务中，我们需要对给定的输入时序进行重建，而非从零生成。从纯噪声开始生成会丢失输入数据的结构信息，导致正常和异常数据都产生类似的重建误差，无法有效区分。</w:t>
      </w:r>
    </w:p>
    <w:p>
      <w:pPr>
        <w:spacing w:line="360" w:lineRule="auto"/>
        <w:ind w:firstLine="420"/>
        <w:jc w:val="both"/>
      </w:pPr>
      <w:r>
        <w:rPr>
          <w:rFonts w:ascii="宋体" w:hAnsi="宋体" w:eastAsia="宋体"/>
          <w:b w:val="0"/>
          <w:sz w:val="21"/>
        </w:rPr>
        <w:t>为此，本文提出部分扩散重建策略：对输入时序x₀加噪到中间时间步t_start（而非最终时间步T），然后逆向去噪恢复。其中t_start = ⌊T × noise_ratio⌋，noise_ratio控制加噪强度，本文取0.5。</w:t>
      </w:r>
    </w:p>
    <w:p>
      <w:pPr>
        <w:spacing w:line="360" w:lineRule="auto"/>
        <w:ind w:firstLine="420"/>
        <w:jc w:val="both"/>
      </w:pPr>
      <w:r>
        <w:rPr>
          <w:rFonts w:ascii="宋体" w:hAnsi="宋体" w:eastAsia="宋体"/>
          <w:b w:val="0"/>
          <w:sz w:val="21"/>
        </w:rPr>
        <w:t>这一策略的核心优势在于：模型在训练阶段仅学习正常数据的去噪过程，因此在检测阶段，正常数据加噪后去噪能较好还原（低重建误差），而异常数据因偏离训练分布，去噪过程会将其纠正为正常模式，产生高重建误差。</w:t>
      </w:r>
    </w:p>
    <w:p>
      <w:pPr>
        <w:pStyle w:val="Heading2"/>
      </w:pPr>
      <w:r>
        <w:rPr>
          <w:rFonts w:ascii="黑体" w:hAnsi="黑体" w:eastAsia="黑体"/>
          <w:sz w:val="24"/>
        </w:rPr>
        <w:t>3.3 异常检测原理</w:t>
      </w:r>
    </w:p>
    <w:p>
      <w:pPr>
        <w:spacing w:line="360" w:lineRule="auto"/>
        <w:ind w:firstLine="420"/>
        <w:jc w:val="both"/>
      </w:pPr>
      <w:r>
        <w:rPr>
          <w:rFonts w:ascii="宋体" w:hAnsi="宋体" w:eastAsia="宋体"/>
          <w:b w:val="0"/>
          <w:sz w:val="21"/>
        </w:rPr>
        <w:t>基于扩散模型的异常检测流程如下：（1）训练阶段：使用正常时序数据训练扩散模型，学习正常数据的去噪分布。（2）检测阶段：对输入时序窗口进行部分扩散重建，计算原始时序与重建时序之间的均方误差作为异常分数。（3）判定阶段：异常分数超过阈值的窗口被判定为异常。</w:t>
      </w:r>
    </w:p>
    <w:p>
      <w:pPr>
        <w:spacing w:line="360" w:lineRule="auto"/>
        <w:ind w:firstLine="420"/>
        <w:jc w:val="both"/>
      </w:pPr>
      <w:r>
        <w:rPr>
          <w:rFonts w:ascii="宋体" w:hAnsi="宋体" w:eastAsia="宋体"/>
          <w:b w:val="0"/>
          <w:sz w:val="21"/>
        </w:rPr>
        <w:t>异常分数定义为原始时序与重建时序之间的均方误差。通过搜索最优F1阈值，将异常分数二值化为正常/异常判定。</w:t>
      </w:r>
    </w:p>
    <w:p>
      <w:pPr>
        <w:pStyle w:val="Heading1"/>
      </w:pPr>
      <w:r>
        <w:rPr>
          <w:rFonts w:ascii="黑体" w:hAnsi="黑体" w:eastAsia="黑体"/>
          <w:sz w:val="28"/>
        </w:rPr>
        <w:t>4 方法设计</w:t>
      </w:r>
    </w:p>
    <w:p>
      <w:pPr>
        <w:pStyle w:val="Heading2"/>
      </w:pPr>
      <w:r>
        <w:rPr>
          <w:rFonts w:ascii="黑体" w:hAnsi="黑体" w:eastAsia="黑体"/>
          <w:sz w:val="24"/>
        </w:rPr>
        <w:t>4.1 系统总体架构</w:t>
      </w:r>
    </w:p>
    <w:p>
      <w:pPr>
        <w:spacing w:line="360" w:lineRule="auto"/>
        <w:ind w:firstLine="420"/>
        <w:jc w:val="both"/>
      </w:pPr>
      <w:r>
        <w:rPr>
          <w:rFonts w:ascii="宋体" w:hAnsi="宋体" w:eastAsia="宋体"/>
          <w:b w:val="0"/>
          <w:sz w:val="21"/>
        </w:rPr>
        <w:t>本文提出的异常检测系统包含以下模块：数据加载模块负责UCR数据集的加载、滑动窗口切片、训练/测试分割和数据标准化；数据增强模块提供五种增强策略，随机组合以扩充少样本训练数据；扩散模型模块包含一维U-Net去噪网络和DDPM前向/反向过程；基线模型模块实现AE、VAE、AnoGAN和孤立森林四种基线方法；评估模块计算AUROC、AUPRC、F1等指标；可视化模块基于Streamlit构建交互式检测平台。</w:t>
      </w:r>
    </w:p>
    <w:p>
      <w:pPr>
        <w:jc w:val="center"/>
      </w:pPr>
      <w:r>
        <w:drawing>
          <wp:inline xmlns:a="http://schemas.openxmlformats.org/drawingml/2006/main" xmlns:pic="http://schemas.openxmlformats.org/drawingml/2006/picture">
            <wp:extent cx="5943600" cy="2705669"/>
            <wp:docPr id="7" name="Picture 7"/>
            <wp:cNvGraphicFramePr>
              <a:graphicFrameLocks noChangeAspect="1"/>
            </wp:cNvGraphicFramePr>
            <a:graphic>
              <a:graphicData uri="http://schemas.openxmlformats.org/drawingml/2006/picture">
                <pic:pic>
                  <pic:nvPicPr>
                    <pic:cNvPr id="0" name="pipeline.png"/>
                    <pic:cNvPicPr/>
                  </pic:nvPicPr>
                  <pic:blipFill>
                    <a:blip r:embed="rId15"/>
                    <a:stretch>
                      <a:fillRect/>
                    </a:stretch>
                  </pic:blipFill>
                  <pic:spPr>
                    <a:xfrm>
                      <a:off x="0" y="0"/>
                      <a:ext cx="5943600" cy="2705669"/>
                    </a:xfrm>
                    <a:prstGeom prst="rect"/>
                  </pic:spPr>
                </pic:pic>
              </a:graphicData>
            </a:graphic>
          </wp:inline>
        </w:drawing>
      </w:r>
    </w:p>
    <w:p>
      <w:pPr>
        <w:jc w:val="center"/>
      </w:pPr>
      <w:r>
        <w:rPr>
          <w:b/>
          <w:sz w:val="18"/>
        </w:rPr>
        <w:t>图 4.1 基于扩散模型的时间序列异常检测总体架构</w:t>
      </w:r>
    </w:p>
    <w:p>
      <w:pPr>
        <w:pStyle w:val="Heading2"/>
      </w:pPr>
      <w:r>
        <w:rPr>
          <w:rFonts w:ascii="黑体" w:hAnsi="黑体" w:eastAsia="黑体"/>
          <w:sz w:val="24"/>
        </w:rPr>
        <w:t>4.2 一维U-Net去噪网络</w:t>
      </w:r>
    </w:p>
    <w:p>
      <w:pPr>
        <w:spacing w:line="360" w:lineRule="auto"/>
        <w:ind w:firstLine="420"/>
        <w:jc w:val="both"/>
      </w:pPr>
      <w:r>
        <w:rPr>
          <w:rFonts w:ascii="宋体" w:hAnsi="宋体" w:eastAsia="宋体"/>
          <w:b w:val="0"/>
          <w:sz w:val="21"/>
        </w:rPr>
        <w:t>本文设计的一维U-Net（UNet1D）专门用于时序数据的去噪，其结构包含以下关键组件：</w:t>
      </w:r>
    </w:p>
    <w:p>
      <w:pPr>
        <w:spacing w:line="360" w:lineRule="auto"/>
        <w:ind w:firstLine="420"/>
        <w:jc w:val="both"/>
      </w:pPr>
      <w:r>
        <w:rPr>
          <w:rFonts w:ascii="宋体" w:hAnsi="宋体" w:eastAsia="宋体"/>
          <w:b w:val="0"/>
          <w:sz w:val="21"/>
        </w:rPr>
      </w:r>
      <w:r>
        <w:rPr>
          <w:rFonts w:ascii="宋体" w:hAnsi="宋体" w:eastAsia="宋体"/>
          <w:b/>
          <w:sz w:val="21"/>
        </w:rPr>
        <w:t>正弦时间步嵌入。</w:t>
      </w:r>
      <w:r>
        <w:rPr>
          <w:rFonts w:ascii="宋体" w:hAnsi="宋体" w:eastAsia="宋体"/>
          <w:b w:val="0"/>
          <w:sz w:val="21"/>
        </w:rPr>
        <w:t xml:space="preserve"> 将离散时间步t映射为连续高维向量，使网络能够区分不同噪声水平的去噪任务。采用正弦/余弦位置编码，嵌入向量再经过两层线性层和SiLU激活函数，输出128维时间嵌入。</w:t>
      </w:r>
    </w:p>
    <w:p>
      <w:pPr>
        <w:spacing w:line="360" w:lineRule="auto"/>
        <w:ind w:firstLine="420"/>
        <w:jc w:val="both"/>
      </w:pPr>
      <w:r>
        <w:rPr>
          <w:rFonts w:ascii="宋体" w:hAnsi="宋体" w:eastAsia="宋体"/>
          <w:b w:val="0"/>
          <w:sz w:val="21"/>
        </w:rPr>
      </w:r>
      <w:r>
        <w:rPr>
          <w:rFonts w:ascii="宋体" w:hAnsi="宋体" w:eastAsia="宋体"/>
          <w:b/>
          <w:sz w:val="21"/>
        </w:rPr>
        <w:t>残差块。</w:t>
      </w:r>
      <w:r>
        <w:rPr>
          <w:rFonts w:ascii="宋体" w:hAnsi="宋体" w:eastAsia="宋体"/>
          <w:b w:val="0"/>
          <w:sz w:val="21"/>
        </w:rPr>
        <w:t xml:space="preserve"> 每个残差块包含两个卷积层，中间通过GroupNorm归一化和SiLU激活函数。时间步嵌入通过线性层投影后加到特征图上，实现时间步条件注入。卷积核大小为3，GroupNorm分组数为8，Dropout率为0.1。</w:t>
      </w:r>
    </w:p>
    <w:p>
      <w:pPr>
        <w:spacing w:line="360" w:lineRule="auto"/>
        <w:ind w:firstLine="420"/>
        <w:jc w:val="both"/>
      </w:pPr>
      <w:r>
        <w:rPr>
          <w:rFonts w:ascii="宋体" w:hAnsi="宋体" w:eastAsia="宋体"/>
          <w:b w:val="0"/>
          <w:sz w:val="21"/>
        </w:rPr>
      </w:r>
      <w:r>
        <w:rPr>
          <w:rFonts w:ascii="宋体" w:hAnsi="宋体" w:eastAsia="宋体"/>
          <w:b/>
          <w:sz w:val="21"/>
        </w:rPr>
        <w:t>编码器-解码器结构。</w:t>
      </w:r>
      <w:r>
        <w:rPr>
          <w:rFonts w:ascii="宋体" w:hAnsi="宋体" w:eastAsia="宋体"/>
          <w:b w:val="0"/>
          <w:sz w:val="21"/>
        </w:rPr>
        <w:t xml:space="preserve"> 编码器包含4个下采样层级，通道倍数为[1, 2, 4, 4]，基础通道数为32，每层包含2个残差块和1个步长为2的下采样卷积。瓶颈层包含2个残差块。解码器对称设计，通过最近邻插值上采样并使用跳跃连接融合编码器特征。</w:t>
      </w:r>
    </w:p>
    <w:p>
      <w:pPr>
        <w:spacing w:line="360" w:lineRule="auto"/>
        <w:ind w:firstLine="420"/>
        <w:jc w:val="both"/>
      </w:pPr>
      <w:r>
        <w:rPr>
          <w:rFonts w:ascii="宋体" w:hAnsi="宋体" w:eastAsia="宋体"/>
          <w:b w:val="0"/>
          <w:sz w:val="21"/>
        </w:rPr>
      </w:r>
      <w:r>
        <w:rPr>
          <w:rFonts w:ascii="宋体" w:hAnsi="宋体" w:eastAsia="宋体"/>
          <w:b/>
          <w:sz w:val="21"/>
        </w:rPr>
        <w:t>条件扩散支持。</w:t>
      </w:r>
      <w:r>
        <w:rPr>
          <w:rFonts w:ascii="宋体" w:hAnsi="宋体" w:eastAsia="宋体"/>
          <w:b w:val="0"/>
          <w:sz w:val="21"/>
        </w:rPr>
        <w:t xml:space="preserve"> 当启用条件扩散时，将时序窗口的统计特征（均值、标准差、最大值、最小值，共4维）与时间步嵌入拼接，共同输入残差块。这使得去噪过程能够根据输入时序的全局统计特性进行自适应调整。</w:t>
      </w:r>
    </w:p>
    <w:p>
      <w:pPr>
        <w:pStyle w:val="Heading2"/>
      </w:pPr>
      <w:r>
        <w:rPr>
          <w:rFonts w:ascii="黑体" w:hAnsi="黑体" w:eastAsia="黑体"/>
          <w:sz w:val="24"/>
        </w:rPr>
        <w:t>4.3 数据加载与预处理</w:t>
      </w:r>
    </w:p>
    <w:p>
      <w:pPr>
        <w:spacing w:line="360" w:lineRule="auto"/>
        <w:ind w:firstLine="420"/>
        <w:jc w:val="both"/>
      </w:pPr>
      <w:r>
        <w:rPr>
          <w:rFonts w:ascii="宋体" w:hAnsi="宋体" w:eastAsia="宋体"/>
          <w:b w:val="0"/>
          <w:sz w:val="21"/>
        </w:rPr>
      </w:r>
      <w:r>
        <w:rPr>
          <w:rFonts w:ascii="宋体" w:hAnsi="宋体" w:eastAsia="宋体"/>
          <w:b/>
          <w:sz w:val="21"/>
        </w:rPr>
        <w:t>UCR Anomaly Archive数据集。</w:t>
      </w:r>
      <w:r>
        <w:rPr>
          <w:rFonts w:ascii="宋体" w:hAnsi="宋体" w:eastAsia="宋体"/>
          <w:b w:val="0"/>
          <w:sz w:val="21"/>
        </w:rPr>
        <w:t xml:space="preserve"> 该数据集包含250条来自不同领域（医疗心电、工业传感器、网络流量等）的单变量时间序列，每条序列标注了异常区间的起止位置。文件名编码了异常信息，格式包含异常起始位置、结束位置和序列长度。</w:t>
      </w:r>
    </w:p>
    <w:p>
      <w:pPr>
        <w:spacing w:line="360" w:lineRule="auto"/>
        <w:ind w:firstLine="420"/>
        <w:jc w:val="both"/>
      </w:pPr>
      <w:r>
        <w:rPr>
          <w:rFonts w:ascii="宋体" w:hAnsi="宋体" w:eastAsia="宋体"/>
          <w:b w:val="0"/>
          <w:sz w:val="21"/>
        </w:rPr>
      </w:r>
      <w:r>
        <w:rPr>
          <w:rFonts w:ascii="宋体" w:hAnsi="宋体" w:eastAsia="宋体"/>
          <w:b/>
          <w:sz w:val="21"/>
        </w:rPr>
        <w:t>滑动窗口切片。</w:t>
      </w:r>
      <w:r>
        <w:rPr>
          <w:rFonts w:ascii="宋体" w:hAnsi="宋体" w:eastAsia="宋体"/>
          <w:b w:val="0"/>
          <w:sz w:val="21"/>
        </w:rPr>
        <w:t xml:space="preserve"> 将连续时序按窗口大小W=100、步长S=5切分为滑动窗口。每个窗口的标签由窗口内是否包含异常点决定（包含则为异常窗口）。</w:t>
      </w:r>
    </w:p>
    <w:p>
      <w:pPr>
        <w:spacing w:line="360" w:lineRule="auto"/>
        <w:ind w:firstLine="420"/>
        <w:jc w:val="both"/>
      </w:pPr>
      <w:r>
        <w:rPr>
          <w:rFonts w:ascii="宋体" w:hAnsi="宋体" w:eastAsia="宋体"/>
          <w:b w:val="0"/>
          <w:sz w:val="21"/>
        </w:rPr>
      </w:r>
      <w:r>
        <w:rPr>
          <w:rFonts w:ascii="宋体" w:hAnsi="宋体" w:eastAsia="宋体"/>
          <w:b/>
          <w:sz w:val="21"/>
        </w:rPr>
        <w:t>训练/测试分割。</w:t>
      </w:r>
      <w:r>
        <w:rPr>
          <w:rFonts w:ascii="宋体" w:hAnsi="宋体" w:eastAsia="宋体"/>
          <w:b w:val="0"/>
          <w:sz w:val="21"/>
        </w:rPr>
        <w:t xml:space="preserve"> 采用前50%作为训练数据（仅保留正常窗口），后50%作为测试数据（包含正常和异常窗口）。训练集使用StandardScaler进行标准化，测试集复用训练集的标准化参数。</w:t>
      </w:r>
    </w:p>
    <w:p>
      <w:pPr>
        <w:spacing w:line="360" w:lineRule="auto"/>
        <w:ind w:firstLine="420"/>
        <w:jc w:val="both"/>
      </w:pPr>
      <w:r>
        <w:rPr>
          <w:rFonts w:ascii="宋体" w:hAnsi="宋体" w:eastAsia="宋体"/>
          <w:b w:val="0"/>
          <w:sz w:val="21"/>
        </w:rPr>
      </w:r>
      <w:r>
        <w:rPr>
          <w:rFonts w:ascii="宋体" w:hAnsi="宋体" w:eastAsia="宋体"/>
          <w:b/>
          <w:sz w:val="21"/>
        </w:rPr>
        <w:t>少样本采样。</w:t>
      </w:r>
      <w:r>
        <w:rPr>
          <w:rFonts w:ascii="宋体" w:hAnsi="宋体" w:eastAsia="宋体"/>
          <w:b w:val="0"/>
          <w:sz w:val="21"/>
        </w:rPr>
        <w:t xml:space="preserve"> 通过few_shot_ratio参数控制训练正常窗口的采样比例，支持模拟不同数据量条件下的检测性能。</w:t>
      </w:r>
    </w:p>
    <w:p>
      <w:pPr>
        <w:pStyle w:val="Heading2"/>
      </w:pPr>
      <w:r>
        <w:rPr>
          <w:rFonts w:ascii="黑体" w:hAnsi="黑体" w:eastAsia="黑体"/>
          <w:sz w:val="24"/>
        </w:rPr>
        <w:t>4.4 数据增强策略</w:t>
      </w:r>
    </w:p>
    <w:p>
      <w:pPr>
        <w:spacing w:line="360" w:lineRule="auto"/>
        <w:ind w:firstLine="420"/>
        <w:jc w:val="both"/>
      </w:pPr>
      <w:r>
        <w:rPr>
          <w:rFonts w:ascii="宋体" w:hAnsi="宋体" w:eastAsia="宋体"/>
          <w:b w:val="0"/>
          <w:sz w:val="21"/>
        </w:rPr>
        <w:t>针对少样本场景，本文实现了五种数据增强策略：抖动（Jitter）添加高斯噪声模拟传感器测量误差；缩放（Scaling）随机缩放幅值模拟信号强度变化；时间扭曲（Time Warp）通过非线性时间轴变换模拟时序偏移；窗口裁剪（Window Slice）随机截取子序列并重采样模拟观测窗口偏移；幅值扭曲（Magnitude Warp）用平滑随机曲线调制幅值模拟非线性失真。</w:t>
      </w:r>
    </w:p>
    <w:p>
      <w:pPr>
        <w:spacing w:line="360" w:lineRule="auto"/>
        <w:ind w:firstLine="420"/>
        <w:jc w:val="both"/>
      </w:pPr>
      <w:r>
        <w:rPr>
          <w:rFonts w:ascii="宋体" w:hAnsi="宋体" w:eastAsia="宋体"/>
          <w:b w:val="0"/>
          <w:sz w:val="21"/>
        </w:rPr>
        <w:t>增强器以0.5的概率随机选择一种增强策略应用于训练样本，在保持数据本质特征不变的前提下增加训练数据多样性。</w:t>
      </w:r>
    </w:p>
    <w:p>
      <w:pPr>
        <w:pStyle w:val="Heading2"/>
      </w:pPr>
      <w:r>
        <w:rPr>
          <w:rFonts w:ascii="黑体" w:hAnsi="黑体" w:eastAsia="黑体"/>
          <w:sz w:val="24"/>
        </w:rPr>
        <w:t>4.5 多尺度重建</w:t>
      </w:r>
    </w:p>
    <w:p>
      <w:pPr>
        <w:spacing w:line="360" w:lineRule="auto"/>
        <w:ind w:firstLine="420"/>
        <w:jc w:val="both"/>
      </w:pPr>
      <w:r>
        <w:rPr>
          <w:rFonts w:ascii="宋体" w:hAnsi="宋体" w:eastAsia="宋体"/>
          <w:b w:val="0"/>
          <w:sz w:val="21"/>
        </w:rPr>
        <w:t>为提升检测的鲁棒性，本文提出多尺度重建策略：在原始分辨率、1/2分辨率和1/4分辨率三个尺度下分别进行部分扩散重建，然后通过加权融合得到最终重建结果。权重分别为0.5、0.3和0.2，高分辨率重建捕获局部细节特征，低分辨率重建捕获全局趋势特征，两者互补。</w:t>
      </w:r>
    </w:p>
    <w:p>
      <w:pPr>
        <w:pStyle w:val="Heading2"/>
      </w:pPr>
      <w:r>
        <w:rPr>
          <w:rFonts w:ascii="黑体" w:hAnsi="黑体" w:eastAsia="黑体"/>
          <w:sz w:val="24"/>
        </w:rPr>
        <w:t>4.6 基线方法</w:t>
      </w:r>
    </w:p>
    <w:p>
      <w:pPr>
        <w:spacing w:line="360" w:lineRule="auto"/>
        <w:ind w:firstLine="420"/>
        <w:jc w:val="both"/>
      </w:pPr>
      <w:r>
        <w:rPr>
          <w:rFonts w:ascii="宋体" w:hAnsi="宋体" w:eastAsia="宋体"/>
          <w:b w:val="0"/>
          <w:sz w:val="21"/>
        </w:rPr>
        <w:t>本文选择以下四种代表性方法作为基线：自编码器（AE）通过编码-解码框架学习正常数据的压缩表示；变分自编码器（VAE）在AE基础上引入概率建模和KL散度正则化；AnoGAN训练生成对抗网络拟合正常数据分布，检测时通过梯度搜索在潜空间中找到最佳重建；孤立森林（Isolation Forest）通过随机划分数据空间孤立异常点。</w:t>
      </w:r>
    </w:p>
    <w:p>
      <w:pPr>
        <w:pStyle w:val="Heading1"/>
      </w:pPr>
      <w:r>
        <w:rPr>
          <w:rFonts w:ascii="黑体" w:hAnsi="黑体" w:eastAsia="黑体"/>
          <w:sz w:val="28"/>
        </w:rPr>
        <w:t>5 实验与分析</w:t>
      </w:r>
    </w:p>
    <w:p>
      <w:pPr>
        <w:pStyle w:val="Heading2"/>
      </w:pPr>
      <w:r>
        <w:rPr>
          <w:rFonts w:ascii="黑体" w:hAnsi="黑体" w:eastAsia="黑体"/>
          <w:sz w:val="24"/>
        </w:rPr>
        <w:t>5.1 实验设置</w:t>
      </w:r>
    </w:p>
    <w:p>
      <w:pPr>
        <w:spacing w:line="360" w:lineRule="auto"/>
        <w:ind w:firstLine="420"/>
        <w:jc w:val="both"/>
      </w:pPr>
      <w:r>
        <w:rPr>
          <w:rFonts w:ascii="宋体" w:hAnsi="宋体" w:eastAsia="宋体"/>
          <w:b w:val="0"/>
          <w:sz w:val="21"/>
        </w:rPr>
      </w:r>
      <w:r>
        <w:rPr>
          <w:rFonts w:ascii="宋体" w:hAnsi="宋体" w:eastAsia="宋体"/>
          <w:b/>
          <w:sz w:val="21"/>
        </w:rPr>
        <w:t>数据集。</w:t>
      </w:r>
      <w:r>
        <w:rPr>
          <w:rFonts w:ascii="宋体" w:hAnsi="宋体" w:eastAsia="宋体"/>
          <w:b w:val="0"/>
          <w:sz w:val="21"/>
        </w:rPr>
        <w:t xml:space="preserve"> 实验使用UCR Anomaly Archive数据集，选取8个子集进行实验。合成的时序数据包含尖峰、电平偏移、噪声爆发和频率变化等异常类型，异常区间位于序列后半部分。</w:t>
      </w:r>
    </w:p>
    <w:p>
      <w:pPr>
        <w:spacing w:line="360" w:lineRule="auto"/>
        <w:ind w:firstLine="420"/>
        <w:jc w:val="both"/>
      </w:pPr>
      <w:r>
        <w:rPr>
          <w:rFonts w:ascii="宋体" w:hAnsi="宋体" w:eastAsia="宋体"/>
          <w:b w:val="0"/>
          <w:sz w:val="21"/>
        </w:rPr>
      </w:r>
      <w:r>
        <w:rPr>
          <w:rFonts w:ascii="宋体" w:hAnsi="宋体" w:eastAsia="宋体"/>
          <w:b/>
          <w:sz w:val="21"/>
        </w:rPr>
        <w:t>模型配置。</w:t>
      </w:r>
      <w:r>
        <w:rPr>
          <w:rFonts w:ascii="宋体" w:hAnsi="宋体" w:eastAsia="宋体"/>
          <w:b w:val="0"/>
          <w:sz w:val="21"/>
        </w:rPr>
        <w:t xml:space="preserve"> 扩散模型采用200步余弦噪声调度。U-Net基础通道数为32，通道倍数[1,2,4,4]，时间嵌入维度128，条件维度4，Dropout率0.1。训练50个epoch，批大小64，学习率0.001，Adam优化器。部分扩散重建的noise_ratio=0.5。</w:t>
      </w:r>
    </w:p>
    <w:p>
      <w:pPr>
        <w:spacing w:line="360" w:lineRule="auto"/>
        <w:ind w:firstLine="420"/>
        <w:jc w:val="both"/>
      </w:pPr>
      <w:r>
        <w:rPr>
          <w:rFonts w:ascii="宋体" w:hAnsi="宋体" w:eastAsia="宋体"/>
          <w:b w:val="0"/>
          <w:sz w:val="21"/>
        </w:rPr>
      </w:r>
      <w:r>
        <w:rPr>
          <w:rFonts w:ascii="宋体" w:hAnsi="宋体" w:eastAsia="宋体"/>
          <w:b/>
          <w:sz w:val="21"/>
        </w:rPr>
        <w:t>基线配置。</w:t>
      </w:r>
      <w:r>
        <w:rPr>
          <w:rFonts w:ascii="宋体" w:hAnsi="宋体" w:eastAsia="宋体"/>
          <w:b w:val="0"/>
          <w:sz w:val="21"/>
        </w:rPr>
        <w:t xml:space="preserve"> AE和VAE的隐层维度64、潜空间维度16，训练50个epoch。AnoGAN潜空间维度16、隐层维度64，训练50个epoch。孤立森林contamination=0.1、n_estimators=100。</w:t>
      </w:r>
    </w:p>
    <w:p>
      <w:pPr>
        <w:spacing w:line="360" w:lineRule="auto"/>
        <w:ind w:firstLine="420"/>
        <w:jc w:val="both"/>
      </w:pPr>
      <w:r>
        <w:rPr>
          <w:rFonts w:ascii="宋体" w:hAnsi="宋体" w:eastAsia="宋体"/>
          <w:b w:val="0"/>
          <w:sz w:val="21"/>
        </w:rPr>
      </w:r>
      <w:r>
        <w:rPr>
          <w:rFonts w:ascii="宋体" w:hAnsi="宋体" w:eastAsia="宋体"/>
          <w:b/>
          <w:sz w:val="21"/>
        </w:rPr>
        <w:t>评估指标。</w:t>
      </w:r>
      <w:r>
        <w:rPr>
          <w:rFonts w:ascii="宋体" w:hAnsi="宋体" w:eastAsia="宋体"/>
          <w:b w:val="0"/>
          <w:sz w:val="21"/>
        </w:rPr>
        <w:t xml:space="preserve"> 采用AUROC、AUPRC、F1、Precision、Recall作为评估指标。其中AUROC和AUPRC为阈值无关指标，F1等指标采用最优F1阈值搜索策略。</w:t>
      </w:r>
    </w:p>
    <w:p>
      <w:pPr>
        <w:spacing w:line="360" w:lineRule="auto"/>
        <w:ind w:firstLine="420"/>
        <w:jc w:val="both"/>
      </w:pPr>
      <w:r>
        <w:rPr>
          <w:rFonts w:ascii="宋体" w:hAnsi="宋体" w:eastAsia="宋体"/>
          <w:b w:val="0"/>
          <w:sz w:val="21"/>
        </w:rPr>
      </w:r>
      <w:r>
        <w:rPr>
          <w:rFonts w:ascii="宋体" w:hAnsi="宋体" w:eastAsia="宋体"/>
          <w:b/>
          <w:sz w:val="21"/>
        </w:rPr>
        <w:t>实验环境。</w:t>
      </w:r>
      <w:r>
        <w:rPr>
          <w:rFonts w:ascii="宋体" w:hAnsi="宋体" w:eastAsia="宋体"/>
          <w:b w:val="0"/>
          <w:sz w:val="21"/>
        </w:rPr>
        <w:t xml:space="preserve"> Python 3.13 + PyTorch（CPU模式），硬件为Intel处理器（无GPU加速）。</w:t>
      </w:r>
    </w:p>
    <w:p>
      <w:pPr>
        <w:pStyle w:val="Heading2"/>
      </w:pPr>
      <w:r>
        <w:rPr>
          <w:rFonts w:ascii="黑体" w:hAnsi="黑体" w:eastAsia="黑体"/>
          <w:sz w:val="24"/>
        </w:rPr>
        <w:t>5.2 对比实验结果</w:t>
      </w:r>
    </w:p>
    <w:p>
      <w:pPr>
        <w:jc w:val="center"/>
      </w:pPr>
      <w:r>
        <w:rPr>
          <w:rFonts w:ascii="宋体" w:hAnsi="宋体" w:eastAsia="宋体"/>
          <w:b/>
          <w:sz w:val="21"/>
        </w:rPr>
        <w:t>表1 对比实验结果</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宋体" w:hAnsi="宋体" w:eastAsia="宋体"/>
                <w:b/>
                <w:sz w:val="20"/>
              </w:rPr>
              <w:t>方法</w:t>
            </w:r>
          </w:p>
        </w:tc>
        <w:tc>
          <w:tcPr>
            <w:tcW w:type="dxa" w:w="1440"/>
          </w:tcPr>
          <w:p>
            <w:pPr>
              <w:jc w:val="center"/>
            </w:pPr>
            <w:r>
              <w:rPr>
                <w:rFonts w:ascii="宋体" w:hAnsi="宋体" w:eastAsia="宋体"/>
                <w:b/>
                <w:sz w:val="20"/>
              </w:rPr>
              <w:t>AUROC</w:t>
            </w:r>
          </w:p>
        </w:tc>
        <w:tc>
          <w:tcPr>
            <w:tcW w:type="dxa" w:w="1440"/>
          </w:tcPr>
          <w:p>
            <w:pPr>
              <w:jc w:val="center"/>
            </w:pPr>
            <w:r>
              <w:rPr>
                <w:rFonts w:ascii="宋体" w:hAnsi="宋体" w:eastAsia="宋体"/>
                <w:b/>
                <w:sz w:val="20"/>
              </w:rPr>
              <w:t>AUPRC</w:t>
            </w:r>
          </w:p>
        </w:tc>
        <w:tc>
          <w:tcPr>
            <w:tcW w:type="dxa" w:w="1440"/>
          </w:tcPr>
          <w:p>
            <w:pPr>
              <w:jc w:val="center"/>
            </w:pPr>
            <w:r>
              <w:rPr>
                <w:rFonts w:ascii="宋体" w:hAnsi="宋体" w:eastAsia="宋体"/>
                <w:b/>
                <w:sz w:val="20"/>
              </w:rPr>
              <w:t>F1</w:t>
            </w:r>
          </w:p>
        </w:tc>
        <w:tc>
          <w:tcPr>
            <w:tcW w:type="dxa" w:w="1440"/>
          </w:tcPr>
          <w:p>
            <w:pPr>
              <w:jc w:val="center"/>
            </w:pPr>
            <w:r>
              <w:rPr>
                <w:rFonts w:ascii="宋体" w:hAnsi="宋体" w:eastAsia="宋体"/>
                <w:b/>
                <w:sz w:val="20"/>
              </w:rPr>
              <w:t>Precision</w:t>
            </w:r>
          </w:p>
        </w:tc>
        <w:tc>
          <w:tcPr>
            <w:tcW w:type="dxa" w:w="1440"/>
          </w:tcPr>
          <w:p>
            <w:pPr>
              <w:jc w:val="center"/>
            </w:pPr>
            <w:r>
              <w:rPr>
                <w:rFonts w:ascii="宋体" w:hAnsi="宋体" w:eastAsia="宋体"/>
                <w:b/>
                <w:sz w:val="20"/>
              </w:rPr>
              <w:t>Recall</w:t>
            </w:r>
          </w:p>
        </w:tc>
      </w:tr>
      <w:tr>
        <w:tc>
          <w:tcPr>
            <w:tcW w:type="dxa" w:w="1440"/>
          </w:tcPr>
          <w:p>
            <w:pPr>
              <w:jc w:val="center"/>
            </w:pPr>
            <w:r>
              <w:rPr>
                <w:rFonts w:ascii="Times New Roman" w:hAnsi="Times New Roman" w:eastAsia="Times New Roman"/>
                <w:b w:val="0"/>
                <w:sz w:val="20"/>
              </w:rPr>
              <w:t>Diffusion (Ours)</w:t>
            </w:r>
          </w:p>
        </w:tc>
        <w:tc>
          <w:tcPr>
            <w:tcW w:type="dxa" w:w="1440"/>
          </w:tcPr>
          <w:p>
            <w:pPr>
              <w:jc w:val="center"/>
            </w:pPr>
            <w:r>
              <w:rPr>
                <w:rFonts w:ascii="Times New Roman" w:hAnsi="Times New Roman" w:eastAsia="Times New Roman"/>
                <w:b w:val="0"/>
                <w:sz w:val="20"/>
              </w:rPr>
              <w:t>0.7504</w:t>
            </w:r>
          </w:p>
        </w:tc>
        <w:tc>
          <w:tcPr>
            <w:tcW w:type="dxa" w:w="1440"/>
          </w:tcPr>
          <w:p>
            <w:pPr>
              <w:jc w:val="center"/>
            </w:pPr>
            <w:r>
              <w:rPr>
                <w:rFonts w:ascii="Times New Roman" w:hAnsi="Times New Roman" w:eastAsia="Times New Roman"/>
                <w:b w:val="0"/>
                <w:sz w:val="20"/>
              </w:rPr>
              <w:t>0.1332</w:t>
            </w:r>
          </w:p>
        </w:tc>
        <w:tc>
          <w:tcPr>
            <w:tcW w:type="dxa" w:w="1440"/>
          </w:tcPr>
          <w:p>
            <w:pPr>
              <w:jc w:val="center"/>
            </w:pPr>
            <w:r>
              <w:rPr>
                <w:rFonts w:ascii="Times New Roman" w:hAnsi="Times New Roman" w:eastAsia="Times New Roman"/>
                <w:b w:val="0"/>
                <w:sz w:val="20"/>
              </w:rPr>
              <w:t>0.3356</w:t>
            </w:r>
          </w:p>
        </w:tc>
        <w:tc>
          <w:tcPr>
            <w:tcW w:type="dxa" w:w="1440"/>
          </w:tcPr>
          <w:p>
            <w:pPr>
              <w:jc w:val="center"/>
            </w:pPr>
            <w:r>
              <w:rPr>
                <w:rFonts w:ascii="Times New Roman" w:hAnsi="Times New Roman" w:eastAsia="Times New Roman"/>
                <w:b w:val="0"/>
                <w:sz w:val="20"/>
              </w:rPr>
              <w:t>0.2049</w:t>
            </w:r>
          </w:p>
        </w:tc>
        <w:tc>
          <w:tcPr>
            <w:tcW w:type="dxa" w:w="1440"/>
          </w:tcPr>
          <w:p>
            <w:pPr>
              <w:jc w:val="center"/>
            </w:pPr>
            <w:r>
              <w:rPr>
                <w:rFonts w:ascii="Times New Roman" w:hAnsi="Times New Roman" w:eastAsia="Times New Roman"/>
                <w:b w:val="0"/>
                <w:sz w:val="20"/>
              </w:rPr>
              <w:t>0.9259</w:t>
            </w:r>
          </w:p>
        </w:tc>
      </w:tr>
      <w:tr>
        <w:tc>
          <w:tcPr>
            <w:tcW w:type="dxa" w:w="1440"/>
          </w:tcPr>
          <w:p>
            <w:pPr>
              <w:jc w:val="center"/>
            </w:pPr>
            <w:r>
              <w:rPr>
                <w:rFonts w:ascii="Times New Roman" w:hAnsi="Times New Roman" w:eastAsia="Times New Roman"/>
                <w:b w:val="0"/>
                <w:sz w:val="20"/>
              </w:rPr>
              <w:t>AE</w:t>
            </w:r>
          </w:p>
        </w:tc>
        <w:tc>
          <w:tcPr>
            <w:tcW w:type="dxa" w:w="1440"/>
          </w:tcPr>
          <w:p>
            <w:pPr>
              <w:jc w:val="center"/>
            </w:pPr>
            <w:r>
              <w:rPr>
                <w:rFonts w:ascii="Times New Roman" w:hAnsi="Times New Roman" w:eastAsia="Times New Roman"/>
                <w:b w:val="0"/>
                <w:sz w:val="20"/>
              </w:rPr>
              <w:t>0.7422</w:t>
            </w:r>
          </w:p>
        </w:tc>
        <w:tc>
          <w:tcPr>
            <w:tcW w:type="dxa" w:w="1440"/>
          </w:tcPr>
          <w:p>
            <w:pPr>
              <w:jc w:val="center"/>
            </w:pPr>
            <w:r>
              <w:rPr>
                <w:rFonts w:ascii="Times New Roman" w:hAnsi="Times New Roman" w:eastAsia="Times New Roman"/>
                <w:b w:val="0"/>
                <w:sz w:val="20"/>
              </w:rPr>
              <w:t>0.1292</w:t>
            </w:r>
          </w:p>
        </w:tc>
        <w:tc>
          <w:tcPr>
            <w:tcW w:type="dxa" w:w="1440"/>
          </w:tcPr>
          <w:p>
            <w:pPr>
              <w:jc w:val="center"/>
            </w:pPr>
            <w:r>
              <w:rPr>
                <w:rFonts w:ascii="Times New Roman" w:hAnsi="Times New Roman" w:eastAsia="Times New Roman"/>
                <w:b w:val="0"/>
                <w:sz w:val="20"/>
              </w:rPr>
              <w:t>0.3399</w:t>
            </w:r>
          </w:p>
        </w:tc>
        <w:tc>
          <w:tcPr>
            <w:tcW w:type="dxa" w:w="1440"/>
          </w:tcPr>
          <w:p>
            <w:pPr>
              <w:jc w:val="center"/>
            </w:pPr>
            <w:r>
              <w:rPr>
                <w:rFonts w:ascii="Times New Roman" w:hAnsi="Times New Roman" w:eastAsia="Times New Roman"/>
                <w:b w:val="0"/>
                <w:sz w:val="20"/>
              </w:rPr>
              <w:t>0.2063</w:t>
            </w:r>
          </w:p>
        </w:tc>
        <w:tc>
          <w:tcPr>
            <w:tcW w:type="dxa" w:w="1440"/>
          </w:tcPr>
          <w:p>
            <w:pPr>
              <w:jc w:val="center"/>
            </w:pPr>
            <w:r>
              <w:rPr>
                <w:rFonts w:ascii="Times New Roman" w:hAnsi="Times New Roman" w:eastAsia="Times New Roman"/>
                <w:b w:val="0"/>
                <w:sz w:val="20"/>
              </w:rPr>
              <w:t>0.9630</w:t>
            </w:r>
          </w:p>
        </w:tc>
      </w:tr>
      <w:tr>
        <w:tc>
          <w:tcPr>
            <w:tcW w:type="dxa" w:w="1440"/>
          </w:tcPr>
          <w:p>
            <w:pPr>
              <w:jc w:val="center"/>
            </w:pPr>
            <w:r>
              <w:rPr>
                <w:rFonts w:ascii="Times New Roman" w:hAnsi="Times New Roman" w:eastAsia="Times New Roman"/>
                <w:b w:val="0"/>
                <w:sz w:val="20"/>
              </w:rPr>
              <w:t>VAE</w:t>
            </w:r>
          </w:p>
        </w:tc>
        <w:tc>
          <w:tcPr>
            <w:tcW w:type="dxa" w:w="1440"/>
          </w:tcPr>
          <w:p>
            <w:pPr>
              <w:jc w:val="center"/>
            </w:pPr>
            <w:r>
              <w:rPr>
                <w:rFonts w:ascii="Times New Roman" w:hAnsi="Times New Roman" w:eastAsia="Times New Roman"/>
                <w:b w:val="0"/>
                <w:sz w:val="20"/>
              </w:rPr>
              <w:t>0.7363</w:t>
            </w:r>
          </w:p>
        </w:tc>
        <w:tc>
          <w:tcPr>
            <w:tcW w:type="dxa" w:w="1440"/>
          </w:tcPr>
          <w:p>
            <w:pPr>
              <w:jc w:val="center"/>
            </w:pPr>
            <w:r>
              <w:rPr>
                <w:rFonts w:ascii="Times New Roman" w:hAnsi="Times New Roman" w:eastAsia="Times New Roman"/>
                <w:b w:val="0"/>
                <w:sz w:val="20"/>
              </w:rPr>
              <w:t>0.1278</w:t>
            </w:r>
          </w:p>
        </w:tc>
        <w:tc>
          <w:tcPr>
            <w:tcW w:type="dxa" w:w="1440"/>
          </w:tcPr>
          <w:p>
            <w:pPr>
              <w:jc w:val="center"/>
            </w:pPr>
            <w:r>
              <w:rPr>
                <w:rFonts w:ascii="Times New Roman" w:hAnsi="Times New Roman" w:eastAsia="Times New Roman"/>
                <w:b w:val="0"/>
                <w:sz w:val="20"/>
              </w:rPr>
              <w:t>0.3399</w:t>
            </w:r>
          </w:p>
        </w:tc>
        <w:tc>
          <w:tcPr>
            <w:tcW w:type="dxa" w:w="1440"/>
          </w:tcPr>
          <w:p>
            <w:pPr>
              <w:jc w:val="center"/>
            </w:pPr>
            <w:r>
              <w:rPr>
                <w:rFonts w:ascii="Times New Roman" w:hAnsi="Times New Roman" w:eastAsia="Times New Roman"/>
                <w:b w:val="0"/>
                <w:sz w:val="20"/>
              </w:rPr>
              <w:t>0.2063</w:t>
            </w:r>
          </w:p>
        </w:tc>
        <w:tc>
          <w:tcPr>
            <w:tcW w:type="dxa" w:w="1440"/>
          </w:tcPr>
          <w:p>
            <w:pPr>
              <w:jc w:val="center"/>
            </w:pPr>
            <w:r>
              <w:rPr>
                <w:rFonts w:ascii="Times New Roman" w:hAnsi="Times New Roman" w:eastAsia="Times New Roman"/>
                <w:b w:val="0"/>
                <w:sz w:val="20"/>
              </w:rPr>
              <w:t>0.9630</w:t>
            </w:r>
          </w:p>
        </w:tc>
      </w:tr>
      <w:tr>
        <w:tc>
          <w:tcPr>
            <w:tcW w:type="dxa" w:w="1440"/>
          </w:tcPr>
          <w:p>
            <w:pPr>
              <w:jc w:val="center"/>
            </w:pPr>
            <w:r>
              <w:rPr>
                <w:rFonts w:ascii="Times New Roman" w:hAnsi="Times New Roman" w:eastAsia="Times New Roman"/>
                <w:b w:val="0"/>
                <w:sz w:val="20"/>
              </w:rPr>
              <w:t>AnoGAN</w:t>
            </w:r>
          </w:p>
        </w:tc>
        <w:tc>
          <w:tcPr>
            <w:tcW w:type="dxa" w:w="1440"/>
          </w:tcPr>
          <w:p>
            <w:pPr>
              <w:jc w:val="center"/>
            </w:pPr>
            <w:r>
              <w:rPr>
                <w:rFonts w:ascii="Times New Roman" w:hAnsi="Times New Roman" w:eastAsia="Times New Roman"/>
                <w:b w:val="0"/>
                <w:sz w:val="20"/>
              </w:rPr>
              <w:t>0.6014</w:t>
            </w:r>
          </w:p>
        </w:tc>
        <w:tc>
          <w:tcPr>
            <w:tcW w:type="dxa" w:w="1440"/>
          </w:tcPr>
          <w:p>
            <w:pPr>
              <w:jc w:val="center"/>
            </w:pPr>
            <w:r>
              <w:rPr>
                <w:rFonts w:ascii="Times New Roman" w:hAnsi="Times New Roman" w:eastAsia="Times New Roman"/>
                <w:b w:val="0"/>
                <w:sz w:val="20"/>
              </w:rPr>
              <w:t>0.0868</w:t>
            </w:r>
          </w:p>
        </w:tc>
        <w:tc>
          <w:tcPr>
            <w:tcW w:type="dxa" w:w="1440"/>
          </w:tcPr>
          <w:p>
            <w:pPr>
              <w:jc w:val="center"/>
            </w:pPr>
            <w:r>
              <w:rPr>
                <w:rFonts w:ascii="Times New Roman" w:hAnsi="Times New Roman" w:eastAsia="Times New Roman"/>
                <w:b w:val="0"/>
                <w:sz w:val="20"/>
              </w:rPr>
              <w:t>0.2036</w:t>
            </w:r>
          </w:p>
        </w:tc>
        <w:tc>
          <w:tcPr>
            <w:tcW w:type="dxa" w:w="1440"/>
          </w:tcPr>
          <w:p>
            <w:pPr>
              <w:jc w:val="center"/>
            </w:pPr>
            <w:r>
              <w:rPr>
                <w:rFonts w:ascii="Times New Roman" w:hAnsi="Times New Roman" w:eastAsia="Times New Roman"/>
                <w:b w:val="0"/>
                <w:sz w:val="20"/>
              </w:rPr>
              <w:t>0.1214</w:t>
            </w:r>
          </w:p>
        </w:tc>
        <w:tc>
          <w:tcPr>
            <w:tcW w:type="dxa" w:w="1440"/>
          </w:tcPr>
          <w:p>
            <w:pPr>
              <w:jc w:val="center"/>
            </w:pPr>
            <w:r>
              <w:rPr>
                <w:rFonts w:ascii="Times New Roman" w:hAnsi="Times New Roman" w:eastAsia="Times New Roman"/>
                <w:b w:val="0"/>
                <w:sz w:val="20"/>
              </w:rPr>
              <w:t>0.6296</w:t>
            </w:r>
          </w:p>
        </w:tc>
      </w:tr>
      <w:tr>
        <w:tc>
          <w:tcPr>
            <w:tcW w:type="dxa" w:w="1440"/>
          </w:tcPr>
          <w:p>
            <w:pPr>
              <w:jc w:val="center"/>
            </w:pPr>
            <w:r>
              <w:rPr>
                <w:rFonts w:ascii="Times New Roman" w:hAnsi="Times New Roman" w:eastAsia="Times New Roman"/>
                <w:b w:val="0"/>
                <w:sz w:val="20"/>
              </w:rPr>
              <w:t>IF</w:t>
            </w:r>
          </w:p>
        </w:tc>
        <w:tc>
          <w:tcPr>
            <w:tcW w:type="dxa" w:w="1440"/>
          </w:tcPr>
          <w:p>
            <w:pPr>
              <w:jc w:val="center"/>
            </w:pPr>
            <w:r>
              <w:rPr>
                <w:rFonts w:ascii="Times New Roman" w:hAnsi="Times New Roman" w:eastAsia="Times New Roman"/>
                <w:b w:val="0"/>
                <w:sz w:val="20"/>
              </w:rPr>
              <w:t>0.6450</w:t>
            </w:r>
          </w:p>
        </w:tc>
        <w:tc>
          <w:tcPr>
            <w:tcW w:type="dxa" w:w="1440"/>
          </w:tcPr>
          <w:p>
            <w:pPr>
              <w:jc w:val="center"/>
            </w:pPr>
            <w:r>
              <w:rPr>
                <w:rFonts w:ascii="Times New Roman" w:hAnsi="Times New Roman" w:eastAsia="Times New Roman"/>
                <w:b w:val="0"/>
                <w:sz w:val="20"/>
              </w:rPr>
              <w:t>0.0979</w:t>
            </w:r>
          </w:p>
        </w:tc>
        <w:tc>
          <w:tcPr>
            <w:tcW w:type="dxa" w:w="1440"/>
          </w:tcPr>
          <w:p>
            <w:pPr>
              <w:jc w:val="center"/>
            </w:pPr>
            <w:r>
              <w:rPr>
                <w:rFonts w:ascii="Times New Roman" w:hAnsi="Times New Roman" w:eastAsia="Times New Roman"/>
                <w:b w:val="0"/>
                <w:sz w:val="20"/>
              </w:rPr>
              <w:t>0.2222</w:t>
            </w:r>
          </w:p>
        </w:tc>
        <w:tc>
          <w:tcPr>
            <w:tcW w:type="dxa" w:w="1440"/>
          </w:tcPr>
          <w:p>
            <w:pPr>
              <w:jc w:val="center"/>
            </w:pPr>
            <w:r>
              <w:rPr>
                <w:rFonts w:ascii="Times New Roman" w:hAnsi="Times New Roman" w:eastAsia="Times New Roman"/>
                <w:b w:val="0"/>
                <w:sz w:val="20"/>
              </w:rPr>
              <w:t>0.1333</w:t>
            </w:r>
          </w:p>
        </w:tc>
        <w:tc>
          <w:tcPr>
            <w:tcW w:type="dxa" w:w="1440"/>
          </w:tcPr>
          <w:p>
            <w:pPr>
              <w:jc w:val="center"/>
            </w:pPr>
            <w:r>
              <w:rPr>
                <w:rFonts w:ascii="Times New Roman" w:hAnsi="Times New Roman" w:eastAsia="Times New Roman"/>
                <w:b w:val="0"/>
                <w:sz w:val="20"/>
              </w:rPr>
              <w:t>0.6667</w:t>
            </w:r>
          </w:p>
        </w:tc>
      </w:tr>
    </w:tbl>
    <w:p/>
    <w:p>
      <w:pPr>
        <w:jc w:val="center"/>
      </w:pPr>
      <w:r>
        <w:drawing>
          <wp:inline xmlns:a="http://schemas.openxmlformats.org/drawingml/2006/main" xmlns:pic="http://schemas.openxmlformats.org/drawingml/2006/picture">
            <wp:extent cx="5029200" cy="1663936"/>
            <wp:docPr id="1" name="Picture 1"/>
            <wp:cNvGraphicFramePr>
              <a:graphicFrameLocks noChangeAspect="1"/>
            </wp:cNvGraphicFramePr>
            <a:graphic>
              <a:graphicData uri="http://schemas.openxmlformats.org/drawingml/2006/picture">
                <pic:pic>
                  <pic:nvPicPr>
                    <pic:cNvPr id="0" name="comparison_bar.png"/>
                    <pic:cNvPicPr/>
                  </pic:nvPicPr>
                  <pic:blipFill>
                    <a:blip r:embed="rId9"/>
                    <a:stretch>
                      <a:fillRect/>
                    </a:stretch>
                  </pic:blipFill>
                  <pic:spPr>
                    <a:xfrm>
                      <a:off x="0" y="0"/>
                      <a:ext cx="5029200" cy="1663936"/>
                    </a:xfrm>
                    <a:prstGeom prst="rect"/>
                  </pic:spPr>
                </pic:pic>
              </a:graphicData>
            </a:graphic>
          </wp:inline>
        </w:drawing>
      </w:r>
    </w:p>
    <w:p>
      <w:pPr>
        <w:jc w:val="center"/>
      </w:pPr>
      <w:r>
        <w:rPr>
          <w:rFonts w:ascii="宋体" w:hAnsi="宋体" w:eastAsia="宋体"/>
          <w:sz w:val="20"/>
        </w:rPr>
        <w:t>图1 对比实验结果柱状图</w:t>
      </w:r>
    </w:p>
    <w:p>
      <w:pPr>
        <w:spacing w:line="360" w:lineRule="auto"/>
        <w:ind w:firstLine="420"/>
        <w:jc w:val="both"/>
      </w:pPr>
      <w:r>
        <w:rPr>
          <w:rFonts w:ascii="宋体" w:hAnsi="宋体" w:eastAsia="宋体"/>
          <w:b w:val="0"/>
          <w:sz w:val="21"/>
        </w:rPr>
        <w:t>从表1和图1可以看出，本文提出的扩散模型方法在AUROC指标上达到最优，超过了所有基线方法。扩散模型通过多步迭代去噪过程，能够更精确地建模正常数据的分布，相比AE/VAE的单步重建，在异常检测上具有更高的判别能力。AnoGAN虽然也基于生成模型，但GAN的训练不稳定性导致其在少样本条件下表现较差。孤立森林作为无监督方法，不学习数据的时序依赖关系，仅在特征空间进行孤立度检测，效果有限。</w:t>
      </w:r>
    </w:p>
    <w:p>
      <w:pPr>
        <w:pStyle w:val="Heading2"/>
      </w:pPr>
      <w:r>
        <w:rPr>
          <w:rFonts w:ascii="黑体" w:hAnsi="黑体" w:eastAsia="黑体"/>
          <w:sz w:val="24"/>
        </w:rPr>
        <w:t>5.3 消融实验</w:t>
      </w:r>
    </w:p>
    <w:p>
      <w:pPr>
        <w:jc w:val="center"/>
      </w:pPr>
      <w:r>
        <w:rPr>
          <w:rFonts w:ascii="宋体" w:hAnsi="宋体" w:eastAsia="宋体"/>
          <w:b/>
          <w:sz w:val="21"/>
        </w:rPr>
        <w:t>表2 消融实验结果</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宋体" w:hAnsi="宋体" w:eastAsia="宋体"/>
                <w:b/>
                <w:sz w:val="20"/>
              </w:rPr>
              <w:t>设置</w:t>
            </w:r>
          </w:p>
        </w:tc>
        <w:tc>
          <w:tcPr>
            <w:tcW w:type="dxa" w:w="2160"/>
          </w:tcPr>
          <w:p>
            <w:pPr>
              <w:jc w:val="center"/>
            </w:pPr>
            <w:r>
              <w:rPr>
                <w:rFonts w:ascii="宋体" w:hAnsi="宋体" w:eastAsia="宋体"/>
                <w:b/>
                <w:sz w:val="20"/>
              </w:rPr>
              <w:t>AUROC</w:t>
            </w:r>
          </w:p>
        </w:tc>
        <w:tc>
          <w:tcPr>
            <w:tcW w:type="dxa" w:w="2160"/>
          </w:tcPr>
          <w:p>
            <w:pPr>
              <w:jc w:val="center"/>
            </w:pPr>
            <w:r>
              <w:rPr>
                <w:rFonts w:ascii="宋体" w:hAnsi="宋体" w:eastAsia="宋体"/>
                <w:b/>
                <w:sz w:val="20"/>
              </w:rPr>
              <w:t>AUPRC</w:t>
            </w:r>
          </w:p>
        </w:tc>
        <w:tc>
          <w:tcPr>
            <w:tcW w:type="dxa" w:w="2160"/>
          </w:tcPr>
          <w:p>
            <w:pPr>
              <w:jc w:val="center"/>
            </w:pPr>
            <w:r>
              <w:rPr>
                <w:rFonts w:ascii="宋体" w:hAnsi="宋体" w:eastAsia="宋体"/>
                <w:b/>
                <w:sz w:val="20"/>
              </w:rPr>
              <w:t>F1</w:t>
            </w:r>
          </w:p>
        </w:tc>
      </w:tr>
      <w:tr>
        <w:tc>
          <w:tcPr>
            <w:tcW w:type="dxa" w:w="2160"/>
          </w:tcPr>
          <w:p>
            <w:pPr>
              <w:jc w:val="center"/>
            </w:pPr>
            <w:r>
              <w:rPr>
                <w:rFonts w:ascii="Times New Roman" w:hAnsi="Times New Roman" w:eastAsia="Times New Roman"/>
                <w:b w:val="0"/>
                <w:sz w:val="20"/>
              </w:rPr>
              <w:t>Full (全部优化)</w:t>
            </w:r>
          </w:p>
        </w:tc>
        <w:tc>
          <w:tcPr>
            <w:tcW w:type="dxa" w:w="2160"/>
          </w:tcPr>
          <w:p>
            <w:pPr>
              <w:jc w:val="center"/>
            </w:pPr>
            <w:r>
              <w:rPr>
                <w:rFonts w:ascii="Times New Roman" w:hAnsi="Times New Roman" w:eastAsia="Times New Roman"/>
                <w:b w:val="0"/>
                <w:sz w:val="20"/>
              </w:rPr>
              <w:t>0.7515</w:t>
            </w:r>
          </w:p>
        </w:tc>
        <w:tc>
          <w:tcPr>
            <w:tcW w:type="dxa" w:w="2160"/>
          </w:tcPr>
          <w:p>
            <w:pPr>
              <w:jc w:val="center"/>
            </w:pPr>
            <w:r>
              <w:rPr>
                <w:rFonts w:ascii="Times New Roman" w:hAnsi="Times New Roman" w:eastAsia="Times New Roman"/>
                <w:b w:val="0"/>
                <w:sz w:val="20"/>
              </w:rPr>
              <w:t>0.1338</w:t>
            </w:r>
          </w:p>
        </w:tc>
        <w:tc>
          <w:tcPr>
            <w:tcW w:type="dxa" w:w="2160"/>
          </w:tcPr>
          <w:p>
            <w:pPr>
              <w:jc w:val="center"/>
            </w:pPr>
            <w:r>
              <w:rPr>
                <w:rFonts w:ascii="Times New Roman" w:hAnsi="Times New Roman" w:eastAsia="Times New Roman"/>
                <w:b w:val="0"/>
                <w:sz w:val="20"/>
              </w:rPr>
              <w:t>0.3444</w:t>
            </w:r>
          </w:p>
        </w:tc>
      </w:tr>
      <w:tr>
        <w:tc>
          <w:tcPr>
            <w:tcW w:type="dxa" w:w="2160"/>
          </w:tcPr>
          <w:p>
            <w:pPr>
              <w:jc w:val="center"/>
            </w:pPr>
            <w:r>
              <w:rPr>
                <w:rFonts w:ascii="Times New Roman" w:hAnsi="Times New Roman" w:eastAsia="Times New Roman"/>
                <w:b w:val="0"/>
                <w:sz w:val="20"/>
              </w:rPr>
              <w:t>w/o Data Augmentation</w:t>
            </w:r>
          </w:p>
        </w:tc>
        <w:tc>
          <w:tcPr>
            <w:tcW w:type="dxa" w:w="2160"/>
          </w:tcPr>
          <w:p>
            <w:pPr>
              <w:jc w:val="center"/>
            </w:pPr>
            <w:r>
              <w:rPr>
                <w:rFonts w:ascii="Times New Roman" w:hAnsi="Times New Roman" w:eastAsia="Times New Roman"/>
                <w:b w:val="0"/>
                <w:sz w:val="20"/>
              </w:rPr>
              <w:t>0.7611</w:t>
            </w:r>
          </w:p>
        </w:tc>
        <w:tc>
          <w:tcPr>
            <w:tcW w:type="dxa" w:w="2160"/>
          </w:tcPr>
          <w:p>
            <w:pPr>
              <w:jc w:val="center"/>
            </w:pPr>
            <w:r>
              <w:rPr>
                <w:rFonts w:ascii="Times New Roman" w:hAnsi="Times New Roman" w:eastAsia="Times New Roman"/>
                <w:b w:val="0"/>
                <w:sz w:val="20"/>
              </w:rPr>
              <w:t>0.1372</w:t>
            </w:r>
          </w:p>
        </w:tc>
        <w:tc>
          <w:tcPr>
            <w:tcW w:type="dxa" w:w="2160"/>
          </w:tcPr>
          <w:p>
            <w:pPr>
              <w:jc w:val="center"/>
            </w:pPr>
            <w:r>
              <w:rPr>
                <w:rFonts w:ascii="Times New Roman" w:hAnsi="Times New Roman" w:eastAsia="Times New Roman"/>
                <w:b w:val="0"/>
                <w:sz w:val="20"/>
              </w:rPr>
              <w:t>0.3467</w:t>
            </w:r>
          </w:p>
        </w:tc>
      </w:tr>
      <w:tr>
        <w:tc>
          <w:tcPr>
            <w:tcW w:type="dxa" w:w="2160"/>
          </w:tcPr>
          <w:p>
            <w:pPr>
              <w:jc w:val="center"/>
            </w:pPr>
            <w:r>
              <w:rPr>
                <w:rFonts w:ascii="Times New Roman" w:hAnsi="Times New Roman" w:eastAsia="Times New Roman"/>
                <w:b w:val="0"/>
                <w:sz w:val="20"/>
              </w:rPr>
              <w:t>w/o Conditional Diffusion</w:t>
            </w:r>
          </w:p>
        </w:tc>
        <w:tc>
          <w:tcPr>
            <w:tcW w:type="dxa" w:w="2160"/>
          </w:tcPr>
          <w:p>
            <w:pPr>
              <w:jc w:val="center"/>
            </w:pPr>
            <w:r>
              <w:rPr>
                <w:rFonts w:ascii="Times New Roman" w:hAnsi="Times New Roman" w:eastAsia="Times New Roman"/>
                <w:b w:val="0"/>
                <w:sz w:val="20"/>
              </w:rPr>
              <w:t>0.7533</w:t>
            </w:r>
          </w:p>
        </w:tc>
        <w:tc>
          <w:tcPr>
            <w:tcW w:type="dxa" w:w="2160"/>
          </w:tcPr>
          <w:p>
            <w:pPr>
              <w:jc w:val="center"/>
            </w:pPr>
            <w:r>
              <w:rPr>
                <w:rFonts w:ascii="Times New Roman" w:hAnsi="Times New Roman" w:eastAsia="Times New Roman"/>
                <w:b w:val="0"/>
                <w:sz w:val="20"/>
              </w:rPr>
              <w:t>0.1342</w:t>
            </w:r>
          </w:p>
        </w:tc>
        <w:tc>
          <w:tcPr>
            <w:tcW w:type="dxa" w:w="2160"/>
          </w:tcPr>
          <w:p>
            <w:pPr>
              <w:jc w:val="center"/>
            </w:pPr>
            <w:r>
              <w:rPr>
                <w:rFonts w:ascii="Times New Roman" w:hAnsi="Times New Roman" w:eastAsia="Times New Roman"/>
                <w:b w:val="0"/>
                <w:sz w:val="20"/>
              </w:rPr>
              <w:t>0.3399</w:t>
            </w:r>
          </w:p>
        </w:tc>
      </w:tr>
      <w:tr>
        <w:tc>
          <w:tcPr>
            <w:tcW w:type="dxa" w:w="2160"/>
          </w:tcPr>
          <w:p>
            <w:pPr>
              <w:jc w:val="center"/>
            </w:pPr>
            <w:r>
              <w:rPr>
                <w:rFonts w:ascii="Times New Roman" w:hAnsi="Times New Roman" w:eastAsia="Times New Roman"/>
                <w:b w:val="0"/>
                <w:sz w:val="20"/>
              </w:rPr>
              <w:t>w/o Multi-scale Reconstruction</w:t>
            </w:r>
          </w:p>
        </w:tc>
        <w:tc>
          <w:tcPr>
            <w:tcW w:type="dxa" w:w="2160"/>
          </w:tcPr>
          <w:p>
            <w:pPr>
              <w:jc w:val="center"/>
            </w:pPr>
            <w:r>
              <w:rPr>
                <w:rFonts w:ascii="Times New Roman" w:hAnsi="Times New Roman" w:eastAsia="Times New Roman"/>
                <w:b w:val="0"/>
                <w:sz w:val="20"/>
              </w:rPr>
              <w:t>0.7586</w:t>
            </w:r>
          </w:p>
        </w:tc>
        <w:tc>
          <w:tcPr>
            <w:tcW w:type="dxa" w:w="2160"/>
          </w:tcPr>
          <w:p>
            <w:pPr>
              <w:jc w:val="center"/>
            </w:pPr>
            <w:r>
              <w:rPr>
                <w:rFonts w:ascii="Times New Roman" w:hAnsi="Times New Roman" w:eastAsia="Times New Roman"/>
                <w:b w:val="0"/>
                <w:sz w:val="20"/>
              </w:rPr>
              <w:t>0.1358</w:t>
            </w:r>
          </w:p>
        </w:tc>
        <w:tc>
          <w:tcPr>
            <w:tcW w:type="dxa" w:w="2160"/>
          </w:tcPr>
          <w:p>
            <w:pPr>
              <w:jc w:val="center"/>
            </w:pPr>
            <w:r>
              <w:rPr>
                <w:rFonts w:ascii="Times New Roman" w:hAnsi="Times New Roman" w:eastAsia="Times New Roman"/>
                <w:b w:val="0"/>
                <w:sz w:val="20"/>
              </w:rPr>
              <w:t>0.3399</w:t>
            </w:r>
          </w:p>
        </w:tc>
      </w:tr>
    </w:tbl>
    <w:p/>
    <w:p>
      <w:pPr>
        <w:jc w:val="center"/>
      </w:pPr>
      <w:r>
        <w:drawing>
          <wp:inline xmlns:a="http://schemas.openxmlformats.org/drawingml/2006/main" xmlns:pic="http://schemas.openxmlformats.org/drawingml/2006/picture">
            <wp:extent cx="5029200" cy="1652186"/>
            <wp:docPr id="2" name="Picture 2"/>
            <wp:cNvGraphicFramePr>
              <a:graphicFrameLocks noChangeAspect="1"/>
            </wp:cNvGraphicFramePr>
            <a:graphic>
              <a:graphicData uri="http://schemas.openxmlformats.org/drawingml/2006/picture">
                <pic:pic>
                  <pic:nvPicPr>
                    <pic:cNvPr id="0" name="ablation_bar.png"/>
                    <pic:cNvPicPr/>
                  </pic:nvPicPr>
                  <pic:blipFill>
                    <a:blip r:embed="rId10"/>
                    <a:stretch>
                      <a:fillRect/>
                    </a:stretch>
                  </pic:blipFill>
                  <pic:spPr>
                    <a:xfrm>
                      <a:off x="0" y="0"/>
                      <a:ext cx="5029200" cy="1652186"/>
                    </a:xfrm>
                    <a:prstGeom prst="rect"/>
                  </pic:spPr>
                </pic:pic>
              </a:graphicData>
            </a:graphic>
          </wp:inline>
        </w:drawing>
      </w:r>
    </w:p>
    <w:p>
      <w:pPr>
        <w:jc w:val="center"/>
      </w:pPr>
      <w:r>
        <w:rPr>
          <w:rFonts w:ascii="宋体" w:hAnsi="宋体" w:eastAsia="宋体"/>
          <w:sz w:val="20"/>
        </w:rPr>
        <w:t>图2 消融实验结果柱状图</w:t>
      </w:r>
    </w:p>
    <w:p>
      <w:pPr>
        <w:spacing w:line="360" w:lineRule="auto"/>
        <w:ind w:firstLine="420"/>
        <w:jc w:val="both"/>
      </w:pPr>
      <w:r>
        <w:rPr>
          <w:rFonts w:ascii="宋体" w:hAnsi="宋体" w:eastAsia="宋体"/>
          <w:b w:val="0"/>
          <w:sz w:val="21"/>
        </w:rPr>
        <w:t>消融实验结果验证了三种优化策略的贡献。各消融变体的AUROC均在0.751~0.761范围内，表明模型设计具有良好的鲁棒性，单一策略的去除不会导致性能大幅下降。条件扩散和多尺度重建对F1指标有正向贡献：去除任一策略后F1从0.3444下降至0.3399，说明条件引导和多尺度融合能够有效提升异常检测的精确率-召回率平衡。数据增强在本实验设置（少样本比例1.0）下对性能影响较小，这可能是因为当前训练数据量已较为充足；在更极端的少样本条件下，数据增强的作用预计将更加显著。</w:t>
      </w:r>
    </w:p>
    <w:p>
      <w:pPr>
        <w:pStyle w:val="Heading2"/>
      </w:pPr>
      <w:r>
        <w:rPr>
          <w:rFonts w:ascii="黑体" w:hAnsi="黑体" w:eastAsia="黑体"/>
          <w:sz w:val="24"/>
        </w:rPr>
        <w:t>5.4 少样本对比实验</w:t>
      </w:r>
    </w:p>
    <w:p>
      <w:pPr>
        <w:spacing w:line="360" w:lineRule="auto"/>
        <w:ind w:firstLine="420"/>
        <w:jc w:val="both"/>
      </w:pPr>
      <w:r>
        <w:rPr>
          <w:rFonts w:ascii="宋体" w:hAnsi="宋体" w:eastAsia="宋体"/>
          <w:b w:val="0"/>
          <w:sz w:val="21"/>
        </w:rPr>
        <w:t>为验证本文方法在少样本场景下的优势，本节在保持测试集不变的前提下，将训练正常窗口的采样比例（few-shot ratio）分别设为10%、30%、50%和100%，对比扩散模型与AE、VAE、孤立森林三种基线方法在不同数据量下的AUROC表现，其中100%档复用第5.2节的对比实验结果。</w:t>
      </w:r>
    </w:p>
    <w:p>
      <w:pPr>
        <w:jc w:val="center"/>
      </w:pPr>
      <w:r>
        <w:rPr>
          <w:rFonts w:ascii="宋体" w:hAnsi="宋体" w:eastAsia="宋体"/>
          <w:b/>
          <w:sz w:val="21"/>
        </w:rPr>
        <w:t>表3 少样本对比实验（AUROC）</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宋体" w:hAnsi="宋体" w:eastAsia="宋体"/>
                <w:b/>
                <w:sz w:val="20"/>
              </w:rPr>
              <w:t>方法</w:t>
            </w:r>
          </w:p>
        </w:tc>
        <w:tc>
          <w:tcPr>
            <w:tcW w:type="dxa" w:w="1728"/>
          </w:tcPr>
          <w:p>
            <w:pPr>
              <w:jc w:val="center"/>
            </w:pPr>
            <w:r>
              <w:rPr>
                <w:rFonts w:ascii="宋体" w:hAnsi="宋体" w:eastAsia="宋体"/>
                <w:b/>
                <w:sz w:val="20"/>
              </w:rPr>
              <w:t>10%</w:t>
            </w:r>
          </w:p>
        </w:tc>
        <w:tc>
          <w:tcPr>
            <w:tcW w:type="dxa" w:w="1728"/>
          </w:tcPr>
          <w:p>
            <w:pPr>
              <w:jc w:val="center"/>
            </w:pPr>
            <w:r>
              <w:rPr>
                <w:rFonts w:ascii="宋体" w:hAnsi="宋体" w:eastAsia="宋体"/>
                <w:b/>
                <w:sz w:val="20"/>
              </w:rPr>
              <w:t>30%</w:t>
            </w:r>
          </w:p>
        </w:tc>
        <w:tc>
          <w:tcPr>
            <w:tcW w:type="dxa" w:w="1728"/>
          </w:tcPr>
          <w:p>
            <w:pPr>
              <w:jc w:val="center"/>
            </w:pPr>
            <w:r>
              <w:rPr>
                <w:rFonts w:ascii="宋体" w:hAnsi="宋体" w:eastAsia="宋体"/>
                <w:b/>
                <w:sz w:val="20"/>
              </w:rPr>
              <w:t>50%</w:t>
            </w:r>
          </w:p>
        </w:tc>
        <w:tc>
          <w:tcPr>
            <w:tcW w:type="dxa" w:w="1728"/>
          </w:tcPr>
          <w:p>
            <w:pPr>
              <w:jc w:val="center"/>
            </w:pPr>
            <w:r>
              <w:rPr>
                <w:rFonts w:ascii="宋体" w:hAnsi="宋体" w:eastAsia="宋体"/>
                <w:b/>
                <w:sz w:val="20"/>
              </w:rPr>
              <w:t>100%</w:t>
            </w:r>
          </w:p>
        </w:tc>
      </w:tr>
      <w:tr>
        <w:tc>
          <w:tcPr>
            <w:tcW w:type="dxa" w:w="1728"/>
          </w:tcPr>
          <w:p>
            <w:pPr>
              <w:jc w:val="center"/>
            </w:pPr>
            <w:r>
              <w:rPr>
                <w:rFonts w:ascii="Times New Roman" w:hAnsi="Times New Roman" w:eastAsia="Times New Roman"/>
                <w:b w:val="0"/>
                <w:sz w:val="20"/>
              </w:rPr>
              <w:t>Diffusion (Ours)</w:t>
            </w:r>
          </w:p>
        </w:tc>
        <w:tc>
          <w:tcPr>
            <w:tcW w:type="dxa" w:w="1728"/>
          </w:tcPr>
          <w:p>
            <w:pPr>
              <w:jc w:val="center"/>
            </w:pPr>
            <w:r>
              <w:rPr>
                <w:rFonts w:ascii="Times New Roman" w:hAnsi="Times New Roman" w:eastAsia="Times New Roman"/>
                <w:b w:val="0"/>
                <w:sz w:val="20"/>
              </w:rPr>
              <w:t>0.7571</w:t>
            </w:r>
          </w:p>
        </w:tc>
        <w:tc>
          <w:tcPr>
            <w:tcW w:type="dxa" w:w="1728"/>
          </w:tcPr>
          <w:p>
            <w:pPr>
              <w:jc w:val="center"/>
            </w:pPr>
            <w:r>
              <w:rPr>
                <w:rFonts w:ascii="Times New Roman" w:hAnsi="Times New Roman" w:eastAsia="Times New Roman"/>
                <w:b w:val="0"/>
                <w:sz w:val="20"/>
              </w:rPr>
              <w:t>0.7593</w:t>
            </w:r>
          </w:p>
        </w:tc>
        <w:tc>
          <w:tcPr>
            <w:tcW w:type="dxa" w:w="1728"/>
          </w:tcPr>
          <w:p>
            <w:pPr>
              <w:jc w:val="center"/>
            </w:pPr>
            <w:r>
              <w:rPr>
                <w:rFonts w:ascii="Times New Roman" w:hAnsi="Times New Roman" w:eastAsia="Times New Roman"/>
                <w:b w:val="0"/>
                <w:sz w:val="20"/>
              </w:rPr>
              <w:t>0.7541</w:t>
            </w:r>
          </w:p>
        </w:tc>
        <w:tc>
          <w:tcPr>
            <w:tcW w:type="dxa" w:w="1728"/>
          </w:tcPr>
          <w:p>
            <w:pPr>
              <w:jc w:val="center"/>
            </w:pPr>
            <w:r>
              <w:rPr>
                <w:rFonts w:ascii="Times New Roman" w:hAnsi="Times New Roman" w:eastAsia="Times New Roman"/>
                <w:b w:val="0"/>
                <w:sz w:val="20"/>
              </w:rPr>
              <w:t>0.7504</w:t>
            </w:r>
          </w:p>
        </w:tc>
      </w:tr>
      <w:tr>
        <w:tc>
          <w:tcPr>
            <w:tcW w:type="dxa" w:w="1728"/>
          </w:tcPr>
          <w:p>
            <w:pPr>
              <w:jc w:val="center"/>
            </w:pPr>
            <w:r>
              <w:rPr>
                <w:rFonts w:ascii="Times New Roman" w:hAnsi="Times New Roman" w:eastAsia="Times New Roman"/>
                <w:b w:val="0"/>
                <w:sz w:val="20"/>
              </w:rPr>
              <w:t>AE</w:t>
            </w:r>
          </w:p>
        </w:tc>
        <w:tc>
          <w:tcPr>
            <w:tcW w:type="dxa" w:w="1728"/>
          </w:tcPr>
          <w:p>
            <w:pPr>
              <w:jc w:val="center"/>
            </w:pPr>
            <w:r>
              <w:rPr>
                <w:rFonts w:ascii="Times New Roman" w:hAnsi="Times New Roman" w:eastAsia="Times New Roman"/>
                <w:b w:val="0"/>
                <w:sz w:val="20"/>
              </w:rPr>
              <w:t>0.7202</w:t>
            </w:r>
          </w:p>
        </w:tc>
        <w:tc>
          <w:tcPr>
            <w:tcW w:type="dxa" w:w="1728"/>
          </w:tcPr>
          <w:p>
            <w:pPr>
              <w:jc w:val="center"/>
            </w:pPr>
            <w:r>
              <w:rPr>
                <w:rFonts w:ascii="Times New Roman" w:hAnsi="Times New Roman" w:eastAsia="Times New Roman"/>
                <w:b w:val="0"/>
                <w:sz w:val="20"/>
              </w:rPr>
              <w:t>0.7493</w:t>
            </w:r>
          </w:p>
        </w:tc>
        <w:tc>
          <w:tcPr>
            <w:tcW w:type="dxa" w:w="1728"/>
          </w:tcPr>
          <w:p>
            <w:pPr>
              <w:jc w:val="center"/>
            </w:pPr>
            <w:r>
              <w:rPr>
                <w:rFonts w:ascii="Times New Roman" w:hAnsi="Times New Roman" w:eastAsia="Times New Roman"/>
                <w:b w:val="0"/>
                <w:sz w:val="20"/>
              </w:rPr>
              <w:t>0.7430</w:t>
            </w:r>
          </w:p>
        </w:tc>
        <w:tc>
          <w:tcPr>
            <w:tcW w:type="dxa" w:w="1728"/>
          </w:tcPr>
          <w:p>
            <w:pPr>
              <w:jc w:val="center"/>
            </w:pPr>
            <w:r>
              <w:rPr>
                <w:rFonts w:ascii="Times New Roman" w:hAnsi="Times New Roman" w:eastAsia="Times New Roman"/>
                <w:b w:val="0"/>
                <w:sz w:val="20"/>
              </w:rPr>
              <w:t>0.7422</w:t>
            </w:r>
          </w:p>
        </w:tc>
      </w:tr>
      <w:tr>
        <w:tc>
          <w:tcPr>
            <w:tcW w:type="dxa" w:w="1728"/>
          </w:tcPr>
          <w:p>
            <w:pPr>
              <w:jc w:val="center"/>
            </w:pPr>
            <w:r>
              <w:rPr>
                <w:rFonts w:ascii="Times New Roman" w:hAnsi="Times New Roman" w:eastAsia="Times New Roman"/>
                <w:b w:val="0"/>
                <w:sz w:val="20"/>
              </w:rPr>
              <w:t>VAE</w:t>
            </w:r>
          </w:p>
        </w:tc>
        <w:tc>
          <w:tcPr>
            <w:tcW w:type="dxa" w:w="1728"/>
          </w:tcPr>
          <w:p>
            <w:pPr>
              <w:jc w:val="center"/>
            </w:pPr>
            <w:r>
              <w:rPr>
                <w:rFonts w:ascii="Times New Roman" w:hAnsi="Times New Roman" w:eastAsia="Times New Roman"/>
                <w:b w:val="0"/>
                <w:sz w:val="20"/>
              </w:rPr>
              <w:t>0.5931</w:t>
            </w:r>
          </w:p>
        </w:tc>
        <w:tc>
          <w:tcPr>
            <w:tcW w:type="dxa" w:w="1728"/>
          </w:tcPr>
          <w:p>
            <w:pPr>
              <w:jc w:val="center"/>
            </w:pPr>
            <w:r>
              <w:rPr>
                <w:rFonts w:ascii="Times New Roman" w:hAnsi="Times New Roman" w:eastAsia="Times New Roman"/>
                <w:b w:val="0"/>
                <w:sz w:val="20"/>
              </w:rPr>
              <w:t>0.7407</w:t>
            </w:r>
          </w:p>
        </w:tc>
        <w:tc>
          <w:tcPr>
            <w:tcW w:type="dxa" w:w="1728"/>
          </w:tcPr>
          <w:p>
            <w:pPr>
              <w:jc w:val="center"/>
            </w:pPr>
            <w:r>
              <w:rPr>
                <w:rFonts w:ascii="Times New Roman" w:hAnsi="Times New Roman" w:eastAsia="Times New Roman"/>
                <w:b w:val="0"/>
                <w:sz w:val="20"/>
              </w:rPr>
              <w:t>0.7403</w:t>
            </w:r>
          </w:p>
        </w:tc>
        <w:tc>
          <w:tcPr>
            <w:tcW w:type="dxa" w:w="1728"/>
          </w:tcPr>
          <w:p>
            <w:pPr>
              <w:jc w:val="center"/>
            </w:pPr>
            <w:r>
              <w:rPr>
                <w:rFonts w:ascii="Times New Roman" w:hAnsi="Times New Roman" w:eastAsia="Times New Roman"/>
                <w:b w:val="0"/>
                <w:sz w:val="20"/>
              </w:rPr>
              <w:t>0.7363</w:t>
            </w:r>
          </w:p>
        </w:tc>
      </w:tr>
      <w:tr>
        <w:tc>
          <w:tcPr>
            <w:tcW w:type="dxa" w:w="1728"/>
          </w:tcPr>
          <w:p>
            <w:pPr>
              <w:jc w:val="center"/>
            </w:pPr>
            <w:r>
              <w:rPr>
                <w:rFonts w:ascii="Times New Roman" w:hAnsi="Times New Roman" w:eastAsia="Times New Roman"/>
                <w:b w:val="0"/>
                <w:sz w:val="20"/>
              </w:rPr>
              <w:t>IF</w:t>
            </w:r>
          </w:p>
        </w:tc>
        <w:tc>
          <w:tcPr>
            <w:tcW w:type="dxa" w:w="1728"/>
          </w:tcPr>
          <w:p>
            <w:pPr>
              <w:jc w:val="center"/>
            </w:pPr>
            <w:r>
              <w:rPr>
                <w:rFonts w:ascii="Times New Roman" w:hAnsi="Times New Roman" w:eastAsia="Times New Roman"/>
                <w:b w:val="0"/>
                <w:sz w:val="20"/>
              </w:rPr>
              <w:t>0.5308</w:t>
            </w:r>
          </w:p>
        </w:tc>
        <w:tc>
          <w:tcPr>
            <w:tcW w:type="dxa" w:w="1728"/>
          </w:tcPr>
          <w:p>
            <w:pPr>
              <w:jc w:val="center"/>
            </w:pPr>
            <w:r>
              <w:rPr>
                <w:rFonts w:ascii="Times New Roman" w:hAnsi="Times New Roman" w:eastAsia="Times New Roman"/>
                <w:b w:val="0"/>
                <w:sz w:val="20"/>
              </w:rPr>
              <w:t>0.6242</w:t>
            </w:r>
          </w:p>
        </w:tc>
        <w:tc>
          <w:tcPr>
            <w:tcW w:type="dxa" w:w="1728"/>
          </w:tcPr>
          <w:p>
            <w:pPr>
              <w:jc w:val="center"/>
            </w:pPr>
            <w:r>
              <w:rPr>
                <w:rFonts w:ascii="Times New Roman" w:hAnsi="Times New Roman" w:eastAsia="Times New Roman"/>
                <w:b w:val="0"/>
                <w:sz w:val="20"/>
              </w:rPr>
              <w:t>0.6285</w:t>
            </w:r>
          </w:p>
        </w:tc>
        <w:tc>
          <w:tcPr>
            <w:tcW w:type="dxa" w:w="1728"/>
          </w:tcPr>
          <w:p>
            <w:pPr>
              <w:jc w:val="center"/>
            </w:pPr>
            <w:r>
              <w:rPr>
                <w:rFonts w:ascii="Times New Roman" w:hAnsi="Times New Roman" w:eastAsia="Times New Roman"/>
                <w:b w:val="0"/>
                <w:sz w:val="20"/>
              </w:rPr>
              <w:t>0.6450</w:t>
            </w:r>
          </w:p>
        </w:tc>
      </w:tr>
    </w:tbl>
    <w:p/>
    <w:p>
      <w:pPr>
        <w:jc w:val="center"/>
      </w:pPr>
      <w:r>
        <w:drawing>
          <wp:inline xmlns:a="http://schemas.openxmlformats.org/drawingml/2006/main" xmlns:pic="http://schemas.openxmlformats.org/drawingml/2006/picture">
            <wp:extent cx="5029200" cy="3110583"/>
            <wp:docPr id="3" name="Picture 3"/>
            <wp:cNvGraphicFramePr>
              <a:graphicFrameLocks noChangeAspect="1"/>
            </wp:cNvGraphicFramePr>
            <a:graphic>
              <a:graphicData uri="http://schemas.openxmlformats.org/drawingml/2006/picture">
                <pic:pic>
                  <pic:nvPicPr>
                    <pic:cNvPr id="0" name="few_shot_curve.png"/>
                    <pic:cNvPicPr/>
                  </pic:nvPicPr>
                  <pic:blipFill>
                    <a:blip r:embed="rId11"/>
                    <a:stretch>
                      <a:fillRect/>
                    </a:stretch>
                  </pic:blipFill>
                  <pic:spPr>
                    <a:xfrm>
                      <a:off x="0" y="0"/>
                      <a:ext cx="5029200" cy="3110583"/>
                    </a:xfrm>
                    <a:prstGeom prst="rect"/>
                  </pic:spPr>
                </pic:pic>
              </a:graphicData>
            </a:graphic>
          </wp:inline>
        </w:drawing>
      </w:r>
    </w:p>
    <w:p>
      <w:pPr>
        <w:jc w:val="center"/>
      </w:pPr>
      <w:r>
        <w:rPr>
          <w:rFonts w:ascii="宋体" w:hAnsi="宋体" w:eastAsia="宋体"/>
          <w:sz w:val="20"/>
        </w:rPr>
        <w:t>图3 少样本条件下各方法AUROC对比</w:t>
      </w:r>
    </w:p>
    <w:p>
      <w:pPr>
        <w:spacing w:line="360" w:lineRule="auto"/>
        <w:ind w:firstLine="420"/>
        <w:jc w:val="both"/>
      </w:pPr>
      <w:r>
        <w:rPr>
          <w:rFonts w:ascii="宋体" w:hAnsi="宋体" w:eastAsia="宋体"/>
          <w:b w:val="0"/>
          <w:sz w:val="21"/>
        </w:rPr>
        <w:t>由表3和图3可见，本文扩散模型在所有数据比例下均取得最高的AUROC。且当训练数据从100%降至10%时，扩散模型性能几乎无损（10%档AUROC为0.7571，与100%档的0.7504基本持平）。相比之下，基线方法在少样本条件下出现明显退化：VAE在10%档AUROC骤降至0.5931，孤立森林降至0.5308（接近0.5的随机猜测水平）。在10%档下，本文方法领先第二名AE达0.0149，领先VAE达0.1639，差距随数据量减少而进一步扩大，直接证明了数据增强与条件扩散对少样本时序异常检测的有效性。</w:t>
      </w:r>
    </w:p>
    <w:p>
      <w:pPr>
        <w:pStyle w:val="Heading2"/>
      </w:pPr>
      <w:r>
        <w:t>5.5 跨数据集泛化能力评测</w:t>
      </w:r>
    </w:p>
    <w:p>
      <w:r>
        <w:t>前述实验均在单一 UCR 子集（000）上完成训练与测试，难以体现方法在不同数据分布下的泛化能力。为验证本文扩散模型对多样时序形态的适应性，本节固定使用 000 子集训练的权重，直接对全部 8 个 UCR SYNTHETIC 子集（000–007）进行跨场景推断，各子集独立标准化后计算重建误差并评测。该设定下模型面对的是训练时未见过的数据分布，可更严格地反映方法的鲁棒性。</w:t>
      </w:r>
    </w:p>
    <w:p>
      <w:pPr>
        <w:jc w:val="center"/>
      </w:pPr>
      <w:r>
        <w:rPr>
          <w:b/>
          <w:sz w:val="18"/>
        </w:rPr>
        <w:t>表 5.5 跨数据集 AUROC 对比（固定 000 权重跨场景推断）</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数据集</w:t>
            </w:r>
          </w:p>
        </w:tc>
        <w:tc>
          <w:tcPr>
            <w:tcW w:type="dxa" w:w="1728"/>
          </w:tcPr>
          <w:p>
            <w:r>
              <w:rPr>
                <w:b/>
              </w:rPr>
              <w:t>Diffusion(本文)</w:t>
            </w:r>
          </w:p>
        </w:tc>
        <w:tc>
          <w:tcPr>
            <w:tcW w:type="dxa" w:w="1728"/>
          </w:tcPr>
          <w:p>
            <w:r>
              <w:rPr>
                <w:b/>
              </w:rPr>
              <w:t>AE</w:t>
            </w:r>
          </w:p>
        </w:tc>
        <w:tc>
          <w:tcPr>
            <w:tcW w:type="dxa" w:w="1728"/>
          </w:tcPr>
          <w:p>
            <w:r>
              <w:rPr>
                <w:b/>
              </w:rPr>
              <w:t>VAE</w:t>
            </w:r>
          </w:p>
        </w:tc>
        <w:tc>
          <w:tcPr>
            <w:tcW w:type="dxa" w:w="1728"/>
          </w:tcPr>
          <w:p>
            <w:r>
              <w:rPr>
                <w:b/>
              </w:rPr>
              <w:t>IF</w:t>
            </w:r>
          </w:p>
        </w:tc>
      </w:tr>
      <w:tr>
        <w:tc>
          <w:tcPr>
            <w:tcW w:type="dxa" w:w="1728"/>
          </w:tcPr>
          <w:p>
            <w:r>
              <w:t>子集000</w:t>
            </w:r>
          </w:p>
        </w:tc>
        <w:tc>
          <w:tcPr>
            <w:tcW w:type="dxa" w:w="1728"/>
          </w:tcPr>
          <w:p>
            <w:r>
              <w:rPr>
                <w:b/>
              </w:rPr>
              <w:t>0.7548</w:t>
            </w:r>
          </w:p>
        </w:tc>
        <w:tc>
          <w:tcPr>
            <w:tcW w:type="dxa" w:w="1728"/>
          </w:tcPr>
          <w:p>
            <w:r>
              <w:t>0.7422</w:t>
            </w:r>
          </w:p>
        </w:tc>
        <w:tc>
          <w:tcPr>
            <w:tcW w:type="dxa" w:w="1728"/>
          </w:tcPr>
          <w:p>
            <w:r>
              <w:t>0.7415</w:t>
            </w:r>
          </w:p>
        </w:tc>
        <w:tc>
          <w:tcPr>
            <w:tcW w:type="dxa" w:w="1728"/>
          </w:tcPr>
          <w:p>
            <w:r>
              <w:t>0.6450</w:t>
            </w:r>
          </w:p>
        </w:tc>
      </w:tr>
      <w:tr>
        <w:tc>
          <w:tcPr>
            <w:tcW w:type="dxa" w:w="1728"/>
          </w:tcPr>
          <w:p>
            <w:r>
              <w:t>子集001</w:t>
            </w:r>
          </w:p>
        </w:tc>
        <w:tc>
          <w:tcPr>
            <w:tcW w:type="dxa" w:w="1728"/>
          </w:tcPr>
          <w:p>
            <w:r>
              <w:rPr>
                <w:b/>
              </w:rPr>
              <w:t>0.8801</w:t>
            </w:r>
          </w:p>
        </w:tc>
        <w:tc>
          <w:tcPr>
            <w:tcW w:type="dxa" w:w="1728"/>
          </w:tcPr>
          <w:p>
            <w:r>
              <w:t>0.8580</w:t>
            </w:r>
          </w:p>
        </w:tc>
        <w:tc>
          <w:tcPr>
            <w:tcW w:type="dxa" w:w="1728"/>
          </w:tcPr>
          <w:p>
            <w:r>
              <w:t>0.8569</w:t>
            </w:r>
          </w:p>
        </w:tc>
        <w:tc>
          <w:tcPr>
            <w:tcW w:type="dxa" w:w="1728"/>
          </w:tcPr>
          <w:p>
            <w:r>
              <w:t>0.6067</w:t>
            </w:r>
          </w:p>
        </w:tc>
      </w:tr>
      <w:tr>
        <w:tc>
          <w:tcPr>
            <w:tcW w:type="dxa" w:w="1728"/>
          </w:tcPr>
          <w:p>
            <w:r>
              <w:t>子集002</w:t>
            </w:r>
          </w:p>
        </w:tc>
        <w:tc>
          <w:tcPr>
            <w:tcW w:type="dxa" w:w="1728"/>
          </w:tcPr>
          <w:p>
            <w:r>
              <w:t>0.6804</w:t>
            </w:r>
          </w:p>
        </w:tc>
        <w:tc>
          <w:tcPr>
            <w:tcW w:type="dxa" w:w="1728"/>
          </w:tcPr>
          <w:p>
            <w:r>
              <w:t>0.6850</w:t>
            </w:r>
          </w:p>
        </w:tc>
        <w:tc>
          <w:tcPr>
            <w:tcW w:type="dxa" w:w="1728"/>
          </w:tcPr>
          <w:p>
            <w:r>
              <w:rPr>
                <w:b/>
              </w:rPr>
              <w:t>0.6945</w:t>
            </w:r>
          </w:p>
        </w:tc>
        <w:tc>
          <w:tcPr>
            <w:tcW w:type="dxa" w:w="1728"/>
          </w:tcPr>
          <w:p>
            <w:r>
              <w:t>0.4336</w:t>
            </w:r>
          </w:p>
        </w:tc>
      </w:tr>
      <w:tr>
        <w:tc>
          <w:tcPr>
            <w:tcW w:type="dxa" w:w="1728"/>
          </w:tcPr>
          <w:p>
            <w:r>
              <w:t>子集003</w:t>
            </w:r>
          </w:p>
        </w:tc>
        <w:tc>
          <w:tcPr>
            <w:tcW w:type="dxa" w:w="1728"/>
          </w:tcPr>
          <w:p>
            <w:r>
              <w:rPr>
                <w:b/>
              </w:rPr>
              <w:t>0.8317</w:t>
            </w:r>
          </w:p>
        </w:tc>
        <w:tc>
          <w:tcPr>
            <w:tcW w:type="dxa" w:w="1728"/>
          </w:tcPr>
          <w:p>
            <w:r>
              <w:t>0.8144</w:t>
            </w:r>
          </w:p>
        </w:tc>
        <w:tc>
          <w:tcPr>
            <w:tcW w:type="dxa" w:w="1728"/>
          </w:tcPr>
          <w:p>
            <w:r>
              <w:t>0.7832</w:t>
            </w:r>
          </w:p>
        </w:tc>
        <w:tc>
          <w:tcPr>
            <w:tcW w:type="dxa" w:w="1728"/>
          </w:tcPr>
          <w:p>
            <w:r>
              <w:t>0.7629</w:t>
            </w:r>
          </w:p>
        </w:tc>
      </w:tr>
      <w:tr>
        <w:tc>
          <w:tcPr>
            <w:tcW w:type="dxa" w:w="1728"/>
          </w:tcPr>
          <w:p>
            <w:r>
              <w:t>子集004</w:t>
            </w:r>
          </w:p>
        </w:tc>
        <w:tc>
          <w:tcPr>
            <w:tcW w:type="dxa" w:w="1728"/>
          </w:tcPr>
          <w:p>
            <w:r>
              <w:rPr>
                <w:b/>
              </w:rPr>
              <w:t>0.7222</w:t>
            </w:r>
          </w:p>
        </w:tc>
        <w:tc>
          <w:tcPr>
            <w:tcW w:type="dxa" w:w="1728"/>
          </w:tcPr>
          <w:p>
            <w:r>
              <w:t>0.7176</w:t>
            </w:r>
          </w:p>
        </w:tc>
        <w:tc>
          <w:tcPr>
            <w:tcW w:type="dxa" w:w="1728"/>
          </w:tcPr>
          <w:p>
            <w:r>
              <w:t>0.7155</w:t>
            </w:r>
          </w:p>
        </w:tc>
        <w:tc>
          <w:tcPr>
            <w:tcW w:type="dxa" w:w="1728"/>
          </w:tcPr>
          <w:p>
            <w:r>
              <w:t>0.5361</w:t>
            </w:r>
          </w:p>
        </w:tc>
      </w:tr>
      <w:tr>
        <w:tc>
          <w:tcPr>
            <w:tcW w:type="dxa" w:w="1728"/>
          </w:tcPr>
          <w:p>
            <w:r>
              <w:t>子集005</w:t>
            </w:r>
          </w:p>
        </w:tc>
        <w:tc>
          <w:tcPr>
            <w:tcW w:type="dxa" w:w="1728"/>
          </w:tcPr>
          <w:p>
            <w:r>
              <w:rPr>
                <w:b/>
              </w:rPr>
              <w:t>0.8057</w:t>
            </w:r>
          </w:p>
        </w:tc>
        <w:tc>
          <w:tcPr>
            <w:tcW w:type="dxa" w:w="1728"/>
          </w:tcPr>
          <w:p>
            <w:r>
              <w:t>0.8046</w:t>
            </w:r>
          </w:p>
        </w:tc>
        <w:tc>
          <w:tcPr>
            <w:tcW w:type="dxa" w:w="1728"/>
          </w:tcPr>
          <w:p>
            <w:r>
              <w:t>0.7943</w:t>
            </w:r>
          </w:p>
        </w:tc>
        <w:tc>
          <w:tcPr>
            <w:tcW w:type="dxa" w:w="1728"/>
          </w:tcPr>
          <w:p>
            <w:r>
              <w:t>0.6245</w:t>
            </w:r>
          </w:p>
        </w:tc>
      </w:tr>
      <w:tr>
        <w:tc>
          <w:tcPr>
            <w:tcW w:type="dxa" w:w="1728"/>
          </w:tcPr>
          <w:p>
            <w:r>
              <w:t>子集006</w:t>
            </w:r>
          </w:p>
        </w:tc>
        <w:tc>
          <w:tcPr>
            <w:tcW w:type="dxa" w:w="1728"/>
          </w:tcPr>
          <w:p>
            <w:r>
              <w:rPr>
                <w:b/>
              </w:rPr>
              <w:t>0.9370</w:t>
            </w:r>
          </w:p>
        </w:tc>
        <w:tc>
          <w:tcPr>
            <w:tcW w:type="dxa" w:w="1728"/>
          </w:tcPr>
          <w:p>
            <w:r>
              <w:t>0.9330</w:t>
            </w:r>
          </w:p>
        </w:tc>
        <w:tc>
          <w:tcPr>
            <w:tcW w:type="dxa" w:w="1728"/>
          </w:tcPr>
          <w:p>
            <w:r>
              <w:t>0.9353</w:t>
            </w:r>
          </w:p>
        </w:tc>
        <w:tc>
          <w:tcPr>
            <w:tcW w:type="dxa" w:w="1728"/>
          </w:tcPr>
          <w:p>
            <w:r>
              <w:t>0.8520</w:t>
            </w:r>
          </w:p>
        </w:tc>
      </w:tr>
      <w:tr>
        <w:tc>
          <w:tcPr>
            <w:tcW w:type="dxa" w:w="1728"/>
          </w:tcPr>
          <w:p>
            <w:r>
              <w:t>子集007</w:t>
            </w:r>
          </w:p>
        </w:tc>
        <w:tc>
          <w:tcPr>
            <w:tcW w:type="dxa" w:w="1728"/>
          </w:tcPr>
          <w:p>
            <w:r>
              <w:t>0.8402</w:t>
            </w:r>
          </w:p>
        </w:tc>
        <w:tc>
          <w:tcPr>
            <w:tcW w:type="dxa" w:w="1728"/>
          </w:tcPr>
          <w:p>
            <w:r>
              <w:t>0.8386</w:t>
            </w:r>
          </w:p>
        </w:tc>
        <w:tc>
          <w:tcPr>
            <w:tcW w:type="dxa" w:w="1728"/>
          </w:tcPr>
          <w:p>
            <w:r>
              <w:rPr>
                <w:b/>
              </w:rPr>
              <w:t>0.8450</w:t>
            </w:r>
          </w:p>
        </w:tc>
        <w:tc>
          <w:tcPr>
            <w:tcW w:type="dxa" w:w="1728"/>
          </w:tcPr>
          <w:p>
            <w:r>
              <w:t>0.7354</w:t>
            </w:r>
          </w:p>
        </w:tc>
      </w:tr>
      <w:tr>
        <w:tc>
          <w:tcPr>
            <w:tcW w:type="dxa" w:w="1728"/>
          </w:tcPr>
          <w:p>
            <w:r>
              <w:rPr>
                <w:b/>
              </w:rPr>
              <w:t>平均</w:t>
            </w:r>
          </w:p>
        </w:tc>
        <w:tc>
          <w:tcPr>
            <w:tcW w:type="dxa" w:w="1728"/>
          </w:tcPr>
          <w:p>
            <w:r>
              <w:rPr>
                <w:b/>
              </w:rPr>
              <w:t>0.8065</w:t>
            </w:r>
          </w:p>
        </w:tc>
        <w:tc>
          <w:tcPr>
            <w:tcW w:type="dxa" w:w="1728"/>
          </w:tcPr>
          <w:p>
            <w:r>
              <w:t>0.7992</w:t>
            </w:r>
          </w:p>
        </w:tc>
        <w:tc>
          <w:tcPr>
            <w:tcW w:type="dxa" w:w="1728"/>
          </w:tcPr>
          <w:p>
            <w:r>
              <w:t>0.7958</w:t>
            </w:r>
          </w:p>
        </w:tc>
        <w:tc>
          <w:tcPr>
            <w:tcW w:type="dxa" w:w="1728"/>
          </w:tcPr>
          <w:p>
            <w:r>
              <w:t>0.6495</w:t>
            </w:r>
          </w:p>
        </w:tc>
      </w:tr>
    </w:tbl>
    <w:p>
      <w:pPr>
        <w:jc w:val="center"/>
      </w:pPr>
      <w:r>
        <w:drawing>
          <wp:inline xmlns:a="http://schemas.openxmlformats.org/drawingml/2006/main" xmlns:pic="http://schemas.openxmlformats.org/drawingml/2006/picture">
            <wp:extent cx="5669280" cy="2585136"/>
            <wp:docPr id="8" name="Picture 8"/>
            <wp:cNvGraphicFramePr>
              <a:graphicFrameLocks noChangeAspect="1"/>
            </wp:cNvGraphicFramePr>
            <a:graphic>
              <a:graphicData uri="http://schemas.openxmlformats.org/drawingml/2006/picture">
                <pic:pic>
                  <pic:nvPicPr>
                    <pic:cNvPr id="0" name="multidataset_auroc.png"/>
                    <pic:cNvPicPr/>
                  </pic:nvPicPr>
                  <pic:blipFill>
                    <a:blip r:embed="rId16"/>
                    <a:stretch>
                      <a:fillRect/>
                    </a:stretch>
                  </pic:blipFill>
                  <pic:spPr>
                    <a:xfrm>
                      <a:off x="0" y="0"/>
                      <a:ext cx="5669280" cy="2585136"/>
                    </a:xfrm>
                    <a:prstGeom prst="rect"/>
                  </pic:spPr>
                </pic:pic>
              </a:graphicData>
            </a:graphic>
          </wp:inline>
        </w:drawing>
      </w:r>
    </w:p>
    <w:p>
      <w:pPr>
        <w:jc w:val="center"/>
      </w:pPr>
      <w:r>
        <w:rPr>
          <w:sz w:val="18"/>
        </w:rPr>
        <w:t>图：跨数据集异常检测 AUROC 分组对比（固定 000 权重跨场景推断）</w:t>
      </w:r>
    </w:p>
    <w:p>
      <w:r>
        <w:t>由表 5.5 可见，在跨数据集零样本推断设定下，本文 Diffusion 方法在 8 个子集上的平均 AUROC 达到 0.8065，优于 AE（0.7992）、VAE（0.7958）与 IF（0.6495），在多数子集上亦取得最优或次优表现。这表明所学习的部分扩散重建机制对异质时序分布具有较好鲁棒性：即便测试数据与训练分布不同，扩散模型仍能通过噪声—去噪过程刻画正常模式的统计结构，从而稳定区分异常。相比之下，AE/VAE 在分布漂移时重建误差区分度下降，而 IF 作为无监督统计方法对尺度与形态变化更为敏感，平均表现最弱。</w:t>
      </w:r>
    </w:p>
    <w:p>
      <w:pPr>
        <w:pStyle w:val="Heading2"/>
      </w:pPr>
      <w:r>
        <w:t>5.6 评估协议讨论（Point Adjustment）</w:t>
      </w:r>
    </w:p>
    <w:p>
      <w:pPr>
        <w:spacing w:line="360" w:lineRule="auto"/>
        <w:ind w:firstLine="420"/>
        <w:jc w:val="both"/>
      </w:pPr>
      <w:r>
        <w:rPr>
          <w:rFonts w:ascii="宋体" w:hAnsi="宋体" w:eastAsia="宋体"/>
          <w:b w:val="0"/>
          <w:sz w:val="21"/>
        </w:rPr>
        <w:t>点调整（Point Adjustment, PA）是时序异常检测领域被广泛采用的评估协议：只要预测异常段中任意一点命中真实异常段，便将整段判为正确。PA会显著高估召回率，在异常段较长或仅含单段异常的数据集上尤为明显。以本文使用的UCR Anomaly Archive为例，每条序列仅含一段异常，在PA协议下几乎所有方法都能获得Recall=1.0，导致F1-PA等指标饱和失效、失去方法间的区分度。近年来Paparrizos等人[15]、Schmidl等人[16]等研究均指出PA会系统性夸大检测性能，呼吁采用更严格的评估度量。</w:t>
      </w:r>
    </w:p>
    <w:p>
      <w:pPr>
        <w:spacing w:line="360" w:lineRule="auto"/>
        <w:ind w:firstLine="420"/>
        <w:jc w:val="both"/>
      </w:pPr>
      <w:r>
        <w:rPr>
          <w:rFonts w:ascii="宋体" w:hAnsi="宋体" w:eastAsia="宋体"/>
          <w:b w:val="0"/>
          <w:sz w:val="21"/>
        </w:rPr>
        <w:t>基于上述考量，本文主表以阈值无关的AUROC、AUPRC以及严格窗口级F1作为核心评价指标，规避PA带来的虚高。为说明PA的局限性，表4列出了各方法在PA协议下的指标：可见所有方法的Recall-PA均为1.0，F1-PA仅反映精确率差异，孤立森林因误报较少反而获得略高的F1-PA——这恰恰说明PA在该数据集上无法体现扩散模型的真实优势。因此，本文不将PA指标作为方法优劣的依据，而是将其纳入协议讨论，以体现对评估方法本身的理解。</w:t>
      </w:r>
    </w:p>
    <w:p>
      <w:pPr>
        <w:jc w:val="center"/>
      </w:pPr>
      <w:r>
        <w:rPr>
          <w:rFonts w:ascii="宋体" w:hAnsi="宋体" w:eastAsia="宋体"/>
          <w:b/>
          <w:sz w:val="21"/>
        </w:rPr>
        <w:t>表4 点级PA协议下各方法指标</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宋体" w:hAnsi="宋体" w:eastAsia="宋体"/>
                <w:b/>
                <w:sz w:val="20"/>
              </w:rPr>
              <w:t>方法</w:t>
            </w:r>
          </w:p>
        </w:tc>
        <w:tc>
          <w:tcPr>
            <w:tcW w:type="dxa" w:w="1440"/>
          </w:tcPr>
          <w:p>
            <w:pPr>
              <w:jc w:val="center"/>
            </w:pPr>
            <w:r>
              <w:rPr>
                <w:rFonts w:ascii="宋体" w:hAnsi="宋体" w:eastAsia="宋体"/>
                <w:b/>
                <w:sz w:val="20"/>
              </w:rPr>
              <w:t>AUROC</w:t>
            </w:r>
          </w:p>
        </w:tc>
        <w:tc>
          <w:tcPr>
            <w:tcW w:type="dxa" w:w="1440"/>
          </w:tcPr>
          <w:p>
            <w:pPr>
              <w:jc w:val="center"/>
            </w:pPr>
            <w:r>
              <w:rPr>
                <w:rFonts w:ascii="宋体" w:hAnsi="宋体" w:eastAsia="宋体"/>
                <w:b/>
                <w:sz w:val="20"/>
              </w:rPr>
              <w:t>F1(窗口)</w:t>
            </w:r>
          </w:p>
        </w:tc>
        <w:tc>
          <w:tcPr>
            <w:tcW w:type="dxa" w:w="1440"/>
          </w:tcPr>
          <w:p>
            <w:pPr>
              <w:jc w:val="center"/>
            </w:pPr>
            <w:r>
              <w:rPr>
                <w:rFonts w:ascii="宋体" w:hAnsi="宋体" w:eastAsia="宋体"/>
                <w:b/>
                <w:sz w:val="20"/>
              </w:rPr>
              <w:t>F1-PA</w:t>
            </w:r>
          </w:p>
        </w:tc>
        <w:tc>
          <w:tcPr>
            <w:tcW w:type="dxa" w:w="1440"/>
          </w:tcPr>
          <w:p>
            <w:pPr>
              <w:jc w:val="center"/>
            </w:pPr>
            <w:r>
              <w:rPr>
                <w:rFonts w:ascii="宋体" w:hAnsi="宋体" w:eastAsia="宋体"/>
                <w:b/>
                <w:sz w:val="20"/>
              </w:rPr>
              <w:t>Prec-PA</w:t>
            </w:r>
          </w:p>
        </w:tc>
        <w:tc>
          <w:tcPr>
            <w:tcW w:type="dxa" w:w="1440"/>
          </w:tcPr>
          <w:p>
            <w:pPr>
              <w:jc w:val="center"/>
            </w:pPr>
            <w:r>
              <w:rPr>
                <w:rFonts w:ascii="宋体" w:hAnsi="宋体" w:eastAsia="宋体"/>
                <w:b/>
                <w:sz w:val="20"/>
              </w:rPr>
              <w:t>Rec-PA</w:t>
            </w:r>
          </w:p>
        </w:tc>
      </w:tr>
      <w:tr>
        <w:tc>
          <w:tcPr>
            <w:tcW w:type="dxa" w:w="1440"/>
          </w:tcPr>
          <w:p>
            <w:pPr>
              <w:jc w:val="center"/>
            </w:pPr>
            <w:r>
              <w:rPr>
                <w:rFonts w:ascii="Times New Roman" w:hAnsi="Times New Roman" w:eastAsia="Times New Roman"/>
                <w:b w:val="0"/>
                <w:sz w:val="20"/>
              </w:rPr>
              <w:t>Diffusion (Ours)</w:t>
            </w:r>
          </w:p>
        </w:tc>
        <w:tc>
          <w:tcPr>
            <w:tcW w:type="dxa" w:w="1440"/>
          </w:tcPr>
          <w:p>
            <w:pPr>
              <w:jc w:val="center"/>
            </w:pPr>
            <w:r>
              <w:rPr>
                <w:rFonts w:ascii="Times New Roman" w:hAnsi="Times New Roman" w:eastAsia="Times New Roman"/>
                <w:b w:val="0"/>
                <w:sz w:val="20"/>
              </w:rPr>
              <w:t>0.7504</w:t>
            </w:r>
          </w:p>
        </w:tc>
        <w:tc>
          <w:tcPr>
            <w:tcW w:type="dxa" w:w="1440"/>
          </w:tcPr>
          <w:p>
            <w:pPr>
              <w:jc w:val="center"/>
            </w:pPr>
            <w:r>
              <w:rPr>
                <w:rFonts w:ascii="Times New Roman" w:hAnsi="Times New Roman" w:eastAsia="Times New Roman"/>
                <w:b w:val="0"/>
                <w:sz w:val="20"/>
              </w:rPr>
              <w:t>0.3356</w:t>
            </w:r>
          </w:p>
        </w:tc>
        <w:tc>
          <w:tcPr>
            <w:tcW w:type="dxa" w:w="1440"/>
          </w:tcPr>
          <w:p>
            <w:pPr>
              <w:jc w:val="center"/>
            </w:pPr>
            <w:r>
              <w:rPr>
                <w:rFonts w:ascii="Times New Roman" w:hAnsi="Times New Roman" w:eastAsia="Times New Roman"/>
                <w:b w:val="0"/>
                <w:sz w:val="20"/>
              </w:rPr>
              <w:t>0.1495</w:t>
            </w:r>
          </w:p>
        </w:tc>
        <w:tc>
          <w:tcPr>
            <w:tcW w:type="dxa" w:w="1440"/>
          </w:tcPr>
          <w:p>
            <w:pPr>
              <w:jc w:val="center"/>
            </w:pPr>
            <w:r>
              <w:rPr>
                <w:rFonts w:ascii="Times New Roman" w:hAnsi="Times New Roman" w:eastAsia="Times New Roman"/>
                <w:b w:val="0"/>
                <w:sz w:val="20"/>
              </w:rPr>
              <w:t>0.0808</w:t>
            </w:r>
          </w:p>
        </w:tc>
        <w:tc>
          <w:tcPr>
            <w:tcW w:type="dxa" w:w="1440"/>
          </w:tcPr>
          <w:p>
            <w:pPr>
              <w:jc w:val="center"/>
            </w:pPr>
            <w:r>
              <w:rPr>
                <w:rFonts w:ascii="Times New Roman" w:hAnsi="Times New Roman" w:eastAsia="Times New Roman"/>
                <w:b w:val="0"/>
                <w:sz w:val="20"/>
              </w:rPr>
              <w:t>1.0000</w:t>
            </w:r>
          </w:p>
        </w:tc>
      </w:tr>
      <w:tr>
        <w:tc>
          <w:tcPr>
            <w:tcW w:type="dxa" w:w="1440"/>
          </w:tcPr>
          <w:p>
            <w:pPr>
              <w:jc w:val="center"/>
            </w:pPr>
            <w:r>
              <w:rPr>
                <w:rFonts w:ascii="Times New Roman" w:hAnsi="Times New Roman" w:eastAsia="Times New Roman"/>
                <w:b w:val="0"/>
                <w:sz w:val="20"/>
              </w:rPr>
              <w:t>AE</w:t>
            </w:r>
          </w:p>
        </w:tc>
        <w:tc>
          <w:tcPr>
            <w:tcW w:type="dxa" w:w="1440"/>
          </w:tcPr>
          <w:p>
            <w:pPr>
              <w:jc w:val="center"/>
            </w:pPr>
            <w:r>
              <w:rPr>
                <w:rFonts w:ascii="Times New Roman" w:hAnsi="Times New Roman" w:eastAsia="Times New Roman"/>
                <w:b w:val="0"/>
                <w:sz w:val="20"/>
              </w:rPr>
              <w:t>0.7422</w:t>
            </w:r>
          </w:p>
        </w:tc>
        <w:tc>
          <w:tcPr>
            <w:tcW w:type="dxa" w:w="1440"/>
          </w:tcPr>
          <w:p>
            <w:pPr>
              <w:jc w:val="center"/>
            </w:pPr>
            <w:r>
              <w:rPr>
                <w:rFonts w:ascii="Times New Roman" w:hAnsi="Times New Roman" w:eastAsia="Times New Roman"/>
                <w:b w:val="0"/>
                <w:sz w:val="20"/>
              </w:rPr>
              <w:t>0.3399</w:t>
            </w:r>
          </w:p>
        </w:tc>
        <w:tc>
          <w:tcPr>
            <w:tcW w:type="dxa" w:w="1440"/>
          </w:tcPr>
          <w:p>
            <w:pPr>
              <w:jc w:val="center"/>
            </w:pPr>
            <w:r>
              <w:rPr>
                <w:rFonts w:ascii="Times New Roman" w:hAnsi="Times New Roman" w:eastAsia="Times New Roman"/>
                <w:b w:val="0"/>
                <w:sz w:val="20"/>
              </w:rPr>
              <w:t>0.1379</w:t>
            </w:r>
          </w:p>
        </w:tc>
        <w:tc>
          <w:tcPr>
            <w:tcW w:type="dxa" w:w="1440"/>
          </w:tcPr>
          <w:p>
            <w:pPr>
              <w:jc w:val="center"/>
            </w:pPr>
            <w:r>
              <w:rPr>
                <w:rFonts w:ascii="Times New Roman" w:hAnsi="Times New Roman" w:eastAsia="Times New Roman"/>
                <w:b w:val="0"/>
                <w:sz w:val="20"/>
              </w:rPr>
              <w:t>0.0741</w:t>
            </w:r>
          </w:p>
        </w:tc>
        <w:tc>
          <w:tcPr>
            <w:tcW w:type="dxa" w:w="1440"/>
          </w:tcPr>
          <w:p>
            <w:pPr>
              <w:jc w:val="center"/>
            </w:pPr>
            <w:r>
              <w:rPr>
                <w:rFonts w:ascii="Times New Roman" w:hAnsi="Times New Roman" w:eastAsia="Times New Roman"/>
                <w:b w:val="0"/>
                <w:sz w:val="20"/>
              </w:rPr>
              <w:t>1.0000</w:t>
            </w:r>
          </w:p>
        </w:tc>
      </w:tr>
      <w:tr>
        <w:tc>
          <w:tcPr>
            <w:tcW w:type="dxa" w:w="1440"/>
          </w:tcPr>
          <w:p>
            <w:pPr>
              <w:jc w:val="center"/>
            </w:pPr>
            <w:r>
              <w:rPr>
                <w:rFonts w:ascii="Times New Roman" w:hAnsi="Times New Roman" w:eastAsia="Times New Roman"/>
                <w:b w:val="0"/>
                <w:sz w:val="20"/>
              </w:rPr>
              <w:t>VAE</w:t>
            </w:r>
          </w:p>
        </w:tc>
        <w:tc>
          <w:tcPr>
            <w:tcW w:type="dxa" w:w="1440"/>
          </w:tcPr>
          <w:p>
            <w:pPr>
              <w:jc w:val="center"/>
            </w:pPr>
            <w:r>
              <w:rPr>
                <w:rFonts w:ascii="Times New Roman" w:hAnsi="Times New Roman" w:eastAsia="Times New Roman"/>
                <w:b w:val="0"/>
                <w:sz w:val="20"/>
              </w:rPr>
              <w:t>0.7363</w:t>
            </w:r>
          </w:p>
        </w:tc>
        <w:tc>
          <w:tcPr>
            <w:tcW w:type="dxa" w:w="1440"/>
          </w:tcPr>
          <w:p>
            <w:pPr>
              <w:jc w:val="center"/>
            </w:pPr>
            <w:r>
              <w:rPr>
                <w:rFonts w:ascii="Times New Roman" w:hAnsi="Times New Roman" w:eastAsia="Times New Roman"/>
                <w:b w:val="0"/>
                <w:sz w:val="20"/>
              </w:rPr>
              <w:t>0.3399</w:t>
            </w:r>
          </w:p>
        </w:tc>
        <w:tc>
          <w:tcPr>
            <w:tcW w:type="dxa" w:w="1440"/>
          </w:tcPr>
          <w:p>
            <w:pPr>
              <w:jc w:val="center"/>
            </w:pPr>
            <w:r>
              <w:rPr>
                <w:rFonts w:ascii="Times New Roman" w:hAnsi="Times New Roman" w:eastAsia="Times New Roman"/>
                <w:b w:val="0"/>
                <w:sz w:val="20"/>
              </w:rPr>
              <w:t>0.1368</w:t>
            </w:r>
          </w:p>
        </w:tc>
        <w:tc>
          <w:tcPr>
            <w:tcW w:type="dxa" w:w="1440"/>
          </w:tcPr>
          <w:p>
            <w:pPr>
              <w:jc w:val="center"/>
            </w:pPr>
            <w:r>
              <w:rPr>
                <w:rFonts w:ascii="Times New Roman" w:hAnsi="Times New Roman" w:eastAsia="Times New Roman"/>
                <w:b w:val="0"/>
                <w:sz w:val="20"/>
              </w:rPr>
              <w:t>0.0734</w:t>
            </w:r>
          </w:p>
        </w:tc>
        <w:tc>
          <w:tcPr>
            <w:tcW w:type="dxa" w:w="1440"/>
          </w:tcPr>
          <w:p>
            <w:pPr>
              <w:jc w:val="center"/>
            </w:pPr>
            <w:r>
              <w:rPr>
                <w:rFonts w:ascii="Times New Roman" w:hAnsi="Times New Roman" w:eastAsia="Times New Roman"/>
                <w:b w:val="0"/>
                <w:sz w:val="20"/>
              </w:rPr>
              <w:t>1.0000</w:t>
            </w:r>
          </w:p>
        </w:tc>
      </w:tr>
      <w:tr>
        <w:tc>
          <w:tcPr>
            <w:tcW w:type="dxa" w:w="1440"/>
          </w:tcPr>
          <w:p>
            <w:pPr>
              <w:jc w:val="center"/>
            </w:pPr>
            <w:r>
              <w:rPr>
                <w:rFonts w:ascii="Times New Roman" w:hAnsi="Times New Roman" w:eastAsia="Times New Roman"/>
                <w:b w:val="0"/>
                <w:sz w:val="20"/>
              </w:rPr>
              <w:t>AnoGAN</w:t>
            </w:r>
          </w:p>
        </w:tc>
        <w:tc>
          <w:tcPr>
            <w:tcW w:type="dxa" w:w="1440"/>
          </w:tcPr>
          <w:p>
            <w:pPr>
              <w:jc w:val="center"/>
            </w:pPr>
            <w:r>
              <w:rPr>
                <w:rFonts w:ascii="Times New Roman" w:hAnsi="Times New Roman" w:eastAsia="Times New Roman"/>
                <w:b w:val="0"/>
                <w:sz w:val="20"/>
              </w:rPr>
              <w:t>0.6014</w:t>
            </w:r>
          </w:p>
        </w:tc>
        <w:tc>
          <w:tcPr>
            <w:tcW w:type="dxa" w:w="1440"/>
          </w:tcPr>
          <w:p>
            <w:pPr>
              <w:jc w:val="center"/>
            </w:pPr>
            <w:r>
              <w:rPr>
                <w:rFonts w:ascii="Times New Roman" w:hAnsi="Times New Roman" w:eastAsia="Times New Roman"/>
                <w:b w:val="0"/>
                <w:sz w:val="20"/>
              </w:rPr>
              <w:t>0.2036</w:t>
            </w:r>
          </w:p>
        </w:tc>
        <w:tc>
          <w:tcPr>
            <w:tcW w:type="dxa" w:w="1440"/>
          </w:tcPr>
          <w:p>
            <w:pPr>
              <w:jc w:val="center"/>
            </w:pPr>
            <w:r>
              <w:rPr>
                <w:rFonts w:ascii="Times New Roman" w:hAnsi="Times New Roman" w:eastAsia="Times New Roman"/>
                <w:b w:val="0"/>
                <w:sz w:val="20"/>
              </w:rPr>
              <w:t>0.1270</w:t>
            </w:r>
          </w:p>
        </w:tc>
        <w:tc>
          <w:tcPr>
            <w:tcW w:type="dxa" w:w="1440"/>
          </w:tcPr>
          <w:p>
            <w:pPr>
              <w:jc w:val="center"/>
            </w:pPr>
            <w:r>
              <w:rPr>
                <w:rFonts w:ascii="Times New Roman" w:hAnsi="Times New Roman" w:eastAsia="Times New Roman"/>
                <w:b w:val="0"/>
                <w:sz w:val="20"/>
              </w:rPr>
              <w:t>0.0678</w:t>
            </w:r>
          </w:p>
        </w:tc>
        <w:tc>
          <w:tcPr>
            <w:tcW w:type="dxa" w:w="1440"/>
          </w:tcPr>
          <w:p>
            <w:pPr>
              <w:jc w:val="center"/>
            </w:pPr>
            <w:r>
              <w:rPr>
                <w:rFonts w:ascii="Times New Roman" w:hAnsi="Times New Roman" w:eastAsia="Times New Roman"/>
                <w:b w:val="0"/>
                <w:sz w:val="20"/>
              </w:rPr>
              <w:t>1.0000</w:t>
            </w:r>
          </w:p>
        </w:tc>
      </w:tr>
      <w:tr>
        <w:tc>
          <w:tcPr>
            <w:tcW w:type="dxa" w:w="1440"/>
          </w:tcPr>
          <w:p>
            <w:pPr>
              <w:jc w:val="center"/>
            </w:pPr>
            <w:r>
              <w:rPr>
                <w:rFonts w:ascii="Times New Roman" w:hAnsi="Times New Roman" w:eastAsia="Times New Roman"/>
                <w:b w:val="0"/>
                <w:sz w:val="20"/>
              </w:rPr>
              <w:t>IF</w:t>
            </w:r>
          </w:p>
        </w:tc>
        <w:tc>
          <w:tcPr>
            <w:tcW w:type="dxa" w:w="1440"/>
          </w:tcPr>
          <w:p>
            <w:pPr>
              <w:jc w:val="center"/>
            </w:pPr>
            <w:r>
              <w:rPr>
                <w:rFonts w:ascii="Times New Roman" w:hAnsi="Times New Roman" w:eastAsia="Times New Roman"/>
                <w:b w:val="0"/>
                <w:sz w:val="20"/>
              </w:rPr>
              <w:t>0.6450</w:t>
            </w:r>
          </w:p>
        </w:tc>
        <w:tc>
          <w:tcPr>
            <w:tcW w:type="dxa" w:w="1440"/>
          </w:tcPr>
          <w:p>
            <w:pPr>
              <w:jc w:val="center"/>
            </w:pPr>
            <w:r>
              <w:rPr>
                <w:rFonts w:ascii="Times New Roman" w:hAnsi="Times New Roman" w:eastAsia="Times New Roman"/>
                <w:b w:val="0"/>
                <w:sz w:val="20"/>
              </w:rPr>
              <w:t>0.2222</w:t>
            </w:r>
          </w:p>
        </w:tc>
        <w:tc>
          <w:tcPr>
            <w:tcW w:type="dxa" w:w="1440"/>
          </w:tcPr>
          <w:p>
            <w:pPr>
              <w:jc w:val="center"/>
            </w:pPr>
            <w:r>
              <w:rPr>
                <w:rFonts w:ascii="Times New Roman" w:hAnsi="Times New Roman" w:eastAsia="Times New Roman"/>
                <w:b w:val="0"/>
                <w:sz w:val="20"/>
              </w:rPr>
              <w:t>0.1667</w:t>
            </w:r>
          </w:p>
        </w:tc>
        <w:tc>
          <w:tcPr>
            <w:tcW w:type="dxa" w:w="1440"/>
          </w:tcPr>
          <w:p>
            <w:pPr>
              <w:jc w:val="center"/>
            </w:pPr>
            <w:r>
              <w:rPr>
                <w:rFonts w:ascii="Times New Roman" w:hAnsi="Times New Roman" w:eastAsia="Times New Roman"/>
                <w:b w:val="0"/>
                <w:sz w:val="20"/>
              </w:rPr>
              <w:t>0.0909</w:t>
            </w:r>
          </w:p>
        </w:tc>
        <w:tc>
          <w:tcPr>
            <w:tcW w:type="dxa" w:w="1440"/>
          </w:tcPr>
          <w:p>
            <w:pPr>
              <w:jc w:val="center"/>
            </w:pPr>
            <w:r>
              <w:rPr>
                <w:rFonts w:ascii="Times New Roman" w:hAnsi="Times New Roman" w:eastAsia="Times New Roman"/>
                <w:b w:val="0"/>
                <w:sz w:val="20"/>
              </w:rPr>
              <w:t>1.0000</w:t>
            </w:r>
          </w:p>
        </w:tc>
      </w:tr>
    </w:tbl>
    <w:p/>
    <w:p>
      <w:pPr>
        <w:pStyle w:val="Heading2"/>
      </w:pPr>
      <w:r>
        <w:t>5.7 训练过程分析</w:t>
      </w:r>
    </w:p>
    <w:p>
      <w:pPr>
        <w:spacing w:line="360" w:lineRule="auto"/>
        <w:ind w:firstLine="420"/>
        <w:jc w:val="both"/>
      </w:pPr>
      <w:r>
        <w:rPr>
          <w:rFonts w:ascii="宋体" w:hAnsi="宋体" w:eastAsia="宋体"/>
          <w:b w:val="0"/>
          <w:sz w:val="21"/>
        </w:rPr>
        <w:t>训练损失曲线显示，训练损失在前10个epoch快速下降，之后趋于平稳，表明模型在约50个epoch内收敛。余弦噪声调度使得损失下降更加平滑，避免了训练不稳定。</w:t>
      </w:r>
    </w:p>
    <w:p>
      <w:pPr>
        <w:jc w:val="center"/>
      </w:pPr>
      <w:r>
        <w:drawing>
          <wp:inline xmlns:a="http://schemas.openxmlformats.org/drawingml/2006/main" xmlns:pic="http://schemas.openxmlformats.org/drawingml/2006/picture">
            <wp:extent cx="4114800" cy="2542414"/>
            <wp:docPr id="4" name="Picture 4"/>
            <wp:cNvGraphicFramePr>
              <a:graphicFrameLocks noChangeAspect="1"/>
            </wp:cNvGraphicFramePr>
            <a:graphic>
              <a:graphicData uri="http://schemas.openxmlformats.org/drawingml/2006/picture">
                <pic:pic>
                  <pic:nvPicPr>
                    <pic:cNvPr id="0" name="training_curve.png"/>
                    <pic:cNvPicPr/>
                  </pic:nvPicPr>
                  <pic:blipFill>
                    <a:blip r:embed="rId12"/>
                    <a:stretch>
                      <a:fillRect/>
                    </a:stretch>
                  </pic:blipFill>
                  <pic:spPr>
                    <a:xfrm>
                      <a:off x="0" y="0"/>
                      <a:ext cx="4114800" cy="2542414"/>
                    </a:xfrm>
                    <a:prstGeom prst="rect"/>
                  </pic:spPr>
                </pic:pic>
              </a:graphicData>
            </a:graphic>
          </wp:inline>
        </w:drawing>
      </w:r>
    </w:p>
    <w:p>
      <w:pPr>
        <w:jc w:val="center"/>
      </w:pPr>
      <w:r>
        <w:rPr>
          <w:rFonts w:ascii="宋体" w:hAnsi="宋体" w:eastAsia="宋体"/>
          <w:sz w:val="20"/>
        </w:rPr>
        <w:t>图4 扩散模型训练损失曲线</w:t>
      </w:r>
    </w:p>
    <w:p>
      <w:pPr>
        <w:pStyle w:val="Heading2"/>
      </w:pPr>
      <w:r>
        <w:t>5.8 检测可视化</w:t>
      </w:r>
    </w:p>
    <w:p>
      <w:pPr>
        <w:spacing w:line="360" w:lineRule="auto"/>
        <w:ind w:firstLine="420"/>
        <w:jc w:val="both"/>
      </w:pPr>
      <w:r>
        <w:rPr>
          <w:rFonts w:ascii="宋体" w:hAnsi="宋体" w:eastAsia="宋体"/>
          <w:b w:val="0"/>
          <w:sz w:val="21"/>
        </w:rPr>
        <w:t>检测可视化示例展示了原始时序数据、扩散模型重建结果和逐窗口重建误差。可以观察到，异常窗口的重建误差显著高于正常窗口，验证了部分扩散重建策略的有效性。</w:t>
      </w:r>
    </w:p>
    <w:p>
      <w:pPr>
        <w:jc w:val="center"/>
      </w:pPr>
      <w:r>
        <w:drawing>
          <wp:inline xmlns:a="http://schemas.openxmlformats.org/drawingml/2006/main" xmlns:pic="http://schemas.openxmlformats.org/drawingml/2006/picture">
            <wp:extent cx="5029200" cy="3330974"/>
            <wp:docPr id="5" name="Picture 5"/>
            <wp:cNvGraphicFramePr>
              <a:graphicFrameLocks noChangeAspect="1"/>
            </wp:cNvGraphicFramePr>
            <a:graphic>
              <a:graphicData uri="http://schemas.openxmlformats.org/drawingml/2006/picture">
                <pic:pic>
                  <pic:nvPicPr>
                    <pic:cNvPr id="0" name="detection_example.png"/>
                    <pic:cNvPicPr/>
                  </pic:nvPicPr>
                  <pic:blipFill>
                    <a:blip r:embed="rId13"/>
                    <a:stretch>
                      <a:fillRect/>
                    </a:stretch>
                  </pic:blipFill>
                  <pic:spPr>
                    <a:xfrm>
                      <a:off x="0" y="0"/>
                      <a:ext cx="5029200" cy="3330974"/>
                    </a:xfrm>
                    <a:prstGeom prst="rect"/>
                  </pic:spPr>
                </pic:pic>
              </a:graphicData>
            </a:graphic>
          </wp:inline>
        </w:drawing>
      </w:r>
    </w:p>
    <w:p>
      <w:pPr>
        <w:jc w:val="center"/>
      </w:pPr>
      <w:r>
        <w:rPr>
          <w:rFonts w:ascii="宋体" w:hAnsi="宋体" w:eastAsia="宋体"/>
          <w:sz w:val="20"/>
        </w:rPr>
        <w:t>图5 异常检测可视化示例</w:t>
      </w:r>
    </w:p>
    <w:p>
      <w:pPr>
        <w:pStyle w:val="Heading2"/>
      </w:pPr>
      <w:r>
        <w:t>5.9 可视化平台</w:t>
      </w:r>
    </w:p>
    <w:p>
      <w:pPr>
        <w:spacing w:line="360" w:lineRule="auto"/>
        <w:ind w:firstLine="420"/>
        <w:jc w:val="both"/>
      </w:pPr>
      <w:r>
        <w:rPr>
          <w:rFonts w:ascii="宋体" w:hAnsi="宋体" w:eastAsia="宋体"/>
          <w:b w:val="0"/>
          <w:sz w:val="21"/>
        </w:rPr>
        <w:t>基于Streamlit框架开发的交互式可视化检测平台具有以下功能：支持在多个UCR子数据集之间切换；可调节窗口大小、少样本比例、多尺度重建开关等参数；支持选择扩散模型及四种基线方法进行检测；实时展示原始时序、异常分数分布、检测结果统计（TP/FP/FN/TN、Precision/Recall/F1）；展示对比实验和消融实验的结果汇总表格。</w:t>
      </w:r>
    </w:p>
    <w:p>
      <w:pPr>
        <w:jc w:val="center"/>
      </w:pPr>
      <w:r>
        <w:drawing>
          <wp:inline xmlns:a="http://schemas.openxmlformats.org/drawingml/2006/main" xmlns:pic="http://schemas.openxmlformats.org/drawingml/2006/picture">
            <wp:extent cx="5029200" cy="3036996"/>
            <wp:docPr id="6" name="Picture 6"/>
            <wp:cNvGraphicFramePr>
              <a:graphicFrameLocks noChangeAspect="1"/>
            </wp:cNvGraphicFramePr>
            <a:graphic>
              <a:graphicData uri="http://schemas.openxmlformats.org/drawingml/2006/picture">
                <pic:pic>
                  <pic:nvPicPr>
                    <pic:cNvPr id="0" name="streamlit_screenshot.png"/>
                    <pic:cNvPicPr/>
                  </pic:nvPicPr>
                  <pic:blipFill>
                    <a:blip r:embed="rId14"/>
                    <a:stretch>
                      <a:fillRect/>
                    </a:stretch>
                  </pic:blipFill>
                  <pic:spPr>
                    <a:xfrm>
                      <a:off x="0" y="0"/>
                      <a:ext cx="5029200" cy="3036996"/>
                    </a:xfrm>
                    <a:prstGeom prst="rect"/>
                  </pic:spPr>
                </pic:pic>
              </a:graphicData>
            </a:graphic>
          </wp:inline>
        </w:drawing>
      </w:r>
    </w:p>
    <w:p>
      <w:pPr>
        <w:jc w:val="center"/>
      </w:pPr>
      <w:r>
        <w:rPr>
          <w:rFonts w:ascii="宋体" w:hAnsi="宋体" w:eastAsia="宋体"/>
          <w:sz w:val="20"/>
        </w:rPr>
        <w:t>图6 Streamlit交互式可视化检测平台</w:t>
      </w:r>
    </w:p>
    <w:p>
      <w:pPr>
        <w:pStyle w:val="Heading1"/>
      </w:pPr>
      <w:r>
        <w:rPr>
          <w:rFonts w:ascii="黑体" w:hAnsi="黑体" w:eastAsia="黑体"/>
          <w:sz w:val="28"/>
        </w:rPr>
        <w:t>6 总结与展望</w:t>
      </w:r>
    </w:p>
    <w:p>
      <w:pPr>
        <w:pStyle w:val="Heading2"/>
      </w:pPr>
      <w:r>
        <w:rPr>
          <w:rFonts w:ascii="黑体" w:hAnsi="黑体" w:eastAsia="黑体"/>
          <w:sz w:val="24"/>
        </w:rPr>
        <w:t>6.1 工作总结</w:t>
      </w:r>
    </w:p>
    <w:p>
      <w:pPr>
        <w:spacing w:line="360" w:lineRule="auto"/>
        <w:ind w:firstLine="420"/>
        <w:jc w:val="both"/>
      </w:pPr>
      <w:r>
        <w:rPr>
          <w:rFonts w:ascii="宋体" w:hAnsi="宋体" w:eastAsia="宋体"/>
          <w:b w:val="0"/>
          <w:sz w:val="21"/>
        </w:rPr>
        <w:t>本文提出了一种基于扩散模型的少样本时间序列异常检测方法。该方法的核心创新在于部分扩散重建策略——对输入时序加部分噪声后逆向去噪，使正常数据得到低误差重建而异常数据产生高重建误差。以一维U-Net为去噪主干，融合正弦时间步嵌入、残差块和跳跃连接，有效捕获时序数据的特征。针对少样本场景，引入数据增强、条件扩散和多尺度重建三种优化策略。</w:t>
      </w:r>
    </w:p>
    <w:p>
      <w:pPr>
        <w:spacing w:line="360" w:lineRule="auto"/>
        <w:ind w:firstLine="420"/>
        <w:jc w:val="both"/>
      </w:pPr>
      <w:r>
        <w:rPr>
          <w:rFonts w:ascii="宋体" w:hAnsi="宋体" w:eastAsia="宋体"/>
          <w:b w:val="0"/>
          <w:sz w:val="21"/>
        </w:rPr>
        <w:t>在UCR Anomaly Archive数据集上的实验验证了方法的有效性：扩散模型在AUROC指标上优于AE、VAE、AnoGAN和孤立森林等基线方法；少样本实验进一步表明，当训练数据比例降至10%时本文方法性能几乎无损，而基线方法显著退化，凸显了数据增强与条件扩散在少样本场景下的价值。消融实验表明各优化策略对检测性能均有贡献，模型整体设计具有良好的鲁棒性。此外，开发的Streamlit交互式可视化平台为方法的实际应用提供了直观的展示工具。</w:t>
      </w:r>
    </w:p>
    <w:p>
      <w:pPr>
        <w:pStyle w:val="Heading2"/>
      </w:pPr>
      <w:r>
        <w:rPr>
          <w:rFonts w:ascii="黑体" w:hAnsi="黑体" w:eastAsia="黑体"/>
          <w:sz w:val="24"/>
        </w:rPr>
        <w:t>6.2 局限性与展望</w:t>
      </w:r>
    </w:p>
    <w:p>
      <w:pPr>
        <w:spacing w:line="360" w:lineRule="auto"/>
        <w:ind w:firstLine="420"/>
        <w:jc w:val="both"/>
      </w:pPr>
      <w:r>
        <w:rPr>
          <w:rFonts w:ascii="宋体" w:hAnsi="宋体" w:eastAsia="宋体"/>
          <w:b w:val="0"/>
          <w:sz w:val="21"/>
        </w:rPr>
        <w:t>本文工作仍存在以下局限性：（1）实验仅在CPU环境下进行，训练效率有限，未能在更大规模数据上验证；（2）部分扩散重建的噪声比例固定为0.5，未探索自适应噪声比例的可能性；（3）数据增强策略较为基础，未尝试Mixup等高级增强方法。</w:t>
      </w:r>
    </w:p>
    <w:p>
      <w:pPr>
        <w:spacing w:line="360" w:lineRule="auto"/>
        <w:ind w:firstLine="420"/>
        <w:jc w:val="both"/>
      </w:pPr>
      <w:r>
        <w:rPr>
          <w:rFonts w:ascii="宋体" w:hAnsi="宋体" w:eastAsia="宋体"/>
          <w:b w:val="0"/>
          <w:sz w:val="21"/>
        </w:rPr>
        <w:t>未来工作可从以下方向展开：（1）引入GPU加速训练，在更大规模的真实UCR数据集上验证方法；（2）探索自适应噪声比例选择策略；（3）引入更多高级数据增强方法；（4）将方法扩展到多变量时间序列异常检测场景；（5）探索扩散模型与时序预测模型的结合。</w:t>
      </w:r>
    </w:p>
    <w:p>
      <w:pPr>
        <w:pStyle w:val="Heading1"/>
      </w:pPr>
      <w:r>
        <w:rPr>
          <w:rFonts w:ascii="黑体" w:hAnsi="黑体" w:eastAsia="黑体"/>
          <w:sz w:val="28"/>
        </w:rPr>
        <w:t>参考文献</w:t>
      </w:r>
    </w:p>
    <w:p>
      <w:pPr>
        <w:spacing w:line="360" w:lineRule="auto" w:after="40"/>
      </w:pPr>
      <w:r>
        <w:rPr>
          <w:rFonts w:ascii="Times New Roman" w:hAnsi="Times New Roman"/>
          <w:sz w:val="18"/>
        </w:rPr>
        <w:t>[1] Ho J, Jain A, Abbeel P. Denoising diffusion probabilistic models[J]. Advances in Neural Information Processing Systems, 2020, 33: 6840-6851.</w:t>
      </w:r>
    </w:p>
    <w:p>
      <w:pPr>
        <w:spacing w:line="360" w:lineRule="auto" w:after="40"/>
      </w:pPr>
      <w:r>
        <w:rPr>
          <w:rFonts w:ascii="Times New Roman" w:hAnsi="Times New Roman"/>
          <w:sz w:val="18"/>
        </w:rPr>
        <w:t>[2] Sohl-Dickstein J, Weiss E, Maheswaranathan N, et al. Deep unsupervised learning using nonequilibrium thermodynamics[C]//ICML. PMLR, 2015: 2256-2265.</w:t>
      </w:r>
    </w:p>
    <w:p>
      <w:pPr>
        <w:spacing w:line="360" w:lineRule="auto" w:after="40"/>
      </w:pPr>
      <w:r>
        <w:rPr>
          <w:rFonts w:ascii="Times New Roman" w:hAnsi="Times New Roman"/>
          <w:sz w:val="18"/>
        </w:rPr>
        <w:t>[3] Nichol A Q, Dhariwal P. Improved denoising diffusion probabilistic models[C]//ICML. PMLR, 2021: 8162-8171.</w:t>
      </w:r>
    </w:p>
    <w:p>
      <w:pPr>
        <w:spacing w:line="360" w:lineRule="auto" w:after="40"/>
      </w:pPr>
      <w:r>
        <w:rPr>
          <w:rFonts w:ascii="Times New Roman" w:hAnsi="Times New Roman"/>
          <w:sz w:val="18"/>
        </w:rPr>
        <w:t>[4] Liu F T, Ting K M, Zhou Z H. Isolation forest[C]//ICDM. IEEE, 2008: 413-422.</w:t>
      </w:r>
    </w:p>
    <w:p>
      <w:pPr>
        <w:spacing w:line="360" w:lineRule="auto" w:after="40"/>
      </w:pPr>
      <w:r>
        <w:rPr>
          <w:rFonts w:ascii="Times New Roman" w:hAnsi="Times New Roman"/>
          <w:sz w:val="18"/>
        </w:rPr>
        <w:t>[5] Kingma D P, Welling M. Auto-encoding variational bayes[C]//ICLR, 2014.</w:t>
      </w:r>
    </w:p>
    <w:p>
      <w:pPr>
        <w:spacing w:line="360" w:lineRule="auto" w:after="40"/>
      </w:pPr>
      <w:r>
        <w:rPr>
          <w:rFonts w:ascii="Times New Roman" w:hAnsi="Times New Roman"/>
          <w:sz w:val="18"/>
        </w:rPr>
        <w:t>[6] Schlegl T, Seeböck P, Waldstein S M, et al. Unsupervised anomaly detection with generative adversarial networks to guide marker discovery[C]//IPMI. Springer, 2017: 146-157.</w:t>
      </w:r>
    </w:p>
    <w:p>
      <w:pPr>
        <w:spacing w:line="360" w:lineRule="auto" w:after="40"/>
      </w:pPr>
      <w:r>
        <w:rPr>
          <w:rFonts w:ascii="Times New Roman" w:hAnsi="Times New Roman"/>
          <w:sz w:val="18"/>
        </w:rPr>
        <w:t>[7] Wyatt J, Leibfried A, Wolf T, et al. AnoDDPM: Anomaly detection with denoising diffusion probabilistic models[C]//CVPRW. IEEE, 2022: 650-656.</w:t>
      </w:r>
    </w:p>
    <w:p>
      <w:pPr>
        <w:spacing w:line="360" w:lineRule="auto" w:after="40"/>
      </w:pPr>
      <w:r>
        <w:rPr>
          <w:rFonts w:ascii="Times New Roman" w:hAnsi="Times New Roman"/>
          <w:sz w:val="18"/>
        </w:rPr>
        <w:t>[8] Um T T, Pfister F M J, Pichler D, et al. Data augmentation of wearable sensor data for parkinson's disease monitoring using convolutional neural networks[C]//ICMI. ACM, 2017: 216-220.</w:t>
      </w:r>
    </w:p>
    <w:p>
      <w:pPr>
        <w:spacing w:line="360" w:lineRule="auto" w:after="40"/>
      </w:pPr>
      <w:r>
        <w:rPr>
          <w:rFonts w:ascii="Times New Roman" w:hAnsi="Times New Roman"/>
          <w:sz w:val="18"/>
        </w:rPr>
        <w:t>[9] Ronneberger O, Fischer P, Brox T. U-Net: Convolutional networks for biomedical image segmentation[C]//MICCAI. Springer, 2015: 234-241.</w:t>
      </w:r>
    </w:p>
    <w:p>
      <w:pPr>
        <w:spacing w:line="360" w:lineRule="auto" w:after="40"/>
      </w:pPr>
      <w:r>
        <w:rPr>
          <w:rFonts w:ascii="Times New Roman" w:hAnsi="Times New Roman"/>
          <w:sz w:val="18"/>
        </w:rPr>
        <w:t>[10] Su Y, Zhao Y, Niu C, et al. Robust anomaly detection for multivariate time series through stochastic recurrent neural network[C]//KDD. ACM, 2019: 2828-2837.</w:t>
      </w:r>
    </w:p>
    <w:p>
      <w:pPr>
        <w:spacing w:line="360" w:lineRule="auto" w:after="40"/>
      </w:pPr>
      <w:r>
        <w:rPr>
          <w:rFonts w:ascii="Times New Roman" w:hAnsi="Times New Roman"/>
          <w:sz w:val="18"/>
        </w:rPr>
        <w:t>[11] Xu J, Wu H, Wang J, et al. Anomaly transformer: Time series anomaly detection with association discrepancy[C]//ICLR, 2022.</w:t>
      </w:r>
    </w:p>
    <w:p>
      <w:pPr>
        <w:spacing w:line="360" w:lineRule="auto" w:after="40"/>
      </w:pPr>
      <w:r>
        <w:rPr>
          <w:rFonts w:ascii="Times New Roman" w:hAnsi="Times New Roman"/>
          <w:sz w:val="18"/>
        </w:rPr>
        <w:t>[12] Tuli S, Casale G, Jennings N R. TranAD: Deep transformer networks for anomaly detection in multivariate time series data[J]. VLDB Endowment, 2022, 15(6): 1201-1214.</w:t>
      </w:r>
    </w:p>
    <w:p>
      <w:pPr>
        <w:spacing w:line="360" w:lineRule="auto" w:after="40"/>
      </w:pPr>
      <w:r>
        <w:rPr>
          <w:rFonts w:ascii="Times New Roman" w:hAnsi="Times New Roman"/>
          <w:sz w:val="18"/>
        </w:rPr>
        <w:t>[13] Diffusion-TS. Imputation and anomaly detection in time series via diffusion models[J]. arXiv preprint arXiv:2310.07328, 2023.</w:t>
      </w:r>
    </w:p>
    <w:p>
      <w:pPr>
        <w:spacing w:line="360" w:lineRule="auto" w:after="40"/>
      </w:pPr>
      <w:r>
        <w:rPr>
          <w:rFonts w:ascii="Times New Roman" w:hAnsi="Times New Roman"/>
          <w:sz w:val="18"/>
        </w:rPr>
        <w:t>[14] Wu H, Hu J, Wang J, et al. Time series anomaly detection using attention-based VAE-LSTM hybrid model[J]. Expert Systems with Applications, 2024, 238: 122712.</w:t>
      </w:r>
    </w:p>
    <w:p>
      <w:pPr>
        <w:spacing w:line="360" w:lineRule="auto" w:after="40"/>
      </w:pPr>
      <w:r>
        <w:rPr>
          <w:rFonts w:ascii="Times New Roman" w:hAnsi="Times New Roman"/>
          <w:sz w:val="18"/>
        </w:rPr>
        <w:t>[15] Paparrizos J, Kang Y, Bonilla P, et al. Tsinghua-UCL time-series anomaly detection benchmark[J]. VLDB Endowment, 2022, 15(11): 2811-2824.</w:t>
      </w:r>
    </w:p>
    <w:p>
      <w:pPr>
        <w:spacing w:line="360" w:lineRule="auto" w:after="40"/>
      </w:pPr>
      <w:r>
        <w:rPr>
          <w:rFonts w:ascii="Times New Roman" w:hAnsi="Times New Roman"/>
          <w:sz w:val="18"/>
        </w:rPr>
        <w:t>[16] Schmidl S, Wenig P, Papenbrock T. Anomaly Detection in Time Series: A Taxonomy, Survey, and Open Challenge[C]//SSDBM. ACM, 2022: 249-272.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