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4A607A"/>
          <w:sz w:val="18"/>
        </w:rPr>
        <w:t>研究成果移轉與技術交接指導書 ｜ RESEARCH &amp; TECHNICAL HANDOVER REPORT</w:t>
      </w:r>
    </w:p>
    <w:p>
      <w:pPr>
        <w:spacing w:before="80" w:after="120"/>
      </w:pPr>
      <w:r>
        <w:rPr>
          <w:rFonts w:ascii="微軟正黑體" w:hAnsi="微軟正黑體"/>
          <w:b/>
          <w:color w:val="2C3E50"/>
          <w:sz w:val="42"/>
        </w:rPr>
        <w:t>DM.xls 生理代謝指標組別差異檢定</w:t>
        <w:br/>
        <w:t>暨統計視覺化交接報告書</w:t>
      </w:r>
    </w:p>
    <w:p>
      <w:pPr>
        <w:spacing w:after="280"/>
      </w:pPr>
      <w:r>
        <w:rPr>
          <w:rFonts w:ascii="微軟正黑體" w:hAnsi="微軟正黑體"/>
          <w:color w:val="505050"/>
          <w:sz w:val="22"/>
        </w:rPr>
        <w:t>聚焦單一組別因子之推論統計學架構、母數/無母數雙軌檢定驗證與高解析 Seaborn 箱型圖</w:t>
      </w:r>
    </w:p>
    <w:tbl>
      <w:tblPr>
        <w:tblW w:type="auto" w:w="0"/>
        <w:jc w:val="center"/>
        <w:tblLook w:firstColumn="1" w:firstRow="1" w:lastColumn="0" w:lastRow="0" w:noHBand="0" w:noVBand="1" w:val="04A0"/>
      </w:tblPr>
      <w:tblGrid>
        <w:gridCol w:w="4680"/>
        <w:gridCol w:w="4680"/>
      </w:tblGrid>
      <w:tr>
        <w:tc>
          <w:tcPr>
            <w:tcW w:type="dxa" w:w="2592"/>
            <w:shd w:fill="EAEDED"/>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b/>
                <w:color w:val="2C3E50"/>
                <w:sz w:val="18"/>
              </w:rPr>
              <w:t>專案移交主題</w:t>
            </w:r>
          </w:p>
        </w:tc>
        <w:tc>
          <w:tcPr>
            <w:tcW w:type="dxa" w:w="6768"/>
            <w:shd w:fill="FDFEFE"/>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8"/>
              </w:rPr>
              <w:t>DM.xls 血糖、收縮壓與身體質量指數 (BMI) 組別檢驗專案</w:t>
            </w:r>
          </w:p>
        </w:tc>
      </w:tr>
      <w:tr>
        <w:tc>
          <w:tcPr>
            <w:tcW w:type="dxa" w:w="2592"/>
            <w:shd w:fill="EAEDED"/>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b/>
                <w:color w:val="2C3E50"/>
                <w:sz w:val="18"/>
              </w:rPr>
              <w:t>交接對象與職能</w:t>
            </w:r>
          </w:p>
        </w:tc>
        <w:tc>
          <w:tcPr>
            <w:tcW w:type="dxa" w:w="6768"/>
            <w:shd w:fill="FDFEFE"/>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8"/>
              </w:rPr>
              <w:t>接手數據工程師、統計研究人員、臨床試驗協同團隊</w:t>
            </w:r>
          </w:p>
        </w:tc>
      </w:tr>
      <w:tr>
        <w:tc>
          <w:tcPr>
            <w:tcW w:type="dxa" w:w="2592"/>
            <w:shd w:fill="EAEDED"/>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b/>
                <w:color w:val="2C3E50"/>
                <w:sz w:val="18"/>
              </w:rPr>
              <w:t>實驗架構設定</w:t>
            </w:r>
          </w:p>
        </w:tc>
        <w:tc>
          <w:tcPr>
            <w:tcW w:type="dxa" w:w="6768"/>
            <w:shd w:fill="FDFEFE"/>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8"/>
              </w:rPr>
              <w:t>單因子完全隨機設計 (Single-Factor CRD)，自變數：組別 (1 vs 2)</w:t>
            </w:r>
          </w:p>
        </w:tc>
      </w:tr>
      <w:tr>
        <w:tc>
          <w:tcPr>
            <w:tcW w:type="dxa" w:w="2592"/>
            <w:shd w:fill="EAEDED"/>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b/>
                <w:color w:val="2C3E50"/>
                <w:sz w:val="18"/>
              </w:rPr>
              <w:t>統計檢驗體系</w:t>
            </w:r>
          </w:p>
        </w:tc>
        <w:tc>
          <w:tcPr>
            <w:tcW w:type="dxa" w:w="6768"/>
            <w:shd w:fill="FDFEFE"/>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8"/>
              </w:rPr>
              <w:t>Shapiro-Wilk 常態性檢定、Levene 變異數同質性、Welch's t 檢定、Mann-Whitney U 檢定、Cohen's d 效應量</w:t>
            </w:r>
          </w:p>
        </w:tc>
      </w:tr>
      <w:tr>
        <w:tc>
          <w:tcPr>
            <w:tcW w:type="dxa" w:w="2592"/>
            <w:shd w:fill="EAEDED"/>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b/>
                <w:color w:val="2C3E50"/>
                <w:sz w:val="18"/>
              </w:rPr>
              <w:t>交付版本與日期</w:t>
            </w:r>
          </w:p>
        </w:tc>
        <w:tc>
          <w:tcPr>
            <w:tcW w:type="dxa" w:w="6768"/>
            <w:shd w:fill="FDFEFE"/>
            <w:tcMar>
              <w:top w:w="65" w:type="dxa"/>
              <w:bottom w:w="65"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8"/>
              </w:rPr>
              <w:t>技術版本 2.0 (獨立新版，非覆蓋) ｜ 2026 年 10 月 08 日</w:t>
            </w:r>
          </w:p>
        </w:tc>
      </w:tr>
    </w:tbl>
    <w:p>
      <w:pPr>
        <w:spacing w:after="200"/>
      </w:pPr>
    </w:p>
    <w:p>
      <w:pPr>
        <w:pStyle w:val="Heading1"/>
        <w:spacing w:before="240" w:after="100"/>
      </w:pPr>
      <w:r>
        <w:rPr>
          <w:rFonts w:ascii="微軟正黑體" w:hAnsi="微軟正黑體"/>
          <w:b/>
          <w:color w:val="2C3E50"/>
          <w:sz w:val="27"/>
        </w:rPr>
        <w:t>壹、研究緣起與專案分析範圍</w:t>
      </w:r>
    </w:p>
    <w:p>
      <w:pPr>
        <w:spacing w:line="300" w:lineRule="auto" w:after="100"/>
      </w:pPr>
      <w:r>
        <w:t>本報告旨在完整記錄並轉移針對試驗數據檔 DM.xls 之探索性與推論性統計成果。為精確回應委託端之特定研究目標，分析策略採行「單一實驗處置因子（Single Experimental Factor: 組別）」模式，旨在排除性別或年齡等共變因子之多重分層干擾，全力檢證受試對象在以下三大代謝生理指標上之組間效應量與分離程度：</w:t>
      </w:r>
    </w:p>
    <w:p>
      <w:pPr>
        <w:pStyle w:val="ListBullet"/>
        <w:spacing w:after="40" w:line="276" w:lineRule="auto"/>
      </w:pPr>
      <w:r>
        <w:rPr>
          <w:rFonts w:ascii="微軟正黑體" w:hAnsi="微軟正黑體"/>
          <w:b/>
        </w:rPr>
        <w:t>血液葡萄糖濃度 (Glucose, mg/dL)：</w:t>
      </w:r>
      <w:r>
        <w:rPr>
          <w:rFonts w:ascii="微軟正黑體" w:hAnsi="微軟正黑體"/>
        </w:rPr>
        <w:t>表徵周邊組織對胰島素之敏感性與內生性糖質調節恆定能力。</w:t>
      </w:r>
    </w:p>
    <w:p>
      <w:pPr>
        <w:pStyle w:val="ListBullet"/>
        <w:spacing w:after="40" w:line="276" w:lineRule="auto"/>
      </w:pPr>
      <w:r>
        <w:rPr>
          <w:rFonts w:ascii="微軟正黑體" w:hAnsi="微軟正黑體"/>
          <w:b/>
        </w:rPr>
        <w:t>動脈收縮血壓 (Systolic BP, mmHg)：</w:t>
      </w:r>
      <w:r>
        <w:rPr>
          <w:rFonts w:ascii="微軟正黑體" w:hAnsi="微軟正黑體"/>
        </w:rPr>
        <w:t>反映大血管阻抗動態與心血管循環系統承受之後負荷 (Afterload)。</w:t>
      </w:r>
    </w:p>
    <w:p>
      <w:pPr>
        <w:pStyle w:val="ListBullet"/>
        <w:spacing w:after="40" w:line="276" w:lineRule="auto"/>
      </w:pPr>
      <w:r>
        <w:rPr>
          <w:rFonts w:ascii="微軟正黑體" w:hAnsi="微軟正黑體"/>
          <w:b/>
        </w:rPr>
        <w:t>身體質量指數 (BMI, kg/m²)：</w:t>
      </w:r>
      <w:r>
        <w:rPr>
          <w:rFonts w:ascii="微軟正黑體" w:hAnsi="微軟正黑體"/>
        </w:rPr>
        <w:t>評估人體脂肪蓄積程度與骨架肌肉比重之標準化人體測量學指標。</w:t>
      </w:r>
    </w:p>
    <w:tbl>
      <w:tblPr>
        <w:tblW w:type="auto" w:w="0"/>
        <w:jc w:val="center"/>
        <w:tblLook w:firstColumn="1" w:firstRow="1" w:lastColumn="0" w:lastRow="0" w:noHBand="0" w:noVBand="1" w:val="04A0"/>
      </w:tblPr>
      <w:tblGrid>
        <w:gridCol w:w="9360"/>
      </w:tblGrid>
      <w:tr>
        <w:tc>
          <w:tcPr>
            <w:tcW w:type="dxa" w:w="9360"/>
            <w:shd w:fill="F2F4F4"/>
            <w:tcMar>
              <w:top w:w="130" w:type="dxa"/>
              <w:bottom w:w="130" w:type="dxa"/>
              <w:left w:w="160" w:type="dxa"/>
              <w:right w:w="160" w:type="dxa"/>
            </w:tcMar>
            <w:tcBorders>
              <w:top w:val="none" w:sz="4" w:space="0" w:color="auto"/>
              <w:left w:val="single" w:sz="22" w:space="0" w:color="2C3E50"/>
              <w:bottom w:val="none" w:sz="4" w:space="0" w:color="auto"/>
              <w:right w:val="none" w:sz="4" w:space="0" w:color="auto"/>
            </w:tcBorders>
          </w:tcPr>
          <w:p>
            <w:pPr>
              <w:spacing w:line="300" w:lineRule="auto" w:before="20" w:after="20"/>
            </w:pPr>
            <w:r>
              <w:rPr>
                <w:rFonts w:ascii="微軟正黑體" w:hAnsi="微軟正黑體"/>
                <w:b/>
                <w:color w:val="2C3E50"/>
                <w:sz w:val="19"/>
              </w:rPr>
              <w:t>💡 交接文檔版本聲明：</w:t>
              <w:br/>
            </w:r>
            <w:r>
              <w:rPr>
                <w:rFonts w:ascii="微軟正黑體" w:hAnsi="微軟正黑體"/>
                <w:color w:val="323232"/>
                <w:sz w:val="18"/>
              </w:rPr>
              <w:t>此版本為獨立產製之第二版技術移轉手冊，未更動或覆蓋前次成果。內容針對方法學推導、檢驗數值表及臨床意涵進行了全面性的重新論述，並導入全新深紫與松石綠視覺配色圖表。</w:t>
            </w:r>
          </w:p>
        </w:tc>
      </w:tr>
    </w:tbl>
    <w:p>
      <w:pPr>
        <w:spacing w:after="60"/>
      </w:pPr>
    </w:p>
    <w:p>
      <w:pPr>
        <w:pStyle w:val="Heading1"/>
        <w:spacing w:before="260" w:after="100"/>
      </w:pPr>
      <w:r>
        <w:rPr>
          <w:rFonts w:ascii="微軟正黑體" w:hAnsi="微軟正黑體"/>
          <w:b/>
          <w:color w:val="2C3E50"/>
          <w:sz w:val="27"/>
        </w:rPr>
        <w:t>貳、資料架構與健康參數定義</w:t>
      </w:r>
    </w:p>
    <w:p>
      <w:pPr>
        <w:spacing w:line="300" w:lineRule="auto" w:after="100"/>
      </w:pPr>
      <w:r>
        <w:t>來源資料集儲存於微軟舊版活頁簿 DM.xls（以 Big5 編碼儲存），資料列總計 22 行（對應 22 位完成試驗之受試者），各觀察值均具備完整性，無插補或遺漏值。各欄位屬性與臨床角色劃分如下表所示：</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C3E50"/>
            <w:tcMar>
              <w:top w:w="80" w:type="dxa"/>
              <w:bottom w:w="80" w:type="dxa"/>
              <w:left w:w="90" w:type="dxa"/>
              <w:right w:w="90" w:type="dxa"/>
            </w:tcMar>
          </w:tcPr>
          <w:p>
            <w:pPr>
              <w:spacing w:after="0"/>
              <w:jc w:val="center"/>
            </w:pPr>
            <w:r>
              <w:rPr>
                <w:rFonts w:ascii="微軟正黑體" w:hAnsi="微軟正黑體"/>
                <w:b/>
                <w:color w:val="FFFFFF"/>
                <w:sz w:val="17"/>
              </w:rPr>
              <w:t>參數欄位</w:t>
            </w:r>
          </w:p>
        </w:tc>
        <w:tc>
          <w:tcPr>
            <w:tcW w:type="dxa" w:w="1872"/>
            <w:shd w:fill="2C3E50"/>
            <w:tcMar>
              <w:top w:w="80" w:type="dxa"/>
              <w:bottom w:w="80" w:type="dxa"/>
              <w:left w:w="90" w:type="dxa"/>
              <w:right w:w="90" w:type="dxa"/>
            </w:tcMar>
          </w:tcPr>
          <w:p>
            <w:pPr>
              <w:spacing w:after="0"/>
              <w:jc w:val="center"/>
            </w:pPr>
            <w:r>
              <w:rPr>
                <w:rFonts w:ascii="微軟正黑體" w:hAnsi="微軟正黑體"/>
                <w:b/>
                <w:color w:val="FFFFFF"/>
                <w:sz w:val="17"/>
              </w:rPr>
              <w:t>儲存型態</w:t>
            </w:r>
          </w:p>
        </w:tc>
        <w:tc>
          <w:tcPr>
            <w:tcW w:type="dxa" w:w="1872"/>
            <w:shd w:fill="2C3E50"/>
            <w:tcMar>
              <w:top w:w="80" w:type="dxa"/>
              <w:bottom w:w="80" w:type="dxa"/>
              <w:left w:w="90" w:type="dxa"/>
              <w:right w:w="90" w:type="dxa"/>
            </w:tcMar>
          </w:tcPr>
          <w:p>
            <w:pPr>
              <w:spacing w:after="0"/>
              <w:jc w:val="center"/>
            </w:pPr>
            <w:r>
              <w:rPr>
                <w:rFonts w:ascii="微軟正黑體" w:hAnsi="微軟正黑體"/>
                <w:b/>
                <w:color w:val="FFFFFF"/>
                <w:sz w:val="17"/>
              </w:rPr>
              <w:t>研究變因角色</w:t>
            </w:r>
          </w:p>
        </w:tc>
        <w:tc>
          <w:tcPr>
            <w:tcW w:type="dxa" w:w="1872"/>
            <w:shd w:fill="2C3E50"/>
            <w:tcMar>
              <w:top w:w="80" w:type="dxa"/>
              <w:bottom w:w="80" w:type="dxa"/>
              <w:left w:w="90" w:type="dxa"/>
              <w:right w:w="90" w:type="dxa"/>
            </w:tcMar>
          </w:tcPr>
          <w:p>
            <w:pPr>
              <w:spacing w:after="0"/>
              <w:jc w:val="center"/>
            </w:pPr>
            <w:r>
              <w:rPr>
                <w:rFonts w:ascii="微軟正黑體" w:hAnsi="微軟正黑體"/>
                <w:b/>
                <w:color w:val="FFFFFF"/>
                <w:sz w:val="17"/>
              </w:rPr>
              <w:t>測量範圍</w:t>
            </w:r>
          </w:p>
        </w:tc>
        <w:tc>
          <w:tcPr>
            <w:tcW w:type="dxa" w:w="1872"/>
            <w:shd w:fill="2C3E50"/>
            <w:tcMar>
              <w:top w:w="80" w:type="dxa"/>
              <w:bottom w:w="80" w:type="dxa"/>
              <w:left w:w="90" w:type="dxa"/>
              <w:right w:w="90" w:type="dxa"/>
            </w:tcMar>
          </w:tcPr>
          <w:p>
            <w:pPr>
              <w:spacing w:after="0"/>
              <w:jc w:val="center"/>
            </w:pPr>
            <w:r>
              <w:rPr>
                <w:rFonts w:ascii="微軟正黑體" w:hAnsi="微軟正黑體"/>
                <w:b/>
                <w:color w:val="FFFFFF"/>
                <w:sz w:val="17"/>
              </w:rPr>
              <w:t>操作型定義</w:t>
            </w:r>
          </w:p>
        </w:tc>
      </w:tr>
      <w:tr>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編號</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整數 (int64)</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個案辨識碼</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1 ~ 200</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受試者隨機代號</w:t>
            </w:r>
          </w:p>
        </w:tc>
      </w:tr>
      <w:tr>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組別</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整數 (int64)</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自變量 (X)</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1 或 2</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試驗組別：組別 1 (n=11)；組別 2 (n=11)</w:t>
            </w:r>
          </w:p>
        </w:tc>
      </w:tr>
      <w:tr>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性別</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整數 (int64)</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背景屬性</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1=男, 2=女</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男性 10 名、女性 12 名</w:t>
            </w:r>
          </w:p>
        </w:tc>
      </w:tr>
      <w:tr>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年齡</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整數 (int64)</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人口學背景</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35 ~ 60 歲</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受試者實足年齡</w:t>
            </w:r>
          </w:p>
        </w:tc>
      </w:tr>
      <w:tr>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收縮壓 (mmHg)</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整數 (int64)</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連續應變量 (Y1)</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118 ~ 162</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靜息狀態下動脈收縮壓</w:t>
            </w:r>
          </w:p>
        </w:tc>
      </w:tr>
      <w:tr>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血糖 (mg/dL)</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整數 (int64)</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連續應變量 (Y2)</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88 ~ 212</w:t>
            </w:r>
          </w:p>
        </w:tc>
        <w:tc>
          <w:tcPr>
            <w:tcW w:type="dxa" w:w="1872"/>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隨機/空腹血漿葡萄糖水平</w:t>
            </w:r>
          </w:p>
        </w:tc>
      </w:tr>
      <w:tr>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BMI (kg/m²)</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浮點數 (float64)</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連續應變量 (Y3)</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21.7 ~ 32.3</w:t>
            </w:r>
          </w:p>
        </w:tc>
        <w:tc>
          <w:tcPr>
            <w:tcW w:type="dxa" w:w="1872"/>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體重(kg)除以身高平方(m²)</w:t>
            </w:r>
          </w:p>
        </w:tc>
      </w:tr>
    </w:tbl>
    <w:p>
      <w:pPr>
        <w:spacing w:after="160"/>
      </w:pPr>
    </w:p>
    <w:p>
      <w:pPr>
        <w:pStyle w:val="Heading1"/>
        <w:spacing w:before="260" w:after="100"/>
      </w:pPr>
      <w:r>
        <w:rPr>
          <w:rFonts w:ascii="微軟正黑體" w:hAnsi="微軟正黑體"/>
          <w:b/>
          <w:color w:val="2C3E50"/>
          <w:sz w:val="27"/>
        </w:rPr>
        <w:t>參、統計檢定推論體系與方法學規範</w:t>
      </w:r>
    </w:p>
    <w:p>
      <w:pPr>
        <w:spacing w:line="300" w:lineRule="auto" w:after="100"/>
      </w:pPr>
      <w:r>
        <w:rPr>
          <w:rFonts w:ascii="微軟正黑體" w:hAnsi="微軟正黑體"/>
          <w:sz w:val="19"/>
        </w:rPr>
        <w:t>為使統計結果具備高水準之可信度與學術規範，本研究建構了「前提假設診斷 ➔ 母數/無母數雙軌檢定 ➔ 效應量估計」之完整推論流程：</w:t>
        <w:br/>
        <w:br/>
        <w:t>1. 探索性分佈特徵：</w:t>
        <w:br/>
        <w:t xml:space="preserve">   - 算術均值 (Sample Mean) 與樣本標準差 (Sample SD)：表徵整體數值重心與分散度。</w:t>
        <w:br/>
        <w:t xml:space="preserve">   - 中位數 (Median) 與四分位距 (IQR = Q3 - Q1)：針對小樣本與潛在偏斜具備高度容忍度之抗干擾量數。</w:t>
        <w:br/>
        <w:br/>
        <w:t>2. 統計模型前提診斷 (Diagnostic Assumptions)：</w:t>
        <w:br/>
        <w:t xml:space="preserve">   - 夏皮洛-威爾克常態檢定 (Shapiro-Wilk Test)：針對兩組各自評估母體常態性假設 (H₀: 服從常態分配)。若檢定 p 值大於 0.05，代表符合常態母體分佈之要求。</w:t>
        <w:br/>
        <w:t xml:space="preserve">   - 萊文變異數同質性檢定 (Levene's Test)：評估兩組離散程度是否齊一 (H₀: σ₁² = σ₂²)。當 p &lt; 0.05 時，傳統等變異數 t 檢定將產生第一型錯誤膨脹，因此必須切換至自由度調整方案。</w:t>
        <w:br/>
        <w:br/>
        <w:t>3. 差異性推論檢定模型：</w:t>
        <w:br/>
        <w:t xml:space="preserve">   - 韋爾奇校正獨立樣本 t 檢定 (Welch's Two-Sample t-test)：採用 Welch-Satterthwaite 自由度近似法，免除母體變異數齊一性之硬性假設限制，為現代醫學生物統計界公認最穩健之小樣本組間均值比較模型。</w:t>
        <w:br/>
        <w:t xml:space="preserve">   - 曼-惠特尼等級檢定 (Mann-Whitney U Test)：作為非參數對照檢定，直接排定全體數值之等級序位進行 Rank Sum 檢驗，確保結論在無母數前提下依然成立。</w:t>
        <w:br/>
        <w:t xml:space="preserve">   - 均值差值之 95% 信賴區間 (95% Confidence Interval)：量化母體均值真值差距之可能區間範圍。</w:t>
        <w:br/>
        <w:br/>
        <w:t>4. 臨床實質效應量評估 (Clinical Effect Size)：</w:t>
        <w:br/>
        <w:t xml:space="preserve">   - 柯恩氏 d (Cohen's d)：度量組間均值差達到多少個標準差單位。</w:t>
        <w:br/>
        <w:t xml:space="preserve">   - 海吉斯 g (Hedges' g)：針對小樣本 (n₁=11, n₂=11) 導入無偏校正因子 (1 - 3/(4N-9))，避免高估母體效應量。</w:t>
        <w:br/>
        <w:t xml:space="preserve">   - 判定閥值：d &gt; 0.8 定義為實質顯著大效應，d &gt; 1.2 定義為極巨大分群效應。</w:t>
      </w:r>
    </w:p>
    <w:p>
      <w:pPr>
        <w:pStyle w:val="Heading1"/>
        <w:spacing w:before="260" w:after="100"/>
      </w:pPr>
      <w:r>
        <w:rPr>
          <w:rFonts w:ascii="微軟正黑體" w:hAnsi="微軟正黑體"/>
          <w:b/>
          <w:color w:val="2C3E50"/>
          <w:sz w:val="27"/>
        </w:rPr>
        <w:t>肆、實證檢驗數據成果與臨床觀察</w:t>
      </w:r>
    </w:p>
    <w:p>
      <w:pPr>
        <w:spacing w:before="120" w:after="60"/>
      </w:pPr>
      <w:r>
        <w:rPr>
          <w:rFonts w:ascii="微軟正黑體" w:hAnsi="微軟正黑體"/>
          <w:b/>
          <w:color w:val="2C3E50"/>
          <w:sz w:val="19"/>
        </w:rPr>
        <w:t>表 4-1：常態性 (Shapiro-Wilk) 與變異數同質性 (Levene) 前提檢驗結果表</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C3E50"/>
            <w:tcMar>
              <w:top w:w="70" w:type="dxa"/>
              <w:bottom w:w="70" w:type="dxa"/>
              <w:left w:w="70" w:type="dxa"/>
              <w:right w:w="70" w:type="dxa"/>
            </w:tcMar>
          </w:tcPr>
          <w:p>
            <w:pPr>
              <w:spacing w:after="0"/>
              <w:jc w:val="center"/>
            </w:pPr>
            <w:r>
              <w:rPr>
                <w:rFonts w:ascii="微軟正黑體" w:hAnsi="微軟正黑體"/>
                <w:b/>
                <w:color w:val="FFFFFF"/>
                <w:sz w:val="17"/>
              </w:rPr>
              <w:t>指標名稱</w:t>
            </w:r>
          </w:p>
        </w:tc>
        <w:tc>
          <w:tcPr>
            <w:tcW w:type="dxa" w:w="1560"/>
            <w:shd w:fill="2C3E50"/>
            <w:tcMar>
              <w:top w:w="70" w:type="dxa"/>
              <w:bottom w:w="70" w:type="dxa"/>
              <w:left w:w="70" w:type="dxa"/>
              <w:right w:w="70" w:type="dxa"/>
            </w:tcMar>
          </w:tcPr>
          <w:p>
            <w:pPr>
              <w:spacing w:after="0"/>
              <w:jc w:val="center"/>
            </w:pPr>
            <w:r>
              <w:rPr>
                <w:rFonts w:ascii="微軟正黑體" w:hAnsi="微軟正黑體"/>
                <w:b/>
                <w:color w:val="FFFFFF"/>
                <w:sz w:val="17"/>
              </w:rPr>
              <w:t>組別 1 常態性 (W, p)</w:t>
            </w:r>
          </w:p>
        </w:tc>
        <w:tc>
          <w:tcPr>
            <w:tcW w:type="dxa" w:w="1560"/>
            <w:shd w:fill="2C3E50"/>
            <w:tcMar>
              <w:top w:w="70" w:type="dxa"/>
              <w:bottom w:w="70" w:type="dxa"/>
              <w:left w:w="70" w:type="dxa"/>
              <w:right w:w="70" w:type="dxa"/>
            </w:tcMar>
          </w:tcPr>
          <w:p>
            <w:pPr>
              <w:spacing w:after="0"/>
              <w:jc w:val="center"/>
            </w:pPr>
            <w:r>
              <w:rPr>
                <w:rFonts w:ascii="微軟正黑體" w:hAnsi="微軟正黑體"/>
                <w:b/>
                <w:color w:val="FFFFFF"/>
                <w:sz w:val="17"/>
              </w:rPr>
              <w:t>組別 2 常態性 (W, p)</w:t>
            </w:r>
          </w:p>
        </w:tc>
        <w:tc>
          <w:tcPr>
            <w:tcW w:type="dxa" w:w="1560"/>
            <w:shd w:fill="2C3E50"/>
            <w:tcMar>
              <w:top w:w="70" w:type="dxa"/>
              <w:bottom w:w="70" w:type="dxa"/>
              <w:left w:w="70" w:type="dxa"/>
              <w:right w:w="70" w:type="dxa"/>
            </w:tcMar>
          </w:tcPr>
          <w:p>
            <w:pPr>
              <w:spacing w:after="0"/>
              <w:jc w:val="center"/>
            </w:pPr>
            <w:r>
              <w:rPr>
                <w:rFonts w:ascii="微軟正黑體" w:hAnsi="微軟正黑體"/>
                <w:b/>
                <w:color w:val="FFFFFF"/>
                <w:sz w:val="17"/>
              </w:rPr>
              <w:t>常態假設診斷</w:t>
            </w:r>
          </w:p>
        </w:tc>
        <w:tc>
          <w:tcPr>
            <w:tcW w:type="dxa" w:w="1560"/>
            <w:shd w:fill="2C3E50"/>
            <w:tcMar>
              <w:top w:w="70" w:type="dxa"/>
              <w:bottom w:w="70" w:type="dxa"/>
              <w:left w:w="70" w:type="dxa"/>
              <w:right w:w="70" w:type="dxa"/>
            </w:tcMar>
          </w:tcPr>
          <w:p>
            <w:pPr>
              <w:spacing w:after="0"/>
              <w:jc w:val="center"/>
            </w:pPr>
            <w:r>
              <w:rPr>
                <w:rFonts w:ascii="微軟正黑體" w:hAnsi="微軟正黑體"/>
                <w:b/>
                <w:color w:val="FFFFFF"/>
                <w:sz w:val="17"/>
              </w:rPr>
              <w:t>Levene 檢定 (F, p)</w:t>
            </w:r>
          </w:p>
        </w:tc>
        <w:tc>
          <w:tcPr>
            <w:tcW w:type="dxa" w:w="1560"/>
            <w:shd w:fill="2C3E50"/>
            <w:tcMar>
              <w:top w:w="70" w:type="dxa"/>
              <w:bottom w:w="70" w:type="dxa"/>
              <w:left w:w="70" w:type="dxa"/>
              <w:right w:w="70" w:type="dxa"/>
            </w:tcMar>
          </w:tcPr>
          <w:p>
            <w:pPr>
              <w:spacing w:after="0"/>
              <w:jc w:val="center"/>
            </w:pPr>
            <w:r>
              <w:rPr>
                <w:rFonts w:ascii="微軟正黑體" w:hAnsi="微軟正黑體"/>
                <w:b/>
                <w:color w:val="FFFFFF"/>
                <w:sz w:val="17"/>
              </w:rPr>
              <w:t>變異數齊一性診斷</w:t>
            </w:r>
          </w:p>
        </w:tc>
      </w:tr>
      <w:tr>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血糖 (mg/dL)</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 = 0.935, p = 0.461</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 = 0.919, p = 0.311</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通過常態檢驗 (p &gt; 0.05)</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F = 4.875, p = 0.039 *</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顯著異質 (不齊一)</w:t>
            </w:r>
          </w:p>
        </w:tc>
      </w:tr>
      <w:tr>
        <w:tc>
          <w:tcPr>
            <w:tcW w:type="dxa" w:w="1560"/>
            <w:shd w:fill="F8F9F9"/>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收縮壓 (mmHg)</w:t>
            </w:r>
          </w:p>
        </w:tc>
        <w:tc>
          <w:tcPr>
            <w:tcW w:type="dxa" w:w="1560"/>
            <w:shd w:fill="F8F9F9"/>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 = 0.954, p = 0.699</w:t>
            </w:r>
          </w:p>
        </w:tc>
        <w:tc>
          <w:tcPr>
            <w:tcW w:type="dxa" w:w="1560"/>
            <w:shd w:fill="F8F9F9"/>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 = 0.939, p = 0.512</w:t>
            </w:r>
          </w:p>
        </w:tc>
        <w:tc>
          <w:tcPr>
            <w:tcW w:type="dxa" w:w="1560"/>
            <w:shd w:fill="F8F9F9"/>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通過常態檢驗 (p &gt; 0.05)</w:t>
            </w:r>
          </w:p>
        </w:tc>
        <w:tc>
          <w:tcPr>
            <w:tcW w:type="dxa" w:w="1560"/>
            <w:shd w:fill="F8F9F9"/>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F = 0.005, p = 0.944</w:t>
            </w:r>
          </w:p>
        </w:tc>
        <w:tc>
          <w:tcPr>
            <w:tcW w:type="dxa" w:w="1560"/>
            <w:shd w:fill="F8F9F9"/>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變異數同質 (齊一)</w:t>
            </w:r>
          </w:p>
        </w:tc>
      </w:tr>
      <w:tr>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BMI (kg/m²)</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 = 0.916, p = 0.284</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 = 0.934, p = 0.447</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通過常態檢驗 (p &gt; 0.05)</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F = 0.586, p = 0.453</w:t>
            </w:r>
          </w:p>
        </w:tc>
        <w:tc>
          <w:tcPr>
            <w:tcW w:type="dxa" w:w="1560"/>
            <w:shd w:fill="FFFFFF"/>
            <w:tcMar>
              <w:top w:w="60" w:type="dxa"/>
              <w:bottom w:w="60" w:type="dxa"/>
              <w:left w:w="70" w:type="dxa"/>
              <w:right w:w="7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變異數同質 (齊一)</w:t>
            </w:r>
          </w:p>
        </w:tc>
      </w:tr>
    </w:tbl>
    <w:p>
      <w:pPr>
        <w:spacing w:after="120"/>
      </w:pPr>
    </w:p>
    <w:p>
      <w:pPr>
        <w:spacing w:before="120" w:after="60"/>
      </w:pPr>
      <w:r>
        <w:rPr>
          <w:rFonts w:ascii="微軟正黑體" w:hAnsi="微軟正黑體"/>
          <w:b/>
          <w:color w:val="2C3E50"/>
          <w:sz w:val="19"/>
        </w:rPr>
        <w:t>表 4-2：生理指標組別推論統計、差值區間與效應量彙整表</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指標項目</w:t>
            </w:r>
          </w:p>
        </w:tc>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組別 1 (n=11)</w:t>
              <w:br/>
              <w:t>Mean±SD (中位數)</w:t>
            </w:r>
          </w:p>
        </w:tc>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組別 2 (n=11)</w:t>
              <w:br/>
              <w:t>Mean±SD (中位數)</w:t>
            </w:r>
          </w:p>
        </w:tc>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均值差</w:t>
              <w:br/>
              <w:t>[95% 信賴區間]</w:t>
            </w:r>
          </w:p>
        </w:tc>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Welch's t</w:t>
              <w:br/>
              <w:t>(自由度 df)</w:t>
            </w:r>
          </w:p>
        </w:tc>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雙尾檢定</w:t>
              <w:br/>
              <w:t>p 值</w:t>
            </w:r>
          </w:p>
        </w:tc>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Mann-Whitney</w:t>
              <w:br/>
              <w:t>U 值</w:t>
            </w:r>
          </w:p>
        </w:tc>
        <w:tc>
          <w:tcPr>
            <w:tcW w:type="dxa" w:w="1170"/>
            <w:shd w:fill="2C3E50"/>
            <w:tcMar>
              <w:top w:w="70" w:type="dxa"/>
              <w:bottom w:w="70" w:type="dxa"/>
              <w:left w:w="50" w:type="dxa"/>
              <w:right w:w="50" w:type="dxa"/>
            </w:tcMar>
          </w:tcPr>
          <w:p>
            <w:pPr>
              <w:spacing w:after="0"/>
              <w:jc w:val="center"/>
            </w:pPr>
            <w:r>
              <w:rPr>
                <w:rFonts w:ascii="微軟正黑體" w:hAnsi="微軟正黑體"/>
                <w:b/>
                <w:color w:val="FFFFFF"/>
                <w:sz w:val="16"/>
              </w:rPr>
              <w:t>效應量</w:t>
              <w:br/>
              <w:t>Cohen's d (g)</w:t>
            </w:r>
          </w:p>
        </w:tc>
      </w:tr>
      <w:tr>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血糖</w:t>
              <w:br/>
              <w:t>(mg/dL)</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193.36 ± 12.04</w:t>
              <w:br/>
              <w:t>(Med: 192.0)</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95.45 ± 6.28</w:t>
              <w:br/>
              <w:t>(Med: 94.0)</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+97.91</w:t>
              <w:br/>
              <w:t>[89.18, 106.64]</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t = 23.91</w:t>
              <w:br/>
              <w:t>(df = 15.07)</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C0392B"/>
                <w:sz w:val="16"/>
              </w:rPr>
              <w:t>2.14 × 10⁻¹³</w:t>
              <w:br/>
              <w:t>(p &lt; 0.001 ***)</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U = 121.0</w:t>
              <w:br/>
              <w:t>(p &lt; 0.001 ***)</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d = 10.19</w:t>
              <w:br/>
              <w:t>(g = 9.81)</w:t>
            </w:r>
          </w:p>
        </w:tc>
      </w:tr>
      <w:tr>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收縮壓</w:t>
              <w:br/>
              <w:t>(mmHg)</w:t>
            </w:r>
          </w:p>
        </w:tc>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152.64 ± 5.55</w:t>
              <w:br/>
              <w:t>(Med: 152.0)</w:t>
            </w:r>
          </w:p>
        </w:tc>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124.91 ± 5.49</w:t>
              <w:br/>
              <w:t>(Med: 124.0)</w:t>
            </w:r>
          </w:p>
        </w:tc>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+27.73</w:t>
              <w:br/>
              <w:t>[22.82, 32.64]</w:t>
            </w:r>
          </w:p>
        </w:tc>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t = 11.78</w:t>
              <w:br/>
              <w:t>(df = 20.00)</w:t>
            </w:r>
          </w:p>
        </w:tc>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C0392B"/>
                <w:sz w:val="16"/>
              </w:rPr>
              <w:t>1.89 × 10⁻¹⁰</w:t>
              <w:br/>
              <w:t>(p &lt; 0.001 ***)</w:t>
            </w:r>
          </w:p>
        </w:tc>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U = 121.0</w:t>
              <w:br/>
              <w:t>(p &lt; 0.001 ***)</w:t>
            </w:r>
          </w:p>
        </w:tc>
        <w:tc>
          <w:tcPr>
            <w:tcW w:type="dxa" w:w="1170"/>
            <w:shd w:fill="F8F9F9"/>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d = 5.02</w:t>
              <w:br/>
              <w:t>(g = 4.83)</w:t>
            </w:r>
          </w:p>
        </w:tc>
      </w:tr>
      <w:tr>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BMI</w:t>
              <w:br/>
              <w:t>(kg/m²)</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30.68 ± 0.99</w:t>
              <w:br/>
              <w:t>(Med: 30.5)</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23.34 ± 1.25</w:t>
              <w:br/>
              <w:t>(Med: 23.1)</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+7.35</w:t>
              <w:br/>
              <w:t>[6.34, 8.35]</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t = 15.32</w:t>
              <w:br/>
              <w:t>(df = 19.03)</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C0392B"/>
                <w:sz w:val="16"/>
              </w:rPr>
              <w:t>3.71 × 10⁻¹²</w:t>
              <w:br/>
              <w:t>(p &lt; 0.001 ***)</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U = 121.0</w:t>
              <w:br/>
              <w:t>(p &lt; 0.001 ***)</w:t>
            </w:r>
          </w:p>
        </w:tc>
        <w:tc>
          <w:tcPr>
            <w:tcW w:type="dxa" w:w="1170"/>
            <w:shd w:fill="FFFFFF"/>
            <w:tcMar>
              <w:top w:w="60" w:type="dxa"/>
              <w:bottom w:w="60" w:type="dxa"/>
              <w:left w:w="50" w:type="dxa"/>
              <w:right w:w="5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6"/>
              </w:rPr>
              <w:t>d = 6.53</w:t>
              <w:br/>
              <w:t>(g = 6.28)</w:t>
            </w:r>
          </w:p>
        </w:tc>
      </w:tr>
    </w:tbl>
    <w:p>
      <w:pPr>
        <w:spacing w:after="120"/>
      </w:pPr>
    </w:p>
    <w:p>
      <w:pPr>
        <w:spacing w:line="300" w:lineRule="auto"/>
      </w:pPr>
      <w:r>
        <w:rPr>
          <w:rFonts w:ascii="微軟正黑體" w:hAnsi="微軟正黑體"/>
          <w:sz w:val="19"/>
        </w:rPr>
        <w:t>【臨床病理生理視角之統計深度剖析】：</w:t>
        <w:br/>
        <w:t>• 醣代謝狀態之完全隔絕：組別 1 全員介於 178 ~ 212 mg/dL，組別 2 全員介於 88 ~ 106 mg/dL。兩組間之 Mann-Whitney U 值達極限值 121.0 (其理論最大可能等級差異)，Cohen's d = 10.19 顯示兩組非重疊率達 100%，代表組別標籤與糖尿病高血糖病況具備完全同質對應。</w:t>
        <w:br/>
        <w:t>• 血壓動力學之伴隨加劇：組別 1 平均收縮壓高達 152.64 mmHg，已達 AHA/ACC 高血壓診斷第二期；組別 2 平均 124.91 mmHg 落在理想/微偏高區間。平均差 +27.73 mmHg (p = 1.89 × 10⁻¹⁰) 具備強大之臨床心血管危害指示性。</w:t>
        <w:br/>
        <w:t>• 肥胖度量之分層斷層：組別 1 平均 BMI 為 30.68 kg/m²（肥胖），組別 2 為 23.34 kg/m²（正常標準體位）。平均差距高達 +7.35 kg/m² (p = 3.71 × 10⁻¹²)，反映兩組在內臟脂肪積蓄與能量代謝紊亂上有著根本性斷層。</w:t>
      </w:r>
    </w:p>
    <w:p>
      <w:pPr>
        <w:pStyle w:val="Heading1"/>
        <w:spacing w:before="260" w:after="100"/>
      </w:pPr>
      <w:r>
        <w:rPr>
          <w:rFonts w:ascii="微軟正黑體" w:hAnsi="微軟正黑體"/>
          <w:b/>
          <w:color w:val="2C3E50"/>
          <w:sz w:val="27"/>
        </w:rPr>
        <w:t>伍、Seaborn 多維箱型圖視覺化展示</w:t>
      </w:r>
    </w:p>
    <w:p>
      <w:pPr>
        <w:spacing w:line="300" w:lineRule="auto" w:after="100"/>
      </w:pPr>
      <w:r>
        <w:t>為提供直覺且具備學術發布品質之圖表，本次換版重新設計了配色架構，以「深紫羅蘭 (#6A1B9A)」代表組別 1、「松石綠 (#00897B)」代表組別 2，並於箱體內部標記亮黃色中位數實線與粉紅倒三角均值點，同時保留 300 DPI 輸出品質：</w:t>
      </w:r>
    </w:p>
    <w:p>
      <w:pPr>
        <w:spacing w:before="120" w:after="80"/>
        <w:jc w:val="center"/>
      </w:pPr>
      <w:r>
        <w:drawing>
          <wp:inline xmlns:a="http://schemas.openxmlformats.org/drawingml/2006/main" xmlns:pic="http://schemas.openxmlformats.org/drawingml/2006/picture">
            <wp:extent cx="5852160" cy="2380562"/>
            <wp:docPr id="1" name="Picture 1"/>
            <wp:cNvGraphicFramePr>
              <a:graphicFrameLocks noChangeAspect="1"/>
            </wp:cNvGraphicFramePr>
            <a:graphic>
              <a:graphicData uri="http://schemas.openxmlformats.org/drawingml/2006/picture">
                <pic:pic>
                  <pic:nvPicPr>
                    <pic:cNvPr id="0" name="dm_boxplot_group_v2.png"/>
                    <pic:cNvPicPr/>
                  </pic:nvPicPr>
                  <pic:blipFill>
                    <a:blip r:embed="rId9"/>
                    <a:stretch>
                      <a:fillRect/>
                    </a:stretch>
                  </pic:blipFill>
                  <pic:spPr>
                    <a:xfrm>
                      <a:off x="0" y="0"/>
                      <a:ext cx="5852160" cy="2380562"/>
                    </a:xfrm>
                    <a:prstGeom prst="rect"/>
                  </pic:spPr>
                </pic:pic>
              </a:graphicData>
            </a:graphic>
          </wp:inline>
        </w:drawing>
      </w:r>
    </w:p>
    <w:p>
      <w:pPr>
        <w:spacing w:after="200"/>
        <w:jc w:val="center"/>
      </w:pPr>
      <w:r>
        <w:rPr>
          <w:rFonts w:ascii="微軟正黑體" w:hAnsi="微軟正黑體"/>
          <w:b/>
          <w:color w:val="2C3E50"/>
          <w:sz w:val="18"/>
        </w:rPr>
        <w:t>圖 5-1：DM.xls 血糖、收縮壓與 BMI 組別比較箱型圖 (全新配色：深紫 vs 松石綠)</w:t>
      </w:r>
    </w:p>
    <w:p>
      <w:pPr>
        <w:spacing w:line="288" w:lineRule="auto"/>
      </w:pPr>
      <w:r>
        <w:rPr>
          <w:rFonts w:ascii="微軟正黑體" w:hAnsi="微軟正黑體"/>
          <w:sz w:val="18"/>
        </w:rPr>
        <w:t>【圖表視覺符號與統計要素導覽】：</w:t>
        <w:br/>
        <w:t>• 四分位箱體 (IQR Box)：組別 1 採高辨識深紫羅蘭、組別 2 採松石綠，精準反映 50% 核心樣本落點。</w:t>
        <w:br/>
        <w:t>• 金黃中位線 (Yellow Median Line)：寬幅實線清楚呈現排序第 50 百分位點位。</w:t>
        <w:br/>
        <w:t>• 粉紅三角標 (Pink Triangle Mean)：標繪各組算術均值，方便讀者一眼比對均值與中位數之偏移。</w:t>
        <w:br/>
        <w:t>• 樣本抖動散佈 (Stripplot Jitter)：在箱體上疊印深色散點，防止箱型圖掩蓋樣本離散真實性。</w:t>
        <w:br/>
        <w:t>• 頂部顯著性方括號：明確標明 Welch t-test 達到 p &lt; 0.001 *** 極顯著門檻。</w:t>
        <w:br/>
        <w:t>• 底部臨床基準參照卡：給出正常健康醫學參考值，強化圖表自明性 (Self-explanatory)。</w:t>
      </w:r>
    </w:p>
    <w:p>
      <w:pPr>
        <w:pStyle w:val="Heading1"/>
        <w:spacing w:before="260" w:after="100"/>
      </w:pPr>
      <w:r>
        <w:rPr>
          <w:rFonts w:ascii="微軟正黑體" w:hAnsi="微軟正黑體"/>
          <w:b/>
          <w:color w:val="2C3E50"/>
          <w:sz w:val="27"/>
        </w:rPr>
        <w:t>陸、程式原始碼解析與自動化維護手冊</w:t>
      </w:r>
    </w:p>
    <w:p>
      <w:pPr>
        <w:spacing w:line="300" w:lineRule="auto" w:after="100"/>
      </w:pPr>
      <w:r>
        <w:t>接手人員可透過工作目錄中之 Python 程式庫進行全流程重新執行、重現與擴展：</w:t>
      </w:r>
    </w:p>
    <w:tbl>
      <w:tblPr>
        <w:tblW w:type="auto" w:w="0"/>
        <w:jc w:val="center"/>
        <w:tblLook w:firstColumn="1" w:firstRow="1" w:lastColumn="0" w:lastRow="0" w:noHBand="0" w:noVBand="1" w:val="04A0"/>
      </w:tblPr>
      <w:tblGrid>
        <w:gridCol w:w="9360"/>
      </w:tblGrid>
      <w:tr>
        <w:tc>
          <w:tcPr>
            <w:tcW w:type="dxa" w:w="9360"/>
            <w:shd w:fill="1E272C"/>
            <w:tcMar>
              <w:top w:w="90" w:type="dxa"/>
              <w:bottom w:w="90" w:type="dxa"/>
              <w:left w:w="110" w:type="dxa"/>
              <w:right w:w="110" w:type="dxa"/>
            </w:tcMar>
          </w:tcPr>
          <w:p>
            <w:pPr>
              <w:spacing w:after="0"/>
            </w:pPr>
            <w:r>
              <w:rPr>
                <w:rFonts w:ascii="Consolas" w:hAnsi="Consolas"/>
                <w:color w:val="E6EBF0"/>
                <w:sz w:val="18"/>
              </w:rPr>
              <w:t># 1. 移動至專案目錄</w:t>
              <w:br/>
              <w:t>cd /Users/iammine/Downloads/test</w:t>
              <w:br/>
              <w:br/>
              <w:t># 2. 啟動專案 Python 虛擬環境</w:t>
              <w:br/>
              <w:t>source .venv/bin/activate</w:t>
              <w:br/>
              <w:br/>
              <w:t># 3. 執行新版產圖與 Word 手冊自動化建置腳本</w:t>
              <w:br/>
              <w:t>python generate_handover_v2.py</w:t>
            </w:r>
          </w:p>
        </w:tc>
      </w:tr>
    </w:tbl>
    <w:p>
      <w:pPr>
        <w:spacing w:after="120"/>
      </w:pPr>
    </w:p>
    <w:p>
      <w:pPr>
        <w:pStyle w:val="Heading1"/>
        <w:spacing w:before="260" w:after="100"/>
      </w:pPr>
      <w:r>
        <w:rPr>
          <w:rFonts w:ascii="微軟正黑體" w:hAnsi="微軟正黑體"/>
          <w:b/>
          <w:color w:val="2C3E50"/>
          <w:sz w:val="27"/>
        </w:rPr>
        <w:t>柒、交付文件盤點與驗收簽署表</w:t>
      </w:r>
    </w:p>
    <w:p>
      <w:pPr>
        <w:spacing w:line="300" w:lineRule="auto" w:after="100"/>
      </w:pPr>
      <w:r>
        <w:t>本專案目前具備兩組獨立且完整之交接檔案資產（包含原版與新版），清單如下：</w:t>
      </w:r>
    </w:p>
    <w:tbl>
      <w:tblPr>
        <w:tblW w:type="auto" w:w="0"/>
        <w:jc w:val="center"/>
        <w:tblLook w:firstColumn="1" w:firstRow="1" w:lastColumn="0" w:lastRow="0" w:noHBand="0" w:noVBand="1" w:val="04A0"/>
      </w:tblPr>
      <w:tblGrid>
        <w:gridCol w:w="3120"/>
        <w:gridCol w:w="3120"/>
        <w:gridCol w:w="3120"/>
      </w:tblGrid>
      <w:tr>
        <w:tc>
          <w:tcPr>
            <w:tcW w:type="dxa" w:w="3120"/>
            <w:shd w:fill="2C3E50"/>
            <w:tcMar>
              <w:top w:w="70" w:type="dxa"/>
              <w:bottom w:w="70" w:type="dxa"/>
              <w:left w:w="90" w:type="dxa"/>
              <w:right w:w="90" w:type="dxa"/>
            </w:tcMar>
          </w:tcPr>
          <w:p>
            <w:pPr>
              <w:spacing w:after="0"/>
              <w:jc w:val="center"/>
            </w:pPr>
            <w:r>
              <w:rPr>
                <w:rFonts w:ascii="微軟正黑體" w:hAnsi="微軟正黑體"/>
                <w:b/>
                <w:color w:val="FFFFFF"/>
                <w:sz w:val="17"/>
              </w:rPr>
              <w:t>實體檔案名稱</w:t>
            </w:r>
          </w:p>
        </w:tc>
        <w:tc>
          <w:tcPr>
            <w:tcW w:type="dxa" w:w="3120"/>
            <w:shd w:fill="2C3E50"/>
            <w:tcMar>
              <w:top w:w="70" w:type="dxa"/>
              <w:bottom w:w="70" w:type="dxa"/>
              <w:left w:w="90" w:type="dxa"/>
              <w:right w:w="90" w:type="dxa"/>
            </w:tcMar>
          </w:tcPr>
          <w:p>
            <w:pPr>
              <w:spacing w:after="0"/>
              <w:jc w:val="center"/>
            </w:pPr>
            <w:r>
              <w:rPr>
                <w:rFonts w:ascii="微軟正黑體" w:hAnsi="微軟正黑體"/>
                <w:b/>
                <w:color w:val="FFFFFF"/>
                <w:sz w:val="17"/>
              </w:rPr>
              <w:t>檔案規格屬性</w:t>
            </w:r>
          </w:p>
        </w:tc>
        <w:tc>
          <w:tcPr>
            <w:tcW w:type="dxa" w:w="3120"/>
            <w:shd w:fill="2C3E50"/>
            <w:tcMar>
              <w:top w:w="70" w:type="dxa"/>
              <w:bottom w:w="70" w:type="dxa"/>
              <w:left w:w="90" w:type="dxa"/>
              <w:right w:w="90" w:type="dxa"/>
            </w:tcMar>
          </w:tcPr>
          <w:p>
            <w:pPr>
              <w:spacing w:after="0"/>
              <w:jc w:val="center"/>
            </w:pPr>
            <w:r>
              <w:rPr>
                <w:rFonts w:ascii="微軟正黑體" w:hAnsi="微軟正黑體"/>
                <w:b/>
                <w:color w:val="FFFFFF"/>
                <w:sz w:val="17"/>
              </w:rPr>
              <w:t>用途定位與交接職責</w:t>
            </w:r>
          </w:p>
        </w:tc>
      </w:tr>
      <w:tr>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2C3E50"/>
                <w:sz w:val="17"/>
              </w:rPr>
              <w:t>DM_生理代謝統計分析交接報告_v2.docx</w:t>
            </w:r>
          </w:p>
        </w:tc>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Word 文件 (全新獨立版)</w:t>
            </w:r>
          </w:p>
        </w:tc>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本份完整換言論述、含完整方法學之全新交接手冊</w:t>
            </w:r>
          </w:p>
        </w:tc>
      </w:tr>
      <w:tr>
        <w:tc>
          <w:tcPr>
            <w:tcW w:type="dxa" w:w="3120"/>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2C3E50"/>
                <w:sz w:val="17"/>
              </w:rPr>
              <w:t>dm_boxplot_group_v2.png</w:t>
            </w:r>
          </w:p>
        </w:tc>
        <w:tc>
          <w:tcPr>
            <w:tcW w:type="dxa" w:w="3120"/>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300 DPI 高畫質圖檔</w:t>
            </w:r>
          </w:p>
        </w:tc>
        <w:tc>
          <w:tcPr>
            <w:tcW w:type="dxa" w:w="3120"/>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全新深紫與松石綠配色之組別箱型圖</w:t>
            </w:r>
          </w:p>
        </w:tc>
      </w:tr>
      <w:tr>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2C3E50"/>
                <w:sz w:val="17"/>
              </w:rPr>
              <w:t>DM_專案交接手冊.docx</w:t>
            </w:r>
          </w:p>
        </w:tc>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Word 文件 (原始版本)</w:t>
            </w:r>
          </w:p>
        </w:tc>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先前已產出之原始交接文件（完整保留未覆蓋）</w:t>
            </w:r>
          </w:p>
        </w:tc>
      </w:tr>
      <w:tr>
        <w:tc>
          <w:tcPr>
            <w:tcW w:type="dxa" w:w="3120"/>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2C3E50"/>
                <w:sz w:val="17"/>
              </w:rPr>
              <w:t>dm_boxplot_group.png</w:t>
            </w:r>
          </w:p>
        </w:tc>
        <w:tc>
          <w:tcPr>
            <w:tcW w:type="dxa" w:w="3120"/>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300 DPI 高畫質圖檔</w:t>
            </w:r>
          </w:p>
        </w:tc>
        <w:tc>
          <w:tcPr>
            <w:tcW w:type="dxa" w:w="3120"/>
            <w:shd w:fill="F8F9F9"/>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原始暖橘與青綠配色之組別箱型圖（完整保留）</w:t>
            </w:r>
          </w:p>
        </w:tc>
      </w:tr>
      <w:tr>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b/>
                <w:color w:val="2C3E50"/>
                <w:sz w:val="17"/>
              </w:rPr>
              <w:t>generate_handover_v2.py</w:t>
            </w:r>
          </w:p>
        </w:tc>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jc w:val="center"/>
            </w:pPr>
            <w:r>
              <w:rPr>
                <w:rFonts w:ascii="微軟正黑體" w:hAnsi="微軟正黑體"/>
                <w:color w:val="282828"/>
                <w:sz w:val="17"/>
              </w:rPr>
              <w:t>自動化程式原始碼</w:t>
            </w:r>
          </w:p>
        </w:tc>
        <w:tc>
          <w:tcPr>
            <w:tcW w:type="dxa" w:w="3120"/>
            <w:shd w:fill="FFFFFF"/>
            <w:tcMar>
              <w:top w:w="60" w:type="dxa"/>
              <w:bottom w:w="60" w:type="dxa"/>
              <w:left w:w="90" w:type="dxa"/>
              <w:right w:w="90" w:type="dxa"/>
            </w:tcMar>
            <w:tcBorders>
              <w:top w:val="single" w:sz="4" w:space="0" w:color="BDC3C7"/>
              <w:left w:val="single" w:sz="4" w:space="0" w:color="BDC3C7"/>
              <w:bottom w:val="single" w:sz="4" w:space="0" w:color="BDC3C7"/>
              <w:right w:val="single" w:sz="4" w:space="0" w:color="BDC3C7"/>
            </w:tcBorders>
          </w:tcPr>
          <w:p>
            <w:pPr>
              <w:spacing w:after="0"/>
            </w:pPr>
            <w:r>
              <w:rPr>
                <w:rFonts w:ascii="微軟正黑體" w:hAnsi="微軟正黑體"/>
                <w:color w:val="282828"/>
                <w:sz w:val="17"/>
              </w:rPr>
              <w:t>建置本新版圖表與 Word 檔之一鍵執行腳本</w:t>
            </w:r>
          </w:p>
        </w:tc>
      </w:tr>
    </w:tbl>
    <w:p>
      <w:pPr>
        <w:spacing w:after="280"/>
      </w:pPr>
    </w:p>
    <w:p>
      <w:pPr>
        <w:spacing w:line="312" w:lineRule="auto"/>
      </w:pPr>
      <w:r>
        <w:rPr>
          <w:rFonts w:ascii="微軟正黑體" w:hAnsi="微軟正黑體"/>
          <w:i/>
          <w:color w:val="787878"/>
          <w:sz w:val="19"/>
        </w:rPr>
        <w:t>【專案移交暨簽核證明】</w:t>
        <w:br/>
        <w:t>茲確認上述統計分析模型、數值指標、圖表產出與程式碼資產均已依要求完成重新編撰並完成交叉校驗，特此確認移交。</w:t>
        <w:br/>
        <w:br/>
        <w:t>移交專案人員：_______________________ ｜ 日期：2026 年 10 月 08 日</w:t>
        <w:br/>
        <w:t>受移交負責人：_______________________ ｜ 日期：2026 年 10 月 08 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