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2901" w14:textId="77777777" w:rsidR="00057AD8" w:rsidRDefault="00AB5F24">
      <w:pPr>
        <w:spacing w:line="240" w:lineRule="auto"/>
        <w:jc w:val="center"/>
        <w:rPr>
          <w:sz w:val="16"/>
          <w:szCs w:val="16"/>
        </w:rPr>
      </w:pPr>
      <w:r>
        <w:rPr>
          <w:b/>
        </w:rPr>
        <w:t>Executive Summary</w:t>
      </w:r>
    </w:p>
    <w:p w14:paraId="761BF78F" w14:textId="0F57616D" w:rsidR="00057AD8" w:rsidRDefault="00AB5F24">
      <w:pPr>
        <w:pBdr>
          <w:top w:val="nil"/>
          <w:left w:val="nil"/>
          <w:bottom w:val="nil"/>
          <w:right w:val="nil"/>
          <w:between w:val="nil"/>
        </w:pBdr>
        <w:spacing w:line="240" w:lineRule="auto"/>
        <w:ind w:firstLine="720"/>
      </w:pPr>
      <w:r>
        <w:t>Apple is a company that is large in scale, profitable and has healthy cash flow, which may help it succeed during a recession (</w:t>
      </w:r>
      <w:proofErr w:type="spellStart"/>
      <w:r>
        <w:t>Klebnikov</w:t>
      </w:r>
      <w:proofErr w:type="spellEnd"/>
      <w:r>
        <w:t>, 2022). This report found Apple has growth potential, competitive advantages, strong fundamentals, great corporate gove</w:t>
      </w:r>
      <w:r>
        <w:t xml:space="preserve">rnance, and sustainable earnings. The latest price is undervalued and fair to buy. Apple’s pricing power comes from its products and ecosystem. IOS users </w:t>
      </w:r>
      <w:proofErr w:type="gramStart"/>
      <w:r>
        <w:t>have to</w:t>
      </w:r>
      <w:proofErr w:type="gramEnd"/>
      <w:r>
        <w:t xml:space="preserve"> live with the IOS ecosystem, </w:t>
      </w:r>
      <w:r w:rsidR="00884BEA">
        <w:t>e.g.,</w:t>
      </w:r>
      <w:r>
        <w:t xml:space="preserve"> the App Store almost has a monopolistic-like status, and App</w:t>
      </w:r>
      <w:r>
        <w:t xml:space="preserve">le services are nearly necessities to those who own its devices due to the lock-in relation. Also, studies indicate Apple products shall increase productivity, which offsets the price change (Parnell, 2021). Economically, the pricing power allows Apple to </w:t>
      </w:r>
      <w:r>
        <w:t>raise prices without affecting demand much (</w:t>
      </w:r>
      <w:proofErr w:type="spellStart"/>
      <w:r>
        <w:t>Jasinski</w:t>
      </w:r>
      <w:proofErr w:type="spellEnd"/>
      <w:r>
        <w:t>, 2022).</w:t>
      </w:r>
    </w:p>
    <w:p w14:paraId="29F50DE1" w14:textId="06B410A9" w:rsidR="00057AD8" w:rsidRDefault="00AB5F24">
      <w:pPr>
        <w:pBdr>
          <w:top w:val="nil"/>
          <w:left w:val="nil"/>
          <w:bottom w:val="nil"/>
          <w:right w:val="nil"/>
          <w:between w:val="nil"/>
        </w:pBdr>
        <w:spacing w:line="240" w:lineRule="auto"/>
        <w:ind w:firstLine="720"/>
        <w:rPr>
          <w:b/>
        </w:rPr>
      </w:pPr>
      <w:r>
        <w:t>As PEST analysis in Appendix 1, politically, the Chinese zero covid lockdown triggers global supply chain issues, while the Russia-Ukraine war leads to unstable energy supply. Both fuel the alrea</w:t>
      </w:r>
      <w:r>
        <w:t xml:space="preserve">dy skyrocketing inflation and stimulate the Fed to raise interest rates, which is unfavorable to the stock market. In the short run, the demand for consumer electronics is projected to decline due to excessive consumption during the pandemic (Port, 2022). </w:t>
      </w:r>
      <w:r>
        <w:t xml:space="preserve">In the long term, tech giants are investing heavily in the Metaverse, which could be a singularity for innovation and revenue growth. As SWOT analysis in Appendix 2, other than strength in design, R&amp;D, and supply chain management, Apple has the No1. Brand </w:t>
      </w:r>
      <w:r w:rsidR="00884BEA">
        <w:t>premium, appealing</w:t>
      </w:r>
      <w:r>
        <w:t xml:space="preserve"> profitability, and consumer retention rates (</w:t>
      </w:r>
      <w:proofErr w:type="spellStart"/>
      <w:r>
        <w:t>AppleInsider</w:t>
      </w:r>
      <w:proofErr w:type="spellEnd"/>
      <w:r>
        <w:t>). Apple has opportunities in AR/VR devices, AI tech, and a growing user base. Remarkably, the hardware leasing model and service-oriented strategy are refreshing its business mod</w:t>
      </w:r>
      <w:r>
        <w:t>el. However, Apple products are expensive, and the sales have declined (Gewirtz, 2020). The company also faces threats from competition, anti-monopoly legislation, and black swan events. Overall, the good ones outweigh the bad.</w:t>
      </w:r>
    </w:p>
    <w:p w14:paraId="39223DFD" w14:textId="0A542C1C" w:rsidR="00057AD8" w:rsidRDefault="00AB5F24">
      <w:pPr>
        <w:widowControl w:val="0"/>
        <w:spacing w:line="240" w:lineRule="auto"/>
        <w:ind w:firstLine="720"/>
        <w:rPr>
          <w:b/>
        </w:rPr>
      </w:pPr>
      <w:r>
        <w:t>Here we will use three metho</w:t>
      </w:r>
      <w:r>
        <w:t>ds to measure Apple’s competitive advantage. First would be Porter's Five Forces analysis. Apple’s threat of new entry is low, due to the high capital requirement in R&amp;D and the brand development. The threat of substitution is low. Although its competitors</w:t>
      </w:r>
      <w:r>
        <w:t xml:space="preserve"> are strong, Apple has a high customer lock-in. Therefore, the buyers’ power is low. Customers have high brand loyalty in the Apple ecosystem and the products share iCloud contents. Moreover, Apple had no single customer accounting for more than 10% of net</w:t>
      </w:r>
      <w:r>
        <w:t xml:space="preserve"> sales in 2018 to 2020 (Apple Inc.10-K, 2022). This means individual customers do not have power to reduce prices or to affect Apple. The suppliers’ power is also </w:t>
      </w:r>
      <w:r w:rsidR="00884BEA">
        <w:t>low because</w:t>
      </w:r>
      <w:r>
        <w:t xml:space="preserve"> Apple can access many suppliers around the world. Overall, the firm has a </w:t>
      </w:r>
      <w:proofErr w:type="gramStart"/>
      <w:r>
        <w:t>high</w:t>
      </w:r>
      <w:proofErr w:type="gramEnd"/>
      <w:r>
        <w:t xml:space="preserve"> c</w:t>
      </w:r>
      <w:r>
        <w:t>ompetitive advantage based on five forces. Economic profit would be the second measurement. Apple’s ROIC is 35.38% and WACC is 10.04%, so the economic profit is 25.34% Today (</w:t>
      </w:r>
      <w:proofErr w:type="spellStart"/>
      <w:r>
        <w:t>Gurufocus</w:t>
      </w:r>
      <w:proofErr w:type="spellEnd"/>
      <w:r>
        <w:t>). As shown in Appendix 3 and 4, in the consumer electronics industry, A</w:t>
      </w:r>
      <w:r>
        <w:t xml:space="preserve">pple has one of the highest economic </w:t>
      </w:r>
      <w:proofErr w:type="gramStart"/>
      <w:r>
        <w:t>profit</w:t>
      </w:r>
      <w:proofErr w:type="gramEnd"/>
      <w:r>
        <w:t>, and stable revenue growth. According to Appendix 5, the PE ratio for Apple, in comparison, is not cheap, but it is reasonable. Over the past five years, Apple has increased economic profit, one of the reasons is</w:t>
      </w:r>
      <w:r>
        <w:t xml:space="preserve"> that Apple is shifting to a service-oriented strategy to explore new markets</w:t>
      </w:r>
      <w:r w:rsidR="00884BEA">
        <w:t xml:space="preserve"> </w:t>
      </w:r>
      <w:r>
        <w:t>(Evans, 2021). We expect the economic profit to continue to expand.</w:t>
      </w:r>
      <w:r>
        <w:rPr>
          <w:b/>
        </w:rPr>
        <w:t xml:space="preserve"> </w:t>
      </w:r>
    </w:p>
    <w:p w14:paraId="71B0F729" w14:textId="15DAD612" w:rsidR="00057AD8" w:rsidRDefault="00AB5F24">
      <w:pPr>
        <w:widowControl w:val="0"/>
        <w:spacing w:line="240" w:lineRule="auto"/>
        <w:ind w:firstLine="720"/>
      </w:pPr>
      <w:r>
        <w:t>For the pricing and cost advantages, Apple is consistently innovative and has a total of 72054 patents globall</w:t>
      </w:r>
      <w:r>
        <w:t>y</w:t>
      </w:r>
      <w:r w:rsidR="00884BEA">
        <w:t xml:space="preserve"> </w:t>
      </w:r>
      <w:r>
        <w:t xml:space="preserve">(Insights, 2022). Apple has great quality in great in-store service, control of software and hardware, game-changing </w:t>
      </w:r>
      <w:proofErr w:type="gramStart"/>
      <w:r>
        <w:t>tech</w:t>
      </w:r>
      <w:proofErr w:type="gramEnd"/>
      <w:r>
        <w:t xml:space="preserve"> and high security. It has a high level of customer Lock-in and is a well-known brand. The firm has innovative inventory management an</w:t>
      </w:r>
      <w:r>
        <w:t xml:space="preserve">d low inventory </w:t>
      </w:r>
      <w:proofErr w:type="gramStart"/>
      <w:r>
        <w:t>turnover, because</w:t>
      </w:r>
      <w:proofErr w:type="gramEnd"/>
      <w:r>
        <w:t xml:space="preserve"> it cuts down on warehouses and makes suppliers compete between themselves</w:t>
      </w:r>
      <w:r w:rsidR="00884BEA">
        <w:t xml:space="preserve"> </w:t>
      </w:r>
      <w:r>
        <w:t>(Lu, 2022). The ecosystem and the related developers, programmers, designers are its unique resources. The scalable products also raise the customers</w:t>
      </w:r>
      <w:r>
        <w:t xml:space="preserve">' attention to buy more from apple. Last year in April, Apple released an update called “App Tracking Transparency” for iPhones to </w:t>
      </w:r>
      <w:proofErr w:type="spellStart"/>
      <w:r>
        <w:t>limite</w:t>
      </w:r>
      <w:proofErr w:type="spellEnd"/>
      <w:r>
        <w:t xml:space="preserve"> apps' ability to track user behavior. The policy challenges Big Tech platforms like Snap, Facebook and </w:t>
      </w:r>
      <w:proofErr w:type="spellStart"/>
      <w:r>
        <w:t>Youtube</w:t>
      </w:r>
      <w:proofErr w:type="spellEnd"/>
      <w:r>
        <w:t xml:space="preserve"> who los</w:t>
      </w:r>
      <w:r>
        <w:t xml:space="preserve">t $10 billion Ads revenues (Read, 2021). In contrast, it benefited Apple’s advertising. Apple’s services revenue including ads and </w:t>
      </w:r>
      <w:r>
        <w:lastRenderedPageBreak/>
        <w:t xml:space="preserve">subscription, grew 24% year over year last quarter, </w:t>
      </w:r>
      <w:hyperlink r:id="rId7">
        <w:r>
          <w:t>according</w:t>
        </w:r>
      </w:hyperlink>
      <w:r>
        <w:t xml:space="preserve"> to its earnings report</w:t>
      </w:r>
      <w:r w:rsidR="00D354B4">
        <w:t xml:space="preserve"> </w:t>
      </w:r>
      <w:r>
        <w:t>(</w:t>
      </w:r>
      <w:proofErr w:type="spellStart"/>
      <w:r>
        <w:t>Goetzen</w:t>
      </w:r>
      <w:proofErr w:type="spellEnd"/>
      <w:r>
        <w:t>, 2022).</w:t>
      </w:r>
    </w:p>
    <w:p w14:paraId="2D06E172" w14:textId="77777777" w:rsidR="00057AD8" w:rsidRDefault="00AB5F24">
      <w:pPr>
        <w:widowControl w:val="0"/>
        <w:spacing w:line="240" w:lineRule="auto"/>
        <w:ind w:firstLine="720"/>
      </w:pPr>
      <w:r>
        <w:t>Apple's Board of Directors oversees the Chief Executive Officer and other senior management. There are three independent committees which are Audit Committee, Compensation Committee and</w:t>
      </w:r>
      <w:r>
        <w:t xml:space="preserve"> Nominating Committee. Apple has a strong leadership profile. The head of the nominating committee is the former Vice President of the United States, and its Nominating Committee Chair Susan Wagner is the co-founder and director of Blackrock (Apple, 2022).</w:t>
      </w:r>
      <w:r>
        <w:t xml:space="preserve"> Apple’s leadership profile demonstrates its deep connection with private equity, technology, and politics, which is also a boost for inventors’ confidence.</w:t>
      </w:r>
    </w:p>
    <w:p w14:paraId="7C03AE7F" w14:textId="3B103019" w:rsidR="00057AD8" w:rsidRDefault="00AB5F24">
      <w:pPr>
        <w:widowControl w:val="0"/>
        <w:spacing w:line="240" w:lineRule="auto"/>
        <w:ind w:firstLine="720"/>
      </w:pPr>
      <w:r>
        <w:t>In 2021, Apple reported a record high of net sales,</w:t>
      </w:r>
      <w:r w:rsidR="00D354B4">
        <w:t xml:space="preserve"> </w:t>
      </w:r>
      <w:r>
        <w:t xml:space="preserve">which increased by 33% from a year earlier. All </w:t>
      </w:r>
      <w:r>
        <w:t>categories of products experienced growth in sales driven by the launch of new models including iPhone SE and iPad Air. (Apple, 2022). However, we notice that Apple’s business model is shifting from product to service as the proportion of revenue from serv</w:t>
      </w:r>
      <w:r>
        <w:t xml:space="preserve">ice shows a trend of increase since 2019.The company keeps developing features to capture the trend in the competitive environment. For example, the new apple watch has more features to health data, a feature that targets the younger generation who pursue </w:t>
      </w:r>
      <w:r>
        <w:t xml:space="preserve">a healthy lifestyle while iCloud embedded features designed for working remotely. Third, the company is invested in home essentials such as Apple TV+. Besides, the company also plans to shift its major hardware to leasing service by the end of 2022, which </w:t>
      </w:r>
      <w:r>
        <w:t>makes owning a phone like subscribing to apps (Minter, 2022). Historical data shows that people on average purchase a new iPhone every three years, but the leasing service will make them keep paying the company monthly and increase the retention rate to fu</w:t>
      </w:r>
      <w:r>
        <w:t xml:space="preserve">rther enhance customer loyalty to Apple’s other services such as Apple TV and Apple Music (Minter, 2022). </w:t>
      </w:r>
    </w:p>
    <w:p w14:paraId="344A4768" w14:textId="60EDC58B" w:rsidR="00057AD8" w:rsidRDefault="00AB5F24">
      <w:pPr>
        <w:widowControl w:val="0"/>
        <w:spacing w:line="240" w:lineRule="auto"/>
        <w:ind w:firstLine="720"/>
      </w:pPr>
      <w:r>
        <w:t xml:space="preserve">In addition, the company is effective at its supply chain management. Historical data indicates that Apple </w:t>
      </w:r>
      <w:r w:rsidR="00735530">
        <w:t>can</w:t>
      </w:r>
      <w:r>
        <w:t xml:space="preserve"> diversify its product w</w:t>
      </w:r>
      <w:r>
        <w:t>ithout adding pressure to its supply chains. From 2018 to 2021, the company has launched a variety of new products including Air pods, Mac studio and iMac. Apple’s Inventory Turnover still decreased by 25% in 4 years. In addition, Apple has a cash conversi</w:t>
      </w:r>
      <w:r>
        <w:t>on cycle of -60.13 days. This indicates the company has a strong bargaining power with its suppliers. This bargaining power is especially important during inflation because it helps the company to absorb the rising cost to avoid the squeeze in margin.</w:t>
      </w:r>
    </w:p>
    <w:p w14:paraId="20A231A2" w14:textId="6E5F31AC" w:rsidR="00057AD8" w:rsidRDefault="00AB5F24">
      <w:pPr>
        <w:widowControl w:val="0"/>
        <w:spacing w:line="240" w:lineRule="auto"/>
        <w:ind w:firstLine="720"/>
      </w:pPr>
      <w:r>
        <w:t xml:space="preserve">For </w:t>
      </w:r>
      <w:r>
        <w:t xml:space="preserve">valuation, both </w:t>
      </w:r>
      <w:r>
        <w:t>EBITDA and PE Multiples Valuation from Appendix 6 estimate Apple’s stock price to be worth over 200 USD per share, which is above the current price. The perpetuity growth method indicates the stock price is overvalued. Given the high-g</w:t>
      </w:r>
      <w:r>
        <w:t xml:space="preserve">rowth expectation of Apple, the former estimates are deemed to be more appropriate to use. </w:t>
      </w:r>
    </w:p>
    <w:p w14:paraId="0956C6F5" w14:textId="77777777" w:rsidR="00057AD8" w:rsidRDefault="00AB5F24">
      <w:pPr>
        <w:widowControl w:val="0"/>
        <w:spacing w:line="240" w:lineRule="auto"/>
        <w:ind w:firstLine="720"/>
      </w:pPr>
      <w:r>
        <w:t>Apple’s earnings in 2021 are the best on record. Nonetheless, it is driven by the reliance on digital devices during the pandemic. As Appendix 7 indicates, others f</w:t>
      </w:r>
      <w:r>
        <w:t>rom the same industry benefit from the pandemic too. In the short run, as the pandemic ends, and CTA expects lower demand, Apple’s earnings in 2021 are not sustainable. In the long run, the earnings trend has been stable over the past decade. The competiti</w:t>
      </w:r>
      <w:r>
        <w:t>ve advantages, innovative products, and new business models shall keep the earnings high. Apple transforms into a service company shall avoid the competition and market saturation by exploiting the possibilities of the ecosystem.</w:t>
      </w:r>
    </w:p>
    <w:p w14:paraId="611B53D5" w14:textId="4FAE577D" w:rsidR="00057AD8" w:rsidRDefault="00AB5F24">
      <w:pPr>
        <w:widowControl w:val="0"/>
        <w:spacing w:line="240" w:lineRule="auto"/>
        <w:ind w:firstLine="720"/>
      </w:pPr>
      <w:r>
        <w:t>Apple doesn’t rely on a si</w:t>
      </w:r>
      <w:r>
        <w:t>ngle entrepreneur or blockbuster but on its ecosystem, the integration of hardware and software, and the lock-in relation. Apple has been careful about the M&amp;As, all of which are small</w:t>
      </w:r>
      <w:r>
        <w:t xml:space="preserve"> and designated to supplement the </w:t>
      </w:r>
      <w:r>
        <w:t xml:space="preserve">ecosystem. Apple has </w:t>
      </w:r>
      <w:r>
        <w:t>been consistently mindful of its social responsibility. Apple is innovative, and its strong “moat” shall fend off imitators. All of these</w:t>
      </w:r>
      <w:r w:rsidR="00D354B4">
        <w:t xml:space="preserve"> </w:t>
      </w:r>
      <w:r>
        <w:t xml:space="preserve">make Apple unique, sustainable, and unlikely to fall into the well-known traps, </w:t>
      </w:r>
      <w:proofErr w:type="gramStart"/>
      <w:r>
        <w:t>e.g.</w:t>
      </w:r>
      <w:proofErr w:type="gramEnd"/>
      <w:r>
        <w:t xml:space="preserve"> entrepreneurship failure, m</w:t>
      </w:r>
      <w:r>
        <w:t>anagement failure, social failure, and total failure.</w:t>
      </w:r>
    </w:p>
    <w:p w14:paraId="706C005F" w14:textId="77777777" w:rsidR="00057AD8" w:rsidRDefault="00AB5F24">
      <w:pPr>
        <w:widowControl w:val="0"/>
        <w:spacing w:line="240" w:lineRule="auto"/>
        <w:ind w:firstLine="720"/>
        <w:rPr>
          <w:b/>
        </w:rPr>
      </w:pPr>
      <w:r>
        <w:t>In sum, Apple is in a “virtuous cycle” with sustainability, competitive advantages, great leadership, appealing fundamentals, and a reasonable current price. Despite the supply chain issue remaining pre</w:t>
      </w:r>
      <w:r>
        <w:t>ssing, it should improve early this year according to Tim Cook. Overall, the positive side outweighs the downsides. This report found Apple an investment opportunity.</w:t>
      </w:r>
      <w:r>
        <w:br w:type="page"/>
      </w:r>
    </w:p>
    <w:p w14:paraId="7A572F39" w14:textId="77777777" w:rsidR="00057AD8" w:rsidRDefault="00AB5F24">
      <w:pPr>
        <w:jc w:val="center"/>
      </w:pPr>
      <w:r>
        <w:rPr>
          <w:b/>
        </w:rPr>
        <w:lastRenderedPageBreak/>
        <w:t>Appendix</w:t>
      </w:r>
    </w:p>
    <w:p w14:paraId="7DBBA181" w14:textId="17735035" w:rsidR="00057AD8" w:rsidRDefault="00AB5F24">
      <w:r>
        <w:t xml:space="preserve">Appendix 1: </w:t>
      </w:r>
      <w:r w:rsidR="000F5C3D">
        <w:t>PEST Analysis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57AD8" w14:paraId="7C6414B9" w14:textId="77777777">
        <w:tc>
          <w:tcPr>
            <w:tcW w:w="2055" w:type="dxa"/>
            <w:shd w:val="clear" w:color="auto" w:fill="auto"/>
            <w:tcMar>
              <w:top w:w="100" w:type="dxa"/>
              <w:left w:w="100" w:type="dxa"/>
              <w:bottom w:w="100" w:type="dxa"/>
              <w:right w:w="100" w:type="dxa"/>
            </w:tcMar>
          </w:tcPr>
          <w:p w14:paraId="222FBF30" w14:textId="77777777" w:rsidR="00057AD8" w:rsidRDefault="00AB5F24">
            <w:pPr>
              <w:widowControl w:val="0"/>
              <w:spacing w:line="240" w:lineRule="auto"/>
            </w:pPr>
            <w:r>
              <w:t>Political</w:t>
            </w:r>
          </w:p>
        </w:tc>
        <w:tc>
          <w:tcPr>
            <w:tcW w:w="7305" w:type="dxa"/>
            <w:shd w:val="clear" w:color="auto" w:fill="auto"/>
            <w:tcMar>
              <w:top w:w="100" w:type="dxa"/>
              <w:left w:w="100" w:type="dxa"/>
              <w:bottom w:w="100" w:type="dxa"/>
              <w:right w:w="100" w:type="dxa"/>
            </w:tcMar>
          </w:tcPr>
          <w:p w14:paraId="1CC64884" w14:textId="77777777" w:rsidR="00057AD8" w:rsidRDefault="00AB5F24">
            <w:pPr>
              <w:widowControl w:val="0"/>
              <w:spacing w:line="240" w:lineRule="auto"/>
            </w:pPr>
            <w:r>
              <w:t>Factor1: China zero covid lockdown trigger</w:t>
            </w:r>
            <w:r>
              <w:t xml:space="preserve">s global supply chain issues, </w:t>
            </w:r>
            <w:proofErr w:type="gramStart"/>
            <w:r>
              <w:t>e.g.</w:t>
            </w:r>
            <w:proofErr w:type="gramEnd"/>
            <w:r>
              <w:t xml:space="preserve"> chip shortage, fueling inflation. </w:t>
            </w:r>
          </w:p>
          <w:p w14:paraId="7DD8ACA4" w14:textId="77777777" w:rsidR="00057AD8" w:rsidRDefault="00AB5F24">
            <w:pPr>
              <w:widowControl w:val="0"/>
              <w:spacing w:line="240" w:lineRule="auto"/>
            </w:pPr>
            <w:r>
              <w:t xml:space="preserve">Factor2: Russia-Ukraine war leads to unstable energy supply, raising commodity price and inflation.  </w:t>
            </w:r>
          </w:p>
        </w:tc>
      </w:tr>
      <w:tr w:rsidR="00057AD8" w14:paraId="1A43C1A7" w14:textId="77777777">
        <w:tc>
          <w:tcPr>
            <w:tcW w:w="2055" w:type="dxa"/>
            <w:shd w:val="clear" w:color="auto" w:fill="auto"/>
            <w:tcMar>
              <w:top w:w="100" w:type="dxa"/>
              <w:left w:w="100" w:type="dxa"/>
              <w:bottom w:w="100" w:type="dxa"/>
              <w:right w:w="100" w:type="dxa"/>
            </w:tcMar>
          </w:tcPr>
          <w:p w14:paraId="267BF4DF" w14:textId="77777777" w:rsidR="00057AD8" w:rsidRDefault="00AB5F24">
            <w:pPr>
              <w:widowControl w:val="0"/>
              <w:spacing w:line="240" w:lineRule="auto"/>
            </w:pPr>
            <w:r>
              <w:t>Economic</w:t>
            </w:r>
          </w:p>
        </w:tc>
        <w:tc>
          <w:tcPr>
            <w:tcW w:w="7305" w:type="dxa"/>
            <w:shd w:val="clear" w:color="auto" w:fill="auto"/>
            <w:tcMar>
              <w:top w:w="100" w:type="dxa"/>
              <w:left w:w="100" w:type="dxa"/>
              <w:bottom w:w="100" w:type="dxa"/>
              <w:right w:w="100" w:type="dxa"/>
            </w:tcMar>
          </w:tcPr>
          <w:p w14:paraId="7C6DC5A2" w14:textId="77777777" w:rsidR="00057AD8" w:rsidRDefault="00AB5F24">
            <w:pPr>
              <w:widowControl w:val="0"/>
              <w:spacing w:line="240" w:lineRule="auto"/>
            </w:pPr>
            <w:r>
              <w:t>Factor3: FED plans on tapering and increasing interest rate, but it will take time to curb inflation.</w:t>
            </w:r>
          </w:p>
        </w:tc>
      </w:tr>
      <w:tr w:rsidR="00057AD8" w14:paraId="3BB3B73F" w14:textId="77777777">
        <w:tc>
          <w:tcPr>
            <w:tcW w:w="2055" w:type="dxa"/>
            <w:shd w:val="clear" w:color="auto" w:fill="auto"/>
            <w:tcMar>
              <w:top w:w="100" w:type="dxa"/>
              <w:left w:w="100" w:type="dxa"/>
              <w:bottom w:w="100" w:type="dxa"/>
              <w:right w:w="100" w:type="dxa"/>
            </w:tcMar>
          </w:tcPr>
          <w:p w14:paraId="3468E96D" w14:textId="77777777" w:rsidR="00057AD8" w:rsidRDefault="00AB5F24">
            <w:pPr>
              <w:widowControl w:val="0"/>
              <w:spacing w:line="240" w:lineRule="auto"/>
            </w:pPr>
            <w:r>
              <w:t>Social</w:t>
            </w:r>
          </w:p>
        </w:tc>
        <w:tc>
          <w:tcPr>
            <w:tcW w:w="7305" w:type="dxa"/>
            <w:shd w:val="clear" w:color="auto" w:fill="auto"/>
            <w:tcMar>
              <w:top w:w="100" w:type="dxa"/>
              <w:left w:w="100" w:type="dxa"/>
              <w:bottom w:w="100" w:type="dxa"/>
              <w:right w:w="100" w:type="dxa"/>
            </w:tcMar>
          </w:tcPr>
          <w:p w14:paraId="37CFD88F" w14:textId="77777777" w:rsidR="00057AD8" w:rsidRDefault="00AB5F24">
            <w:pPr>
              <w:widowControl w:val="0"/>
              <w:spacing w:line="240" w:lineRule="auto"/>
            </w:pPr>
            <w:r>
              <w:t>Factor4: Consumer-Tech overall may decline in 2022 due to excessive consumption during Covid-19 lockdown period.</w:t>
            </w:r>
          </w:p>
        </w:tc>
      </w:tr>
      <w:tr w:rsidR="00057AD8" w14:paraId="02081382" w14:textId="77777777">
        <w:tc>
          <w:tcPr>
            <w:tcW w:w="2055" w:type="dxa"/>
            <w:shd w:val="clear" w:color="auto" w:fill="auto"/>
            <w:tcMar>
              <w:top w:w="100" w:type="dxa"/>
              <w:left w:w="100" w:type="dxa"/>
              <w:bottom w:w="100" w:type="dxa"/>
              <w:right w:w="100" w:type="dxa"/>
            </w:tcMar>
          </w:tcPr>
          <w:p w14:paraId="7889C8CB" w14:textId="77777777" w:rsidR="00057AD8" w:rsidRDefault="00AB5F24">
            <w:pPr>
              <w:widowControl w:val="0"/>
              <w:spacing w:line="240" w:lineRule="auto"/>
            </w:pPr>
            <w:r>
              <w:t>Technological</w:t>
            </w:r>
          </w:p>
        </w:tc>
        <w:tc>
          <w:tcPr>
            <w:tcW w:w="7305" w:type="dxa"/>
            <w:shd w:val="clear" w:color="auto" w:fill="auto"/>
            <w:tcMar>
              <w:top w:w="100" w:type="dxa"/>
              <w:left w:w="100" w:type="dxa"/>
              <w:bottom w:w="100" w:type="dxa"/>
              <w:right w:w="100" w:type="dxa"/>
            </w:tcMar>
          </w:tcPr>
          <w:p w14:paraId="58E91CF0" w14:textId="77777777" w:rsidR="00057AD8" w:rsidRDefault="00AB5F24">
            <w:pPr>
              <w:widowControl w:val="0"/>
              <w:spacing w:line="240" w:lineRule="auto"/>
            </w:pPr>
            <w:r>
              <w:t>Factor5: Tech gian</w:t>
            </w:r>
            <w:r>
              <w:t>ts are betting on the metaverse. Potential singularity for innovation and revenue growth.</w:t>
            </w:r>
          </w:p>
        </w:tc>
      </w:tr>
    </w:tbl>
    <w:p w14:paraId="0AE1206C" w14:textId="77777777" w:rsidR="00057AD8" w:rsidRDefault="00057AD8"/>
    <w:p w14:paraId="79A57991" w14:textId="77777777" w:rsidR="00057AD8" w:rsidRDefault="00AB5F24">
      <w:r>
        <w:t>Appendix 2: SWOT Analysis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755"/>
      </w:tblGrid>
      <w:tr w:rsidR="00057AD8" w14:paraId="0BC3676D" w14:textId="77777777">
        <w:tc>
          <w:tcPr>
            <w:tcW w:w="1605" w:type="dxa"/>
            <w:shd w:val="clear" w:color="auto" w:fill="auto"/>
            <w:tcMar>
              <w:top w:w="100" w:type="dxa"/>
              <w:left w:w="100" w:type="dxa"/>
              <w:bottom w:w="100" w:type="dxa"/>
              <w:right w:w="100" w:type="dxa"/>
            </w:tcMar>
          </w:tcPr>
          <w:p w14:paraId="5C35B88F" w14:textId="77777777" w:rsidR="00057AD8" w:rsidRDefault="00AB5F24">
            <w:pPr>
              <w:widowControl w:val="0"/>
              <w:spacing w:line="240" w:lineRule="auto"/>
            </w:pPr>
            <w:r>
              <w:t>Strength</w:t>
            </w:r>
          </w:p>
        </w:tc>
        <w:tc>
          <w:tcPr>
            <w:tcW w:w="7755" w:type="dxa"/>
            <w:shd w:val="clear" w:color="auto" w:fill="auto"/>
            <w:tcMar>
              <w:top w:w="100" w:type="dxa"/>
              <w:left w:w="100" w:type="dxa"/>
              <w:bottom w:w="100" w:type="dxa"/>
              <w:right w:w="100" w:type="dxa"/>
            </w:tcMar>
          </w:tcPr>
          <w:p w14:paraId="13F63179" w14:textId="77777777" w:rsidR="00057AD8" w:rsidRDefault="00AB5F24">
            <w:pPr>
              <w:numPr>
                <w:ilvl w:val="0"/>
                <w:numId w:val="2"/>
              </w:numPr>
            </w:pPr>
            <w:r>
              <w:t>Brand premium - ranked 1st in Brand Finance Global 500</w:t>
            </w:r>
          </w:p>
          <w:p w14:paraId="66D4BB88" w14:textId="77777777" w:rsidR="00057AD8" w:rsidRDefault="00AB5F24">
            <w:pPr>
              <w:numPr>
                <w:ilvl w:val="0"/>
                <w:numId w:val="2"/>
              </w:numPr>
            </w:pPr>
            <w:r>
              <w:t>Supply chain management - strong bargaining power on COGS</w:t>
            </w:r>
          </w:p>
          <w:p w14:paraId="0A2B42AD" w14:textId="77777777" w:rsidR="00057AD8" w:rsidRDefault="00AB5F24">
            <w:pPr>
              <w:numPr>
                <w:ilvl w:val="0"/>
                <w:numId w:val="2"/>
              </w:numPr>
            </w:pPr>
            <w:r>
              <w:t>High profit margin - continued to grow YoY since 2019</w:t>
            </w:r>
          </w:p>
          <w:p w14:paraId="38A99A66" w14:textId="77777777" w:rsidR="00057AD8" w:rsidRDefault="00AB5F24">
            <w:pPr>
              <w:numPr>
                <w:ilvl w:val="0"/>
                <w:numId w:val="2"/>
              </w:numPr>
            </w:pPr>
            <w:r>
              <w:t>Proficient research in tech innovation</w:t>
            </w:r>
          </w:p>
          <w:p w14:paraId="5D9513B2" w14:textId="77777777" w:rsidR="00057AD8" w:rsidRDefault="00AB5F24">
            <w:pPr>
              <w:numPr>
                <w:ilvl w:val="0"/>
                <w:numId w:val="2"/>
              </w:numPr>
            </w:pPr>
            <w:r>
              <w:t>Quality Design</w:t>
            </w:r>
          </w:p>
          <w:p w14:paraId="3B2168EF" w14:textId="77777777" w:rsidR="00057AD8" w:rsidRDefault="00AB5F24">
            <w:pPr>
              <w:numPr>
                <w:ilvl w:val="0"/>
                <w:numId w:val="2"/>
              </w:numPr>
            </w:pPr>
            <w:r>
              <w:t>Consumer Retention</w:t>
            </w:r>
          </w:p>
        </w:tc>
      </w:tr>
      <w:tr w:rsidR="00057AD8" w14:paraId="352BB8F6" w14:textId="77777777">
        <w:tc>
          <w:tcPr>
            <w:tcW w:w="1605" w:type="dxa"/>
            <w:shd w:val="clear" w:color="auto" w:fill="auto"/>
            <w:tcMar>
              <w:top w:w="100" w:type="dxa"/>
              <w:left w:w="100" w:type="dxa"/>
              <w:bottom w:w="100" w:type="dxa"/>
              <w:right w:w="100" w:type="dxa"/>
            </w:tcMar>
          </w:tcPr>
          <w:p w14:paraId="626388D4" w14:textId="77777777" w:rsidR="00057AD8" w:rsidRDefault="00AB5F24">
            <w:pPr>
              <w:widowControl w:val="0"/>
              <w:spacing w:line="240" w:lineRule="auto"/>
            </w:pPr>
            <w:r>
              <w:t>Weakness</w:t>
            </w:r>
          </w:p>
        </w:tc>
        <w:tc>
          <w:tcPr>
            <w:tcW w:w="7755" w:type="dxa"/>
            <w:shd w:val="clear" w:color="auto" w:fill="auto"/>
            <w:tcMar>
              <w:top w:w="100" w:type="dxa"/>
              <w:left w:w="100" w:type="dxa"/>
              <w:bottom w:w="100" w:type="dxa"/>
              <w:right w:w="100" w:type="dxa"/>
            </w:tcMar>
          </w:tcPr>
          <w:p w14:paraId="1F850AC1" w14:textId="77777777" w:rsidR="00057AD8" w:rsidRDefault="00AB5F24">
            <w:pPr>
              <w:widowControl w:val="0"/>
              <w:numPr>
                <w:ilvl w:val="0"/>
                <w:numId w:val="1"/>
              </w:numPr>
              <w:spacing w:line="240" w:lineRule="auto"/>
            </w:pPr>
            <w:r>
              <w:t>Expensive products - target high income clients, not affordable to all</w:t>
            </w:r>
          </w:p>
          <w:p w14:paraId="4DFA4A81" w14:textId="77777777" w:rsidR="00057AD8" w:rsidRDefault="00AB5F24">
            <w:pPr>
              <w:widowControl w:val="0"/>
              <w:numPr>
                <w:ilvl w:val="0"/>
                <w:numId w:val="1"/>
              </w:numPr>
              <w:spacing w:line="240" w:lineRule="auto"/>
            </w:pPr>
            <w:r>
              <w:t>Declined sales in China - market share took over</w:t>
            </w:r>
            <w:r>
              <w:t xml:space="preserve"> by local brands</w:t>
            </w:r>
          </w:p>
          <w:p w14:paraId="16092024" w14:textId="77777777" w:rsidR="00057AD8" w:rsidRDefault="00AB5F24">
            <w:pPr>
              <w:widowControl w:val="0"/>
              <w:numPr>
                <w:ilvl w:val="0"/>
                <w:numId w:val="1"/>
              </w:numPr>
              <w:spacing w:line="240" w:lineRule="auto"/>
            </w:pPr>
            <w:proofErr w:type="spellStart"/>
            <w:r>
              <w:t>Iphone</w:t>
            </w:r>
            <w:proofErr w:type="spellEnd"/>
            <w:r>
              <w:t xml:space="preserve"> unit sales kept declining</w:t>
            </w:r>
          </w:p>
          <w:p w14:paraId="7722C06B" w14:textId="77777777" w:rsidR="00057AD8" w:rsidRDefault="00AB5F24">
            <w:pPr>
              <w:widowControl w:val="0"/>
              <w:numPr>
                <w:ilvl w:val="0"/>
                <w:numId w:val="1"/>
              </w:numPr>
              <w:spacing w:line="240" w:lineRule="auto"/>
            </w:pPr>
            <w:r>
              <w:t>Incompatible with many software - IOS ecosystem is “closed end”</w:t>
            </w:r>
          </w:p>
          <w:p w14:paraId="0B3CC3AF" w14:textId="77777777" w:rsidR="00057AD8" w:rsidRDefault="00AB5F24">
            <w:pPr>
              <w:widowControl w:val="0"/>
              <w:numPr>
                <w:ilvl w:val="0"/>
                <w:numId w:val="1"/>
              </w:numPr>
              <w:spacing w:line="240" w:lineRule="auto"/>
            </w:pPr>
            <w:r>
              <w:t>Slow innovation - Overreliance on iPhone, iPad, Mac, App Store, etc.</w:t>
            </w:r>
          </w:p>
        </w:tc>
      </w:tr>
      <w:tr w:rsidR="00057AD8" w14:paraId="6E774CED" w14:textId="77777777">
        <w:tc>
          <w:tcPr>
            <w:tcW w:w="1605" w:type="dxa"/>
            <w:shd w:val="clear" w:color="auto" w:fill="auto"/>
            <w:tcMar>
              <w:top w:w="100" w:type="dxa"/>
              <w:left w:w="100" w:type="dxa"/>
              <w:bottom w:w="100" w:type="dxa"/>
              <w:right w:w="100" w:type="dxa"/>
            </w:tcMar>
          </w:tcPr>
          <w:p w14:paraId="69638B88" w14:textId="77777777" w:rsidR="00057AD8" w:rsidRDefault="00AB5F24">
            <w:pPr>
              <w:widowControl w:val="0"/>
              <w:spacing w:line="240" w:lineRule="auto"/>
            </w:pPr>
            <w:r>
              <w:t>Opportunities</w:t>
            </w:r>
          </w:p>
        </w:tc>
        <w:tc>
          <w:tcPr>
            <w:tcW w:w="7755" w:type="dxa"/>
            <w:shd w:val="clear" w:color="auto" w:fill="auto"/>
            <w:tcMar>
              <w:top w:w="100" w:type="dxa"/>
              <w:left w:w="100" w:type="dxa"/>
              <w:bottom w:w="100" w:type="dxa"/>
              <w:right w:w="100" w:type="dxa"/>
            </w:tcMar>
          </w:tcPr>
          <w:p w14:paraId="2AECDC44" w14:textId="77777777" w:rsidR="00057AD8" w:rsidRDefault="00AB5F24">
            <w:pPr>
              <w:widowControl w:val="0"/>
              <w:numPr>
                <w:ilvl w:val="0"/>
                <w:numId w:val="3"/>
              </w:numPr>
              <w:spacing w:line="240" w:lineRule="auto"/>
            </w:pPr>
            <w:r>
              <w:t xml:space="preserve">New products, </w:t>
            </w:r>
            <w:proofErr w:type="gramStart"/>
            <w:r>
              <w:t>e.g.</w:t>
            </w:r>
            <w:proofErr w:type="gramEnd"/>
            <w:r>
              <w:t xml:space="preserve"> AR/VR headsets</w:t>
            </w:r>
          </w:p>
          <w:p w14:paraId="5BCAD9D8" w14:textId="77777777" w:rsidR="00057AD8" w:rsidRDefault="00AB5F24">
            <w:pPr>
              <w:widowControl w:val="0"/>
              <w:numPr>
                <w:ilvl w:val="0"/>
                <w:numId w:val="3"/>
              </w:numPr>
              <w:spacing w:line="240" w:lineRule="auto"/>
            </w:pPr>
            <w:r>
              <w:t>Growing consumer base</w:t>
            </w:r>
          </w:p>
          <w:p w14:paraId="101415B4" w14:textId="77777777" w:rsidR="00057AD8" w:rsidRDefault="00AB5F24">
            <w:pPr>
              <w:widowControl w:val="0"/>
              <w:numPr>
                <w:ilvl w:val="0"/>
                <w:numId w:val="3"/>
              </w:numPr>
              <w:spacing w:line="240" w:lineRule="auto"/>
            </w:pPr>
            <w:r>
              <w:t>Use AI tech to improve products’ capabilities</w:t>
            </w:r>
          </w:p>
          <w:p w14:paraId="6D9152E2" w14:textId="77777777" w:rsidR="00057AD8" w:rsidRDefault="00AB5F24">
            <w:pPr>
              <w:widowControl w:val="0"/>
              <w:numPr>
                <w:ilvl w:val="0"/>
                <w:numId w:val="3"/>
              </w:numPr>
              <w:spacing w:line="240" w:lineRule="auto"/>
            </w:pPr>
            <w:r>
              <w:t>New leasing model</w:t>
            </w:r>
          </w:p>
          <w:p w14:paraId="7B25A6A7" w14:textId="77777777" w:rsidR="00057AD8" w:rsidRDefault="00AB5F24">
            <w:pPr>
              <w:widowControl w:val="0"/>
              <w:numPr>
                <w:ilvl w:val="0"/>
                <w:numId w:val="3"/>
              </w:numPr>
              <w:spacing w:line="240" w:lineRule="auto"/>
            </w:pPr>
            <w:r>
              <w:t>More service - collect utilities</w:t>
            </w:r>
          </w:p>
        </w:tc>
      </w:tr>
      <w:tr w:rsidR="00057AD8" w14:paraId="190C1527" w14:textId="77777777">
        <w:tc>
          <w:tcPr>
            <w:tcW w:w="1605" w:type="dxa"/>
            <w:shd w:val="clear" w:color="auto" w:fill="auto"/>
            <w:tcMar>
              <w:top w:w="100" w:type="dxa"/>
              <w:left w:w="100" w:type="dxa"/>
              <w:bottom w:w="100" w:type="dxa"/>
              <w:right w:w="100" w:type="dxa"/>
            </w:tcMar>
          </w:tcPr>
          <w:p w14:paraId="71CF0E77" w14:textId="77777777" w:rsidR="00057AD8" w:rsidRDefault="00AB5F24">
            <w:pPr>
              <w:widowControl w:val="0"/>
              <w:spacing w:line="240" w:lineRule="auto"/>
            </w:pPr>
            <w:r>
              <w:t>Threats</w:t>
            </w:r>
          </w:p>
        </w:tc>
        <w:tc>
          <w:tcPr>
            <w:tcW w:w="7755" w:type="dxa"/>
            <w:shd w:val="clear" w:color="auto" w:fill="auto"/>
            <w:tcMar>
              <w:top w:w="100" w:type="dxa"/>
              <w:left w:w="100" w:type="dxa"/>
              <w:bottom w:w="100" w:type="dxa"/>
              <w:right w:w="100" w:type="dxa"/>
            </w:tcMar>
          </w:tcPr>
          <w:p w14:paraId="2F6ADA80" w14:textId="77777777" w:rsidR="00057AD8" w:rsidRDefault="00AB5F24">
            <w:pPr>
              <w:widowControl w:val="0"/>
              <w:numPr>
                <w:ilvl w:val="0"/>
                <w:numId w:val="4"/>
              </w:numPr>
              <w:spacing w:line="240" w:lineRule="auto"/>
            </w:pPr>
            <w:r>
              <w:t>Supply chain disruption, chip shortage, etc.</w:t>
            </w:r>
          </w:p>
          <w:p w14:paraId="314D304D" w14:textId="77777777" w:rsidR="00057AD8" w:rsidRDefault="00AB5F24">
            <w:pPr>
              <w:widowControl w:val="0"/>
              <w:numPr>
                <w:ilvl w:val="0"/>
                <w:numId w:val="4"/>
              </w:numPr>
              <w:spacing w:line="240" w:lineRule="auto"/>
            </w:pPr>
            <w:r>
              <w:t xml:space="preserve">Recession or Covid induced declined consumption, </w:t>
            </w:r>
            <w:proofErr w:type="gramStart"/>
            <w:r>
              <w:t>i.e.</w:t>
            </w:r>
            <w:proofErr w:type="gramEnd"/>
            <w:r>
              <w:t xml:space="preserve"> PEST Factor4</w:t>
            </w:r>
          </w:p>
          <w:p w14:paraId="7942BE9B" w14:textId="77777777" w:rsidR="00057AD8" w:rsidRDefault="00AB5F24">
            <w:pPr>
              <w:widowControl w:val="0"/>
              <w:numPr>
                <w:ilvl w:val="0"/>
                <w:numId w:val="4"/>
              </w:numPr>
              <w:spacing w:line="240" w:lineRule="auto"/>
            </w:pPr>
            <w:r>
              <w:t>Competition from Samsung, Huawei, Xiaomi, Dell</w:t>
            </w:r>
          </w:p>
          <w:p w14:paraId="109728D6" w14:textId="77777777" w:rsidR="00057AD8" w:rsidRDefault="00AB5F24">
            <w:pPr>
              <w:widowControl w:val="0"/>
              <w:numPr>
                <w:ilvl w:val="0"/>
                <w:numId w:val="4"/>
              </w:numPr>
              <w:spacing w:line="240" w:lineRule="auto"/>
            </w:pPr>
            <w:r>
              <w:t>Anti-monopoly lawsuits, regulations, and legislations</w:t>
            </w:r>
          </w:p>
          <w:p w14:paraId="12065C35" w14:textId="77777777" w:rsidR="00057AD8" w:rsidRDefault="00AB5F24">
            <w:pPr>
              <w:widowControl w:val="0"/>
              <w:numPr>
                <w:ilvl w:val="0"/>
                <w:numId w:val="4"/>
              </w:numPr>
              <w:spacing w:line="240" w:lineRule="auto"/>
            </w:pPr>
            <w:r>
              <w:t>Black Swan events</w:t>
            </w:r>
          </w:p>
        </w:tc>
      </w:tr>
    </w:tbl>
    <w:p w14:paraId="7F943FF9" w14:textId="77777777" w:rsidR="00057AD8" w:rsidRDefault="00057AD8"/>
    <w:p w14:paraId="7567263F" w14:textId="77777777" w:rsidR="00057AD8" w:rsidRDefault="00AB5F24">
      <w:r>
        <w:br w:type="page"/>
      </w:r>
    </w:p>
    <w:p w14:paraId="11332338" w14:textId="77777777" w:rsidR="00057AD8" w:rsidRDefault="00AB5F24">
      <w:r>
        <w:lastRenderedPageBreak/>
        <w:t xml:space="preserve">Appendix 3: </w:t>
      </w:r>
      <w:r>
        <w:t>APPLE 5-year Economic Profit</w:t>
      </w:r>
    </w:p>
    <w:p w14:paraId="71DAD735" w14:textId="77777777" w:rsidR="00057AD8" w:rsidRDefault="00AB5F24">
      <w:r>
        <w:rPr>
          <w:noProof/>
        </w:rPr>
        <w:drawing>
          <wp:inline distT="19050" distB="19050" distL="19050" distR="19050" wp14:anchorId="18F3142A" wp14:editId="405948CE">
            <wp:extent cx="4419951" cy="309105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19951" cy="3091051"/>
                    </a:xfrm>
                    <a:prstGeom prst="rect">
                      <a:avLst/>
                    </a:prstGeom>
                    <a:ln/>
                  </pic:spPr>
                </pic:pic>
              </a:graphicData>
            </a:graphic>
          </wp:inline>
        </w:drawing>
      </w:r>
    </w:p>
    <w:p w14:paraId="737F1179" w14:textId="77777777" w:rsidR="00057AD8" w:rsidRDefault="00AB5F24">
      <w:pPr>
        <w:rPr>
          <w:rFonts w:ascii="Lora" w:eastAsia="Lora" w:hAnsi="Lora" w:cs="Lora"/>
          <w:sz w:val="24"/>
          <w:szCs w:val="24"/>
          <w:u w:val="single"/>
        </w:rPr>
      </w:pPr>
      <w:r>
        <w:t>Appendix 4: APPLE &amp; Competitors 5-year Economic Profit</w:t>
      </w:r>
    </w:p>
    <w:p w14:paraId="6CCE4DA9" w14:textId="77777777" w:rsidR="00057AD8" w:rsidRDefault="00057AD8"/>
    <w:p w14:paraId="41862C3A" w14:textId="77777777" w:rsidR="00057AD8" w:rsidRDefault="00AB5F24">
      <w:r>
        <w:rPr>
          <w:noProof/>
        </w:rPr>
        <w:drawing>
          <wp:inline distT="19050" distB="19050" distL="19050" distR="19050" wp14:anchorId="3C4ACD7E" wp14:editId="1CBA3FA1">
            <wp:extent cx="4419949" cy="299762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19949" cy="2997626"/>
                    </a:xfrm>
                    <a:prstGeom prst="rect">
                      <a:avLst/>
                    </a:prstGeom>
                    <a:ln/>
                  </pic:spPr>
                </pic:pic>
              </a:graphicData>
            </a:graphic>
          </wp:inline>
        </w:drawing>
      </w:r>
    </w:p>
    <w:p w14:paraId="535B9332" w14:textId="77777777" w:rsidR="00057AD8" w:rsidRDefault="00057AD8"/>
    <w:p w14:paraId="7B2AD51B" w14:textId="77777777" w:rsidR="00057AD8" w:rsidRDefault="00AB5F24">
      <w:r>
        <w:br w:type="page"/>
      </w:r>
    </w:p>
    <w:p w14:paraId="353E54E3" w14:textId="77777777" w:rsidR="00057AD8" w:rsidRDefault="00AB5F24">
      <w:r>
        <w:lastRenderedPageBreak/>
        <w:t>Appendix 5: APPLE &amp; Competitors Analysis</w:t>
      </w:r>
    </w:p>
    <w:tbl>
      <w:tblPr>
        <w:tblStyle w:val="a1"/>
        <w:tblW w:w="8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680"/>
        <w:gridCol w:w="720"/>
        <w:gridCol w:w="960"/>
        <w:gridCol w:w="1620"/>
        <w:gridCol w:w="1840"/>
        <w:gridCol w:w="1320"/>
      </w:tblGrid>
      <w:tr w:rsidR="00057AD8" w14:paraId="06221DBE" w14:textId="77777777">
        <w:trPr>
          <w:trHeight w:val="680"/>
        </w:trPr>
        <w:tc>
          <w:tcPr>
            <w:tcW w:w="1820" w:type="dxa"/>
            <w:tcBorders>
              <w:top w:val="single" w:sz="8" w:space="0" w:color="FFFFFF"/>
              <w:left w:val="single" w:sz="8" w:space="0" w:color="FFFFFF"/>
              <w:bottom w:val="single" w:sz="16" w:space="0" w:color="FFFFFF"/>
              <w:right w:val="single" w:sz="8" w:space="0" w:color="FFFFFF"/>
            </w:tcBorders>
            <w:shd w:val="clear" w:color="auto" w:fill="4472C4"/>
            <w:tcMar>
              <w:top w:w="20" w:type="dxa"/>
              <w:left w:w="20" w:type="dxa"/>
              <w:bottom w:w="140" w:type="dxa"/>
              <w:right w:w="20" w:type="dxa"/>
            </w:tcMar>
            <w:vAlign w:val="center"/>
          </w:tcPr>
          <w:p w14:paraId="334B477B" w14:textId="77777777" w:rsidR="00057AD8" w:rsidRDefault="00AB5F24">
            <w:pPr>
              <w:widowControl w:val="0"/>
              <w:rPr>
                <w:rFonts w:ascii="Calibri" w:eastAsia="Calibri" w:hAnsi="Calibri" w:cs="Calibri"/>
                <w:b/>
                <w:color w:val="FFFFFF"/>
              </w:rPr>
            </w:pPr>
            <w:r>
              <w:rPr>
                <w:rFonts w:ascii="Calibri" w:eastAsia="Calibri" w:hAnsi="Calibri" w:cs="Calibri"/>
                <w:b/>
                <w:color w:val="FFFFFF"/>
              </w:rPr>
              <w:t>Company</w:t>
            </w:r>
          </w:p>
        </w:tc>
        <w:tc>
          <w:tcPr>
            <w:tcW w:w="680" w:type="dxa"/>
            <w:tcBorders>
              <w:top w:val="single" w:sz="8" w:space="0" w:color="FFFFFF"/>
              <w:left w:val="single" w:sz="8" w:space="0" w:color="FFFFFF"/>
              <w:bottom w:val="single" w:sz="16" w:space="0" w:color="FFFFFF"/>
              <w:right w:val="single" w:sz="8" w:space="0" w:color="FFFFFF"/>
            </w:tcBorders>
            <w:shd w:val="clear" w:color="auto" w:fill="4472C4"/>
            <w:tcMar>
              <w:top w:w="20" w:type="dxa"/>
              <w:left w:w="20" w:type="dxa"/>
              <w:bottom w:w="140" w:type="dxa"/>
              <w:right w:w="20" w:type="dxa"/>
            </w:tcMar>
            <w:vAlign w:val="center"/>
          </w:tcPr>
          <w:p w14:paraId="6A020A4E" w14:textId="77777777" w:rsidR="00057AD8" w:rsidRDefault="00AB5F24">
            <w:pPr>
              <w:widowControl w:val="0"/>
              <w:rPr>
                <w:rFonts w:ascii="Calibri" w:eastAsia="Calibri" w:hAnsi="Calibri" w:cs="Calibri"/>
                <w:b/>
                <w:color w:val="FFFFFF"/>
              </w:rPr>
            </w:pPr>
            <w:r>
              <w:rPr>
                <w:rFonts w:ascii="Calibri" w:eastAsia="Calibri" w:hAnsi="Calibri" w:cs="Calibri"/>
                <w:b/>
                <w:color w:val="FFFFFF"/>
              </w:rPr>
              <w:t>ROIC</w:t>
            </w:r>
          </w:p>
        </w:tc>
        <w:tc>
          <w:tcPr>
            <w:tcW w:w="720" w:type="dxa"/>
            <w:tcBorders>
              <w:top w:val="single" w:sz="8" w:space="0" w:color="FFFFFF"/>
              <w:left w:val="single" w:sz="8" w:space="0" w:color="FFFFFF"/>
              <w:bottom w:val="single" w:sz="16" w:space="0" w:color="FFFFFF"/>
              <w:right w:val="single" w:sz="8" w:space="0" w:color="FFFFFF"/>
            </w:tcBorders>
            <w:shd w:val="clear" w:color="auto" w:fill="4472C4"/>
            <w:tcMar>
              <w:top w:w="20" w:type="dxa"/>
              <w:left w:w="20" w:type="dxa"/>
              <w:bottom w:w="140" w:type="dxa"/>
              <w:right w:w="20" w:type="dxa"/>
            </w:tcMar>
            <w:vAlign w:val="center"/>
          </w:tcPr>
          <w:p w14:paraId="6B523D42" w14:textId="77777777" w:rsidR="00057AD8" w:rsidRDefault="00AB5F24">
            <w:pPr>
              <w:widowControl w:val="0"/>
              <w:rPr>
                <w:rFonts w:ascii="Calibri" w:eastAsia="Calibri" w:hAnsi="Calibri" w:cs="Calibri"/>
                <w:b/>
                <w:color w:val="FFFFFF"/>
              </w:rPr>
            </w:pPr>
            <w:r>
              <w:rPr>
                <w:rFonts w:ascii="Calibri" w:eastAsia="Calibri" w:hAnsi="Calibri" w:cs="Calibri"/>
                <w:b/>
                <w:color w:val="FFFFFF"/>
              </w:rPr>
              <w:t>WACC</w:t>
            </w:r>
          </w:p>
        </w:tc>
        <w:tc>
          <w:tcPr>
            <w:tcW w:w="960" w:type="dxa"/>
            <w:tcBorders>
              <w:top w:val="single" w:sz="8" w:space="0" w:color="FFFFFF"/>
              <w:left w:val="single" w:sz="8" w:space="0" w:color="FFFFFF"/>
              <w:bottom w:val="single" w:sz="16" w:space="0" w:color="FFFFFF"/>
              <w:right w:val="single" w:sz="8" w:space="0" w:color="FFFFFF"/>
            </w:tcBorders>
            <w:shd w:val="clear" w:color="auto" w:fill="4472C4"/>
            <w:tcMar>
              <w:top w:w="20" w:type="dxa"/>
              <w:left w:w="20" w:type="dxa"/>
              <w:bottom w:w="140" w:type="dxa"/>
              <w:right w:w="20" w:type="dxa"/>
            </w:tcMar>
            <w:vAlign w:val="center"/>
          </w:tcPr>
          <w:p w14:paraId="4D04EE88" w14:textId="77777777" w:rsidR="00057AD8" w:rsidRDefault="00AB5F24">
            <w:pPr>
              <w:widowControl w:val="0"/>
              <w:rPr>
                <w:rFonts w:ascii="Calibri" w:eastAsia="Calibri" w:hAnsi="Calibri" w:cs="Calibri"/>
                <w:b/>
                <w:color w:val="FFFFFF"/>
              </w:rPr>
            </w:pPr>
            <w:r>
              <w:rPr>
                <w:rFonts w:ascii="Calibri" w:eastAsia="Calibri" w:hAnsi="Calibri" w:cs="Calibri"/>
                <w:b/>
                <w:color w:val="FFFFFF"/>
              </w:rPr>
              <w:t>Economic Profit</w:t>
            </w:r>
          </w:p>
        </w:tc>
        <w:tc>
          <w:tcPr>
            <w:tcW w:w="1620" w:type="dxa"/>
            <w:tcBorders>
              <w:top w:val="single" w:sz="8" w:space="0" w:color="FFFFFF"/>
              <w:left w:val="single" w:sz="8" w:space="0" w:color="FFFFFF"/>
              <w:bottom w:val="single" w:sz="16" w:space="0" w:color="FFFFFF"/>
              <w:right w:val="single" w:sz="8" w:space="0" w:color="FFFFFF"/>
            </w:tcBorders>
            <w:shd w:val="clear" w:color="auto" w:fill="4472C4"/>
            <w:tcMar>
              <w:top w:w="20" w:type="dxa"/>
              <w:left w:w="20" w:type="dxa"/>
              <w:bottom w:w="140" w:type="dxa"/>
              <w:right w:w="20" w:type="dxa"/>
            </w:tcMar>
            <w:vAlign w:val="center"/>
          </w:tcPr>
          <w:p w14:paraId="513FC46D" w14:textId="77777777" w:rsidR="00057AD8" w:rsidRDefault="00AB5F24">
            <w:pPr>
              <w:widowControl w:val="0"/>
              <w:rPr>
                <w:rFonts w:ascii="Calibri" w:eastAsia="Calibri" w:hAnsi="Calibri" w:cs="Calibri"/>
                <w:b/>
                <w:color w:val="FFFFFF"/>
              </w:rPr>
            </w:pPr>
            <w:r>
              <w:rPr>
                <w:rFonts w:ascii="Calibri" w:eastAsia="Calibri" w:hAnsi="Calibri" w:cs="Calibri"/>
                <w:b/>
                <w:color w:val="FFFFFF"/>
              </w:rPr>
              <w:t>3-yr Average Revenue growth</w:t>
            </w:r>
          </w:p>
        </w:tc>
        <w:tc>
          <w:tcPr>
            <w:tcW w:w="1840" w:type="dxa"/>
            <w:tcBorders>
              <w:top w:val="single" w:sz="8" w:space="0" w:color="FFFFFF"/>
              <w:left w:val="single" w:sz="8" w:space="0" w:color="FFFFFF"/>
              <w:bottom w:val="single" w:sz="16" w:space="0" w:color="FFFFFF"/>
              <w:right w:val="single" w:sz="8" w:space="0" w:color="FFFFFF"/>
            </w:tcBorders>
            <w:shd w:val="clear" w:color="auto" w:fill="4472C4"/>
            <w:tcMar>
              <w:top w:w="20" w:type="dxa"/>
              <w:left w:w="20" w:type="dxa"/>
              <w:bottom w:w="140" w:type="dxa"/>
              <w:right w:w="20" w:type="dxa"/>
            </w:tcMar>
            <w:vAlign w:val="center"/>
          </w:tcPr>
          <w:p w14:paraId="165F6E74" w14:textId="77777777" w:rsidR="00057AD8" w:rsidRDefault="00AB5F24">
            <w:pPr>
              <w:widowControl w:val="0"/>
              <w:rPr>
                <w:rFonts w:ascii="Calibri" w:eastAsia="Calibri" w:hAnsi="Calibri" w:cs="Calibri"/>
                <w:b/>
                <w:color w:val="FFFFFF"/>
              </w:rPr>
            </w:pPr>
            <w:r>
              <w:rPr>
                <w:rFonts w:ascii="Calibri" w:eastAsia="Calibri" w:hAnsi="Calibri" w:cs="Calibri"/>
                <w:b/>
                <w:color w:val="FFFFFF"/>
              </w:rPr>
              <w:t>10-yr Average annual Total Return</w:t>
            </w:r>
          </w:p>
        </w:tc>
        <w:tc>
          <w:tcPr>
            <w:tcW w:w="1320" w:type="dxa"/>
            <w:tcBorders>
              <w:top w:val="single" w:sz="8" w:space="0" w:color="FFFFFF"/>
              <w:left w:val="single" w:sz="8" w:space="0" w:color="FFFFFF"/>
              <w:bottom w:val="single" w:sz="16" w:space="0" w:color="FFFFFF"/>
              <w:right w:val="single" w:sz="8" w:space="0" w:color="FFFFFF"/>
            </w:tcBorders>
            <w:shd w:val="clear" w:color="auto" w:fill="4472C4"/>
            <w:tcMar>
              <w:top w:w="20" w:type="dxa"/>
              <w:left w:w="20" w:type="dxa"/>
              <w:bottom w:w="140" w:type="dxa"/>
              <w:right w:w="20" w:type="dxa"/>
            </w:tcMar>
            <w:vAlign w:val="center"/>
          </w:tcPr>
          <w:p w14:paraId="661D1E59" w14:textId="77777777" w:rsidR="00057AD8" w:rsidRDefault="00AB5F24">
            <w:pPr>
              <w:widowControl w:val="0"/>
              <w:rPr>
                <w:rFonts w:ascii="Calibri" w:eastAsia="Calibri" w:hAnsi="Calibri" w:cs="Calibri"/>
                <w:b/>
                <w:color w:val="FFFFFF"/>
              </w:rPr>
            </w:pPr>
            <w:r>
              <w:rPr>
                <w:rFonts w:ascii="Calibri" w:eastAsia="Calibri" w:hAnsi="Calibri" w:cs="Calibri"/>
                <w:b/>
                <w:color w:val="FFFFFF"/>
              </w:rPr>
              <w:t>PE Ratio</w:t>
            </w:r>
          </w:p>
        </w:tc>
      </w:tr>
      <w:tr w:rsidR="00057AD8" w14:paraId="2068E992" w14:textId="77777777">
        <w:trPr>
          <w:trHeight w:val="380"/>
        </w:trPr>
        <w:tc>
          <w:tcPr>
            <w:tcW w:w="1820" w:type="dxa"/>
            <w:tcBorders>
              <w:top w:val="single" w:sz="16" w:space="0" w:color="FFFFFF"/>
            </w:tcBorders>
            <w:tcMar>
              <w:top w:w="20" w:type="dxa"/>
              <w:left w:w="20" w:type="dxa"/>
              <w:bottom w:w="140" w:type="dxa"/>
              <w:right w:w="20" w:type="dxa"/>
            </w:tcMar>
            <w:vAlign w:val="bottom"/>
          </w:tcPr>
          <w:p w14:paraId="65DBBA98" w14:textId="77777777" w:rsidR="00057AD8" w:rsidRDefault="00AB5F24">
            <w:pPr>
              <w:widowControl w:val="0"/>
              <w:spacing w:line="240" w:lineRule="auto"/>
              <w:rPr>
                <w:rFonts w:ascii="Calibri" w:eastAsia="Calibri" w:hAnsi="Calibri" w:cs="Calibri"/>
                <w:b/>
                <w:sz w:val="24"/>
                <w:szCs w:val="24"/>
                <w:u w:val="single"/>
              </w:rPr>
            </w:pPr>
            <w:r>
              <w:rPr>
                <w:rFonts w:ascii="Calibri" w:eastAsia="Calibri" w:hAnsi="Calibri" w:cs="Calibri"/>
                <w:b/>
                <w:sz w:val="24"/>
                <w:szCs w:val="24"/>
                <w:u w:val="single"/>
              </w:rPr>
              <w:t>Apple</w:t>
            </w:r>
          </w:p>
        </w:tc>
        <w:tc>
          <w:tcPr>
            <w:tcW w:w="680" w:type="dxa"/>
            <w:tcBorders>
              <w:top w:val="single" w:sz="16" w:space="0" w:color="FFFFFF"/>
            </w:tcBorders>
            <w:tcMar>
              <w:top w:w="20" w:type="dxa"/>
              <w:left w:w="20" w:type="dxa"/>
              <w:bottom w:w="140" w:type="dxa"/>
              <w:right w:w="20" w:type="dxa"/>
            </w:tcMar>
            <w:vAlign w:val="bottom"/>
          </w:tcPr>
          <w:p w14:paraId="39923861" w14:textId="77777777" w:rsidR="00057AD8" w:rsidRDefault="00AB5F24">
            <w:pPr>
              <w:widowControl w:val="0"/>
              <w:jc w:val="right"/>
              <w:rPr>
                <w:rFonts w:ascii="Calibri" w:eastAsia="Calibri" w:hAnsi="Calibri" w:cs="Calibri"/>
                <w:sz w:val="20"/>
                <w:szCs w:val="20"/>
                <w:u w:val="single"/>
              </w:rPr>
            </w:pPr>
            <w:r>
              <w:rPr>
                <w:rFonts w:ascii="Calibri" w:eastAsia="Calibri" w:hAnsi="Calibri" w:cs="Calibri"/>
                <w:sz w:val="20"/>
                <w:szCs w:val="20"/>
                <w:u w:val="single"/>
              </w:rPr>
              <w:t>35.38%</w:t>
            </w:r>
          </w:p>
        </w:tc>
        <w:tc>
          <w:tcPr>
            <w:tcW w:w="720" w:type="dxa"/>
            <w:tcBorders>
              <w:top w:val="single" w:sz="16" w:space="0" w:color="FFFFFF"/>
            </w:tcBorders>
            <w:tcMar>
              <w:top w:w="20" w:type="dxa"/>
              <w:left w:w="20" w:type="dxa"/>
              <w:bottom w:w="140" w:type="dxa"/>
              <w:right w:w="20" w:type="dxa"/>
            </w:tcMar>
            <w:vAlign w:val="bottom"/>
          </w:tcPr>
          <w:p w14:paraId="3989AEF1" w14:textId="77777777" w:rsidR="00057AD8" w:rsidRDefault="00AB5F24">
            <w:pPr>
              <w:widowControl w:val="0"/>
              <w:jc w:val="right"/>
              <w:rPr>
                <w:rFonts w:ascii="Calibri" w:eastAsia="Calibri" w:hAnsi="Calibri" w:cs="Calibri"/>
                <w:sz w:val="20"/>
                <w:szCs w:val="20"/>
                <w:u w:val="single"/>
              </w:rPr>
            </w:pPr>
            <w:r>
              <w:rPr>
                <w:rFonts w:ascii="Calibri" w:eastAsia="Calibri" w:hAnsi="Calibri" w:cs="Calibri"/>
                <w:sz w:val="20"/>
                <w:szCs w:val="20"/>
                <w:u w:val="single"/>
              </w:rPr>
              <w:t>10.04%</w:t>
            </w:r>
          </w:p>
        </w:tc>
        <w:tc>
          <w:tcPr>
            <w:tcW w:w="960" w:type="dxa"/>
            <w:tcBorders>
              <w:top w:val="single" w:sz="16" w:space="0" w:color="FFFFFF"/>
            </w:tcBorders>
            <w:tcMar>
              <w:top w:w="20" w:type="dxa"/>
              <w:left w:w="20" w:type="dxa"/>
              <w:bottom w:w="140" w:type="dxa"/>
              <w:right w:w="20" w:type="dxa"/>
            </w:tcMar>
            <w:vAlign w:val="bottom"/>
          </w:tcPr>
          <w:p w14:paraId="720914E3" w14:textId="77777777" w:rsidR="00057AD8" w:rsidRDefault="00AB5F24">
            <w:pPr>
              <w:widowControl w:val="0"/>
              <w:jc w:val="right"/>
              <w:rPr>
                <w:rFonts w:ascii="Calibri" w:eastAsia="Calibri" w:hAnsi="Calibri" w:cs="Calibri"/>
                <w:sz w:val="20"/>
                <w:szCs w:val="20"/>
                <w:u w:val="single"/>
              </w:rPr>
            </w:pPr>
            <w:r>
              <w:rPr>
                <w:rFonts w:ascii="Calibri" w:eastAsia="Calibri" w:hAnsi="Calibri" w:cs="Calibri"/>
                <w:sz w:val="20"/>
                <w:szCs w:val="20"/>
                <w:u w:val="single"/>
              </w:rPr>
              <w:t>25.34%</w:t>
            </w:r>
          </w:p>
        </w:tc>
        <w:tc>
          <w:tcPr>
            <w:tcW w:w="1620" w:type="dxa"/>
            <w:tcBorders>
              <w:top w:val="single" w:sz="16" w:space="0" w:color="FFFFFF"/>
            </w:tcBorders>
            <w:tcMar>
              <w:top w:w="20" w:type="dxa"/>
              <w:left w:w="20" w:type="dxa"/>
              <w:bottom w:w="140" w:type="dxa"/>
              <w:right w:w="20" w:type="dxa"/>
            </w:tcMar>
            <w:vAlign w:val="bottom"/>
          </w:tcPr>
          <w:p w14:paraId="6173314A" w14:textId="77777777" w:rsidR="00057AD8" w:rsidRDefault="00AB5F24">
            <w:pPr>
              <w:widowControl w:val="0"/>
              <w:jc w:val="right"/>
              <w:rPr>
                <w:rFonts w:ascii="Calibri" w:eastAsia="Calibri" w:hAnsi="Calibri" w:cs="Calibri"/>
                <w:sz w:val="20"/>
                <w:szCs w:val="20"/>
                <w:u w:val="single"/>
              </w:rPr>
            </w:pPr>
            <w:r>
              <w:rPr>
                <w:rFonts w:ascii="Calibri" w:eastAsia="Calibri" w:hAnsi="Calibri" w:cs="Calibri"/>
                <w:sz w:val="20"/>
                <w:szCs w:val="20"/>
                <w:u w:val="single"/>
              </w:rPr>
              <w:t>13.75%</w:t>
            </w:r>
          </w:p>
        </w:tc>
        <w:tc>
          <w:tcPr>
            <w:tcW w:w="1840" w:type="dxa"/>
            <w:tcBorders>
              <w:top w:val="single" w:sz="16" w:space="0" w:color="FFFFFF"/>
            </w:tcBorders>
            <w:tcMar>
              <w:top w:w="20" w:type="dxa"/>
              <w:left w:w="20" w:type="dxa"/>
              <w:bottom w:w="140" w:type="dxa"/>
              <w:right w:w="20" w:type="dxa"/>
            </w:tcMar>
            <w:vAlign w:val="bottom"/>
          </w:tcPr>
          <w:p w14:paraId="1B36C238" w14:textId="77777777" w:rsidR="00057AD8" w:rsidRDefault="00AB5F24">
            <w:pPr>
              <w:widowControl w:val="0"/>
              <w:jc w:val="right"/>
              <w:rPr>
                <w:rFonts w:ascii="Calibri" w:eastAsia="Calibri" w:hAnsi="Calibri" w:cs="Calibri"/>
                <w:sz w:val="20"/>
                <w:szCs w:val="20"/>
                <w:u w:val="single"/>
              </w:rPr>
            </w:pPr>
            <w:r>
              <w:rPr>
                <w:rFonts w:ascii="Calibri" w:eastAsia="Calibri" w:hAnsi="Calibri" w:cs="Calibri"/>
                <w:sz w:val="20"/>
                <w:szCs w:val="20"/>
                <w:u w:val="single"/>
              </w:rPr>
              <w:t>22.62%</w:t>
            </w:r>
          </w:p>
        </w:tc>
        <w:tc>
          <w:tcPr>
            <w:tcW w:w="1320" w:type="dxa"/>
            <w:tcBorders>
              <w:top w:val="single" w:sz="16" w:space="0" w:color="FFFFFF"/>
            </w:tcBorders>
            <w:tcMar>
              <w:top w:w="20" w:type="dxa"/>
              <w:left w:w="20" w:type="dxa"/>
              <w:bottom w:w="140" w:type="dxa"/>
              <w:right w:w="20" w:type="dxa"/>
            </w:tcMar>
            <w:vAlign w:val="bottom"/>
          </w:tcPr>
          <w:p w14:paraId="1EC5AC1F" w14:textId="77777777" w:rsidR="00057AD8" w:rsidRDefault="00AB5F24">
            <w:pPr>
              <w:widowControl w:val="0"/>
              <w:jc w:val="right"/>
              <w:rPr>
                <w:color w:val="202124"/>
                <w:sz w:val="20"/>
                <w:szCs w:val="20"/>
                <w:u w:val="single"/>
              </w:rPr>
            </w:pPr>
            <w:r>
              <w:rPr>
                <w:color w:val="202124"/>
                <w:sz w:val="20"/>
                <w:szCs w:val="20"/>
                <w:u w:val="single"/>
              </w:rPr>
              <w:t>28.26</w:t>
            </w:r>
          </w:p>
        </w:tc>
      </w:tr>
      <w:tr w:rsidR="00057AD8" w14:paraId="5974D5FD" w14:textId="77777777">
        <w:trPr>
          <w:trHeight w:val="380"/>
        </w:trPr>
        <w:tc>
          <w:tcPr>
            <w:tcW w:w="1820" w:type="dxa"/>
            <w:tcMar>
              <w:top w:w="20" w:type="dxa"/>
              <w:left w:w="20" w:type="dxa"/>
              <w:bottom w:w="140" w:type="dxa"/>
              <w:right w:w="20" w:type="dxa"/>
            </w:tcMar>
            <w:vAlign w:val="bottom"/>
          </w:tcPr>
          <w:p w14:paraId="73D54460" w14:textId="77777777" w:rsidR="00057AD8" w:rsidRDefault="00AB5F24">
            <w:pPr>
              <w:widowControl w:val="0"/>
              <w:spacing w:line="240" w:lineRule="auto"/>
              <w:rPr>
                <w:rFonts w:ascii="Calibri" w:eastAsia="Calibri" w:hAnsi="Calibri" w:cs="Calibri"/>
                <w:b/>
                <w:sz w:val="24"/>
                <w:szCs w:val="24"/>
                <w:u w:val="single"/>
              </w:rPr>
            </w:pPr>
            <w:r>
              <w:rPr>
                <w:rFonts w:ascii="Calibri" w:eastAsia="Calibri" w:hAnsi="Calibri" w:cs="Calibri"/>
                <w:b/>
                <w:sz w:val="24"/>
                <w:szCs w:val="24"/>
                <w:u w:val="single"/>
              </w:rPr>
              <w:t>Microsoft</w:t>
            </w:r>
          </w:p>
        </w:tc>
        <w:tc>
          <w:tcPr>
            <w:tcW w:w="680" w:type="dxa"/>
            <w:tcMar>
              <w:top w:w="20" w:type="dxa"/>
              <w:left w:w="20" w:type="dxa"/>
              <w:bottom w:w="140" w:type="dxa"/>
              <w:right w:w="20" w:type="dxa"/>
            </w:tcMar>
            <w:vAlign w:val="bottom"/>
          </w:tcPr>
          <w:p w14:paraId="57AD1BDF"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33.48%</w:t>
            </w:r>
          </w:p>
        </w:tc>
        <w:tc>
          <w:tcPr>
            <w:tcW w:w="720" w:type="dxa"/>
            <w:tcMar>
              <w:top w:w="20" w:type="dxa"/>
              <w:left w:w="20" w:type="dxa"/>
              <w:bottom w:w="140" w:type="dxa"/>
              <w:right w:w="20" w:type="dxa"/>
            </w:tcMar>
            <w:vAlign w:val="bottom"/>
          </w:tcPr>
          <w:p w14:paraId="271323BD"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7.73%</w:t>
            </w:r>
          </w:p>
        </w:tc>
        <w:tc>
          <w:tcPr>
            <w:tcW w:w="960" w:type="dxa"/>
            <w:tcMar>
              <w:top w:w="20" w:type="dxa"/>
              <w:left w:w="20" w:type="dxa"/>
              <w:bottom w:w="140" w:type="dxa"/>
              <w:right w:w="20" w:type="dxa"/>
            </w:tcMar>
            <w:vAlign w:val="bottom"/>
          </w:tcPr>
          <w:p w14:paraId="244EC874"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25.75%</w:t>
            </w:r>
          </w:p>
        </w:tc>
        <w:tc>
          <w:tcPr>
            <w:tcW w:w="1620" w:type="dxa"/>
            <w:tcMar>
              <w:top w:w="20" w:type="dxa"/>
              <w:left w:w="20" w:type="dxa"/>
              <w:bottom w:w="140" w:type="dxa"/>
              <w:right w:w="20" w:type="dxa"/>
            </w:tcMar>
            <w:vAlign w:val="bottom"/>
          </w:tcPr>
          <w:p w14:paraId="7D6CC5DB"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15.98%</w:t>
            </w:r>
          </w:p>
        </w:tc>
        <w:tc>
          <w:tcPr>
            <w:tcW w:w="1840" w:type="dxa"/>
            <w:tcMar>
              <w:top w:w="20" w:type="dxa"/>
              <w:left w:w="20" w:type="dxa"/>
              <w:bottom w:w="140" w:type="dxa"/>
              <w:right w:w="20" w:type="dxa"/>
            </w:tcMar>
            <w:vAlign w:val="bottom"/>
          </w:tcPr>
          <w:p w14:paraId="50EF59D8"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25.79%</w:t>
            </w:r>
          </w:p>
        </w:tc>
        <w:tc>
          <w:tcPr>
            <w:tcW w:w="1320" w:type="dxa"/>
            <w:tcMar>
              <w:top w:w="20" w:type="dxa"/>
              <w:left w:w="20" w:type="dxa"/>
              <w:bottom w:w="140" w:type="dxa"/>
              <w:right w:w="20" w:type="dxa"/>
            </w:tcMar>
            <w:vAlign w:val="bottom"/>
          </w:tcPr>
          <w:p w14:paraId="095693E8" w14:textId="77777777" w:rsidR="00057AD8" w:rsidRDefault="00AB5F24">
            <w:pPr>
              <w:widowControl w:val="0"/>
              <w:jc w:val="right"/>
              <w:rPr>
                <w:color w:val="202124"/>
                <w:sz w:val="20"/>
                <w:szCs w:val="20"/>
              </w:rPr>
            </w:pPr>
            <w:r>
              <w:rPr>
                <w:color w:val="202124"/>
                <w:sz w:val="20"/>
                <w:szCs w:val="20"/>
              </w:rPr>
              <w:t>30.63</w:t>
            </w:r>
          </w:p>
        </w:tc>
      </w:tr>
      <w:tr w:rsidR="00057AD8" w14:paraId="201C5D75" w14:textId="77777777">
        <w:trPr>
          <w:trHeight w:val="380"/>
        </w:trPr>
        <w:tc>
          <w:tcPr>
            <w:tcW w:w="1820" w:type="dxa"/>
            <w:tcMar>
              <w:top w:w="20" w:type="dxa"/>
              <w:left w:w="20" w:type="dxa"/>
              <w:bottom w:w="140" w:type="dxa"/>
              <w:right w:w="20" w:type="dxa"/>
            </w:tcMar>
            <w:vAlign w:val="bottom"/>
          </w:tcPr>
          <w:p w14:paraId="72423947" w14:textId="77777777" w:rsidR="00057AD8" w:rsidRDefault="00AB5F24">
            <w:pPr>
              <w:widowControl w:val="0"/>
              <w:spacing w:line="240" w:lineRule="auto"/>
              <w:rPr>
                <w:rFonts w:ascii="Calibri" w:eastAsia="Calibri" w:hAnsi="Calibri" w:cs="Calibri"/>
                <w:b/>
                <w:sz w:val="24"/>
                <w:szCs w:val="24"/>
                <w:u w:val="single"/>
              </w:rPr>
            </w:pPr>
            <w:proofErr w:type="gramStart"/>
            <w:r>
              <w:rPr>
                <w:rFonts w:ascii="Calibri" w:eastAsia="Calibri" w:hAnsi="Calibri" w:cs="Calibri"/>
                <w:b/>
                <w:sz w:val="24"/>
                <w:szCs w:val="24"/>
                <w:u w:val="single"/>
              </w:rPr>
              <w:t>Alphabet(</w:t>
            </w:r>
            <w:proofErr w:type="gramEnd"/>
            <w:r>
              <w:rPr>
                <w:rFonts w:ascii="Calibri" w:eastAsia="Calibri" w:hAnsi="Calibri" w:cs="Calibri"/>
                <w:b/>
                <w:sz w:val="24"/>
                <w:szCs w:val="24"/>
                <w:u w:val="single"/>
              </w:rPr>
              <w:t>Google)</w:t>
            </w:r>
          </w:p>
        </w:tc>
        <w:tc>
          <w:tcPr>
            <w:tcW w:w="680" w:type="dxa"/>
            <w:tcMar>
              <w:top w:w="20" w:type="dxa"/>
              <w:left w:w="20" w:type="dxa"/>
              <w:bottom w:w="140" w:type="dxa"/>
              <w:right w:w="20" w:type="dxa"/>
            </w:tcMar>
            <w:vAlign w:val="bottom"/>
          </w:tcPr>
          <w:p w14:paraId="719C47FC"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35.67%</w:t>
            </w:r>
          </w:p>
        </w:tc>
        <w:tc>
          <w:tcPr>
            <w:tcW w:w="720" w:type="dxa"/>
            <w:tcMar>
              <w:top w:w="20" w:type="dxa"/>
              <w:left w:w="20" w:type="dxa"/>
              <w:bottom w:w="140" w:type="dxa"/>
              <w:right w:w="20" w:type="dxa"/>
            </w:tcMar>
            <w:vAlign w:val="bottom"/>
          </w:tcPr>
          <w:p w14:paraId="13827DAB"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8.65%</w:t>
            </w:r>
          </w:p>
        </w:tc>
        <w:tc>
          <w:tcPr>
            <w:tcW w:w="960" w:type="dxa"/>
            <w:tcMar>
              <w:top w:w="20" w:type="dxa"/>
              <w:left w:w="20" w:type="dxa"/>
              <w:bottom w:w="140" w:type="dxa"/>
              <w:right w:w="20" w:type="dxa"/>
            </w:tcMar>
            <w:vAlign w:val="bottom"/>
          </w:tcPr>
          <w:p w14:paraId="101BCAFC"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27.02%</w:t>
            </w:r>
          </w:p>
        </w:tc>
        <w:tc>
          <w:tcPr>
            <w:tcW w:w="1620" w:type="dxa"/>
            <w:tcMar>
              <w:top w:w="20" w:type="dxa"/>
              <w:left w:w="20" w:type="dxa"/>
              <w:bottom w:w="140" w:type="dxa"/>
              <w:right w:w="20" w:type="dxa"/>
            </w:tcMar>
            <w:vAlign w:val="bottom"/>
          </w:tcPr>
          <w:p w14:paraId="1546F26D"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23.46%</w:t>
            </w:r>
          </w:p>
        </w:tc>
        <w:tc>
          <w:tcPr>
            <w:tcW w:w="1840" w:type="dxa"/>
            <w:tcMar>
              <w:top w:w="20" w:type="dxa"/>
              <w:left w:w="20" w:type="dxa"/>
              <w:bottom w:w="140" w:type="dxa"/>
              <w:right w:w="20" w:type="dxa"/>
            </w:tcMar>
            <w:vAlign w:val="bottom"/>
          </w:tcPr>
          <w:p w14:paraId="5DCF0102"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17.31%</w:t>
            </w:r>
          </w:p>
        </w:tc>
        <w:tc>
          <w:tcPr>
            <w:tcW w:w="1320" w:type="dxa"/>
            <w:tcMar>
              <w:top w:w="20" w:type="dxa"/>
              <w:left w:w="20" w:type="dxa"/>
              <w:bottom w:w="140" w:type="dxa"/>
              <w:right w:w="20" w:type="dxa"/>
            </w:tcMar>
            <w:vAlign w:val="bottom"/>
          </w:tcPr>
          <w:p w14:paraId="69669984" w14:textId="77777777" w:rsidR="00057AD8" w:rsidRDefault="00AB5F24">
            <w:pPr>
              <w:widowControl w:val="0"/>
              <w:jc w:val="right"/>
              <w:rPr>
                <w:color w:val="202124"/>
                <w:sz w:val="20"/>
                <w:szCs w:val="20"/>
              </w:rPr>
            </w:pPr>
            <w:r>
              <w:rPr>
                <w:color w:val="202124"/>
                <w:sz w:val="20"/>
                <w:szCs w:val="20"/>
              </w:rPr>
              <w:t>23.22</w:t>
            </w:r>
          </w:p>
        </w:tc>
      </w:tr>
      <w:tr w:rsidR="00057AD8" w14:paraId="79E0ABFD" w14:textId="77777777">
        <w:trPr>
          <w:trHeight w:val="380"/>
        </w:trPr>
        <w:tc>
          <w:tcPr>
            <w:tcW w:w="1820" w:type="dxa"/>
            <w:tcMar>
              <w:top w:w="20" w:type="dxa"/>
              <w:left w:w="20" w:type="dxa"/>
              <w:bottom w:w="140" w:type="dxa"/>
              <w:right w:w="20" w:type="dxa"/>
            </w:tcMar>
            <w:vAlign w:val="bottom"/>
          </w:tcPr>
          <w:p w14:paraId="7B3A18AF" w14:textId="77777777" w:rsidR="00057AD8" w:rsidRDefault="00AB5F24">
            <w:pPr>
              <w:widowControl w:val="0"/>
              <w:spacing w:line="240" w:lineRule="auto"/>
              <w:rPr>
                <w:rFonts w:ascii="Calibri" w:eastAsia="Calibri" w:hAnsi="Calibri" w:cs="Calibri"/>
                <w:b/>
                <w:sz w:val="24"/>
                <w:szCs w:val="24"/>
                <w:u w:val="single"/>
              </w:rPr>
            </w:pPr>
            <w:r>
              <w:rPr>
                <w:rFonts w:ascii="Calibri" w:eastAsia="Calibri" w:hAnsi="Calibri" w:cs="Calibri"/>
                <w:b/>
                <w:sz w:val="24"/>
                <w:szCs w:val="24"/>
                <w:u w:val="single"/>
              </w:rPr>
              <w:t>Amazon</w:t>
            </w:r>
          </w:p>
        </w:tc>
        <w:tc>
          <w:tcPr>
            <w:tcW w:w="680" w:type="dxa"/>
            <w:tcMar>
              <w:top w:w="20" w:type="dxa"/>
              <w:left w:w="20" w:type="dxa"/>
              <w:bottom w:w="140" w:type="dxa"/>
              <w:right w:w="20" w:type="dxa"/>
            </w:tcMar>
            <w:vAlign w:val="bottom"/>
          </w:tcPr>
          <w:p w14:paraId="7ED1E0D7"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9.33%</w:t>
            </w:r>
          </w:p>
        </w:tc>
        <w:tc>
          <w:tcPr>
            <w:tcW w:w="720" w:type="dxa"/>
            <w:tcMar>
              <w:top w:w="20" w:type="dxa"/>
              <w:left w:w="20" w:type="dxa"/>
              <w:bottom w:w="140" w:type="dxa"/>
              <w:right w:w="20" w:type="dxa"/>
            </w:tcMar>
            <w:vAlign w:val="bottom"/>
          </w:tcPr>
          <w:p w14:paraId="54AB8E44"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7.66%</w:t>
            </w:r>
          </w:p>
        </w:tc>
        <w:tc>
          <w:tcPr>
            <w:tcW w:w="960" w:type="dxa"/>
            <w:tcMar>
              <w:top w:w="20" w:type="dxa"/>
              <w:left w:w="20" w:type="dxa"/>
              <w:bottom w:w="140" w:type="dxa"/>
              <w:right w:w="20" w:type="dxa"/>
            </w:tcMar>
            <w:vAlign w:val="bottom"/>
          </w:tcPr>
          <w:p w14:paraId="547DB1C6"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1.67%</w:t>
            </w:r>
          </w:p>
        </w:tc>
        <w:tc>
          <w:tcPr>
            <w:tcW w:w="1620" w:type="dxa"/>
            <w:tcMar>
              <w:top w:w="20" w:type="dxa"/>
              <w:left w:w="20" w:type="dxa"/>
              <w:bottom w:w="140" w:type="dxa"/>
              <w:right w:w="20" w:type="dxa"/>
            </w:tcMar>
            <w:vAlign w:val="bottom"/>
          </w:tcPr>
          <w:p w14:paraId="7519E86C"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26.33%</w:t>
            </w:r>
          </w:p>
        </w:tc>
        <w:tc>
          <w:tcPr>
            <w:tcW w:w="1840" w:type="dxa"/>
            <w:tcMar>
              <w:top w:w="20" w:type="dxa"/>
              <w:left w:w="20" w:type="dxa"/>
              <w:bottom w:w="140" w:type="dxa"/>
              <w:right w:w="20" w:type="dxa"/>
            </w:tcMar>
            <w:vAlign w:val="bottom"/>
          </w:tcPr>
          <w:p w14:paraId="7DF65BDC"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32.02%</w:t>
            </w:r>
          </w:p>
        </w:tc>
        <w:tc>
          <w:tcPr>
            <w:tcW w:w="1320" w:type="dxa"/>
            <w:tcMar>
              <w:top w:w="20" w:type="dxa"/>
              <w:left w:w="20" w:type="dxa"/>
              <w:bottom w:w="140" w:type="dxa"/>
              <w:right w:w="20" w:type="dxa"/>
            </w:tcMar>
            <w:vAlign w:val="bottom"/>
          </w:tcPr>
          <w:p w14:paraId="6F2F0506" w14:textId="77777777" w:rsidR="00057AD8" w:rsidRDefault="00AB5F24">
            <w:pPr>
              <w:widowControl w:val="0"/>
              <w:jc w:val="right"/>
              <w:rPr>
                <w:color w:val="202124"/>
                <w:sz w:val="20"/>
                <w:szCs w:val="20"/>
              </w:rPr>
            </w:pPr>
            <w:r>
              <w:rPr>
                <w:color w:val="202124"/>
                <w:sz w:val="20"/>
                <w:szCs w:val="20"/>
              </w:rPr>
              <w:t>48</w:t>
            </w:r>
          </w:p>
        </w:tc>
      </w:tr>
      <w:tr w:rsidR="00057AD8" w14:paraId="20731512" w14:textId="77777777">
        <w:trPr>
          <w:trHeight w:val="380"/>
        </w:trPr>
        <w:tc>
          <w:tcPr>
            <w:tcW w:w="1820" w:type="dxa"/>
            <w:tcMar>
              <w:top w:w="20" w:type="dxa"/>
              <w:left w:w="20" w:type="dxa"/>
              <w:bottom w:w="140" w:type="dxa"/>
              <w:right w:w="20" w:type="dxa"/>
            </w:tcMar>
            <w:vAlign w:val="bottom"/>
          </w:tcPr>
          <w:p w14:paraId="3B331002" w14:textId="77777777" w:rsidR="00057AD8" w:rsidRDefault="00AB5F24">
            <w:pPr>
              <w:widowControl w:val="0"/>
              <w:spacing w:line="240" w:lineRule="auto"/>
              <w:rPr>
                <w:rFonts w:ascii="Calibri" w:eastAsia="Calibri" w:hAnsi="Calibri" w:cs="Calibri"/>
                <w:b/>
                <w:sz w:val="24"/>
                <w:szCs w:val="24"/>
                <w:u w:val="single"/>
              </w:rPr>
            </w:pPr>
            <w:r>
              <w:rPr>
                <w:rFonts w:ascii="Calibri" w:eastAsia="Calibri" w:hAnsi="Calibri" w:cs="Calibri"/>
                <w:b/>
                <w:sz w:val="24"/>
                <w:szCs w:val="24"/>
                <w:u w:val="single"/>
              </w:rPr>
              <w:t>Samsung</w:t>
            </w:r>
          </w:p>
        </w:tc>
        <w:tc>
          <w:tcPr>
            <w:tcW w:w="680" w:type="dxa"/>
            <w:tcMar>
              <w:top w:w="20" w:type="dxa"/>
              <w:left w:w="20" w:type="dxa"/>
              <w:bottom w:w="140" w:type="dxa"/>
              <w:right w:w="20" w:type="dxa"/>
            </w:tcMar>
            <w:vAlign w:val="bottom"/>
          </w:tcPr>
          <w:p w14:paraId="30F9E363"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12.94%</w:t>
            </w:r>
          </w:p>
        </w:tc>
        <w:tc>
          <w:tcPr>
            <w:tcW w:w="720" w:type="dxa"/>
            <w:tcMar>
              <w:top w:w="20" w:type="dxa"/>
              <w:left w:w="20" w:type="dxa"/>
              <w:bottom w:w="140" w:type="dxa"/>
              <w:right w:w="20" w:type="dxa"/>
            </w:tcMar>
            <w:vAlign w:val="bottom"/>
          </w:tcPr>
          <w:p w14:paraId="7D950B74"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6.56%</w:t>
            </w:r>
          </w:p>
        </w:tc>
        <w:tc>
          <w:tcPr>
            <w:tcW w:w="960" w:type="dxa"/>
            <w:tcMar>
              <w:top w:w="20" w:type="dxa"/>
              <w:left w:w="20" w:type="dxa"/>
              <w:bottom w:w="140" w:type="dxa"/>
              <w:right w:w="20" w:type="dxa"/>
            </w:tcMar>
            <w:vAlign w:val="bottom"/>
          </w:tcPr>
          <w:p w14:paraId="59E54DB6"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6.38%</w:t>
            </w:r>
          </w:p>
        </w:tc>
        <w:tc>
          <w:tcPr>
            <w:tcW w:w="1620" w:type="dxa"/>
            <w:tcMar>
              <w:top w:w="20" w:type="dxa"/>
              <w:left w:w="20" w:type="dxa"/>
              <w:bottom w:w="140" w:type="dxa"/>
              <w:right w:w="20" w:type="dxa"/>
            </w:tcMar>
            <w:vAlign w:val="bottom"/>
          </w:tcPr>
          <w:p w14:paraId="4CE32099"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4.64%</w:t>
            </w:r>
          </w:p>
        </w:tc>
        <w:tc>
          <w:tcPr>
            <w:tcW w:w="1840" w:type="dxa"/>
            <w:tcMar>
              <w:top w:w="20" w:type="dxa"/>
              <w:left w:w="20" w:type="dxa"/>
              <w:bottom w:w="140" w:type="dxa"/>
              <w:right w:w="20" w:type="dxa"/>
            </w:tcMar>
            <w:vAlign w:val="bottom"/>
          </w:tcPr>
          <w:p w14:paraId="4066737C"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10.57%</w:t>
            </w:r>
          </w:p>
        </w:tc>
        <w:tc>
          <w:tcPr>
            <w:tcW w:w="1320" w:type="dxa"/>
            <w:tcMar>
              <w:top w:w="20" w:type="dxa"/>
              <w:left w:w="20" w:type="dxa"/>
              <w:bottom w:w="140" w:type="dxa"/>
              <w:right w:w="20" w:type="dxa"/>
            </w:tcMar>
            <w:vAlign w:val="bottom"/>
          </w:tcPr>
          <w:p w14:paraId="35693716" w14:textId="77777777" w:rsidR="00057AD8" w:rsidRDefault="00AB5F24">
            <w:pPr>
              <w:widowControl w:val="0"/>
              <w:jc w:val="right"/>
              <w:rPr>
                <w:color w:val="202124"/>
                <w:sz w:val="20"/>
                <w:szCs w:val="20"/>
              </w:rPr>
            </w:pPr>
            <w:r>
              <w:rPr>
                <w:color w:val="202124"/>
                <w:sz w:val="20"/>
                <w:szCs w:val="20"/>
              </w:rPr>
              <w:t>11.55</w:t>
            </w:r>
          </w:p>
        </w:tc>
      </w:tr>
      <w:tr w:rsidR="00057AD8" w14:paraId="44D89445" w14:textId="77777777">
        <w:trPr>
          <w:trHeight w:val="380"/>
        </w:trPr>
        <w:tc>
          <w:tcPr>
            <w:tcW w:w="1820" w:type="dxa"/>
            <w:tcMar>
              <w:top w:w="20" w:type="dxa"/>
              <w:left w:w="20" w:type="dxa"/>
              <w:bottom w:w="140" w:type="dxa"/>
              <w:right w:w="20" w:type="dxa"/>
            </w:tcMar>
            <w:vAlign w:val="bottom"/>
          </w:tcPr>
          <w:p w14:paraId="79FC115A" w14:textId="77777777" w:rsidR="00057AD8" w:rsidRDefault="00AB5F24">
            <w:pPr>
              <w:widowControl w:val="0"/>
              <w:spacing w:line="240" w:lineRule="auto"/>
              <w:rPr>
                <w:rFonts w:ascii="Calibri" w:eastAsia="Calibri" w:hAnsi="Calibri" w:cs="Calibri"/>
                <w:b/>
                <w:sz w:val="24"/>
                <w:szCs w:val="24"/>
                <w:u w:val="single"/>
              </w:rPr>
            </w:pPr>
            <w:r>
              <w:rPr>
                <w:rFonts w:ascii="Calibri" w:eastAsia="Calibri" w:hAnsi="Calibri" w:cs="Calibri"/>
                <w:b/>
                <w:sz w:val="24"/>
                <w:szCs w:val="24"/>
                <w:u w:val="single"/>
              </w:rPr>
              <w:t>Dell</w:t>
            </w:r>
          </w:p>
        </w:tc>
        <w:tc>
          <w:tcPr>
            <w:tcW w:w="680" w:type="dxa"/>
            <w:tcMar>
              <w:top w:w="20" w:type="dxa"/>
              <w:left w:w="20" w:type="dxa"/>
              <w:bottom w:w="140" w:type="dxa"/>
              <w:right w:w="20" w:type="dxa"/>
            </w:tcMar>
            <w:vAlign w:val="bottom"/>
          </w:tcPr>
          <w:p w14:paraId="5632A447"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3.95%</w:t>
            </w:r>
          </w:p>
        </w:tc>
        <w:tc>
          <w:tcPr>
            <w:tcW w:w="720" w:type="dxa"/>
            <w:tcMar>
              <w:top w:w="20" w:type="dxa"/>
              <w:left w:w="20" w:type="dxa"/>
              <w:bottom w:w="140" w:type="dxa"/>
              <w:right w:w="20" w:type="dxa"/>
            </w:tcMar>
            <w:vAlign w:val="bottom"/>
          </w:tcPr>
          <w:p w14:paraId="6FD517EC"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6.10%</w:t>
            </w:r>
          </w:p>
        </w:tc>
        <w:tc>
          <w:tcPr>
            <w:tcW w:w="960" w:type="dxa"/>
            <w:tcMar>
              <w:top w:w="20" w:type="dxa"/>
              <w:left w:w="20" w:type="dxa"/>
              <w:bottom w:w="140" w:type="dxa"/>
              <w:right w:w="20" w:type="dxa"/>
            </w:tcMar>
            <w:vAlign w:val="bottom"/>
          </w:tcPr>
          <w:p w14:paraId="5D03BAA9"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-2.15%</w:t>
            </w:r>
          </w:p>
        </w:tc>
        <w:tc>
          <w:tcPr>
            <w:tcW w:w="1620" w:type="dxa"/>
            <w:tcMar>
              <w:top w:w="20" w:type="dxa"/>
              <w:left w:w="20" w:type="dxa"/>
              <w:bottom w:w="140" w:type="dxa"/>
              <w:right w:w="20" w:type="dxa"/>
            </w:tcMar>
            <w:vAlign w:val="bottom"/>
          </w:tcPr>
          <w:p w14:paraId="731CBE08"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3.76%</w:t>
            </w:r>
          </w:p>
        </w:tc>
        <w:tc>
          <w:tcPr>
            <w:tcW w:w="1840" w:type="dxa"/>
            <w:tcMar>
              <w:top w:w="20" w:type="dxa"/>
              <w:left w:w="20" w:type="dxa"/>
              <w:bottom w:w="140" w:type="dxa"/>
              <w:right w:w="20" w:type="dxa"/>
            </w:tcMar>
            <w:vAlign w:val="bottom"/>
          </w:tcPr>
          <w:p w14:paraId="30B3348A" w14:textId="77777777" w:rsidR="00057AD8" w:rsidRDefault="00AB5F24">
            <w:pPr>
              <w:widowControl w:val="0"/>
              <w:jc w:val="right"/>
              <w:rPr>
                <w:color w:val="222222"/>
                <w:sz w:val="20"/>
                <w:szCs w:val="20"/>
              </w:rPr>
            </w:pPr>
            <w:r>
              <w:rPr>
                <w:color w:val="222222"/>
                <w:sz w:val="20"/>
                <w:szCs w:val="20"/>
              </w:rPr>
              <w:t>19.71%</w:t>
            </w:r>
          </w:p>
        </w:tc>
        <w:tc>
          <w:tcPr>
            <w:tcW w:w="1320" w:type="dxa"/>
            <w:tcMar>
              <w:top w:w="20" w:type="dxa"/>
              <w:left w:w="20" w:type="dxa"/>
              <w:bottom w:w="140" w:type="dxa"/>
              <w:right w:w="20" w:type="dxa"/>
            </w:tcMar>
            <w:vAlign w:val="bottom"/>
          </w:tcPr>
          <w:p w14:paraId="65F360E1" w14:textId="77777777" w:rsidR="00057AD8" w:rsidRDefault="00AB5F24">
            <w:pPr>
              <w:widowControl w:val="0"/>
              <w:jc w:val="right"/>
              <w:rPr>
                <w:color w:val="202124"/>
                <w:sz w:val="20"/>
                <w:szCs w:val="20"/>
              </w:rPr>
            </w:pPr>
            <w:r>
              <w:rPr>
                <w:color w:val="202124"/>
                <w:sz w:val="20"/>
                <w:szCs w:val="20"/>
              </w:rPr>
              <w:t>5.55</w:t>
            </w:r>
          </w:p>
        </w:tc>
      </w:tr>
      <w:tr w:rsidR="00057AD8" w14:paraId="5276AEE5" w14:textId="77777777">
        <w:trPr>
          <w:trHeight w:val="380"/>
        </w:trPr>
        <w:tc>
          <w:tcPr>
            <w:tcW w:w="1820" w:type="dxa"/>
            <w:tcMar>
              <w:top w:w="20" w:type="dxa"/>
              <w:left w:w="20" w:type="dxa"/>
              <w:bottom w:w="140" w:type="dxa"/>
              <w:right w:w="20" w:type="dxa"/>
            </w:tcMar>
            <w:vAlign w:val="bottom"/>
          </w:tcPr>
          <w:p w14:paraId="43BCF08F" w14:textId="77777777" w:rsidR="00057AD8" w:rsidRDefault="00AB5F24">
            <w:pPr>
              <w:widowControl w:val="0"/>
              <w:spacing w:line="240" w:lineRule="auto"/>
              <w:rPr>
                <w:rFonts w:ascii="Calibri" w:eastAsia="Calibri" w:hAnsi="Calibri" w:cs="Calibri"/>
                <w:b/>
                <w:sz w:val="24"/>
                <w:szCs w:val="24"/>
                <w:u w:val="single"/>
              </w:rPr>
            </w:pPr>
            <w:r>
              <w:rPr>
                <w:rFonts w:ascii="Calibri" w:eastAsia="Calibri" w:hAnsi="Calibri" w:cs="Calibri"/>
                <w:b/>
                <w:sz w:val="24"/>
                <w:szCs w:val="24"/>
                <w:u w:val="single"/>
              </w:rPr>
              <w:t>Sony</w:t>
            </w:r>
          </w:p>
        </w:tc>
        <w:tc>
          <w:tcPr>
            <w:tcW w:w="680" w:type="dxa"/>
            <w:tcMar>
              <w:top w:w="20" w:type="dxa"/>
              <w:left w:w="20" w:type="dxa"/>
              <w:bottom w:w="140" w:type="dxa"/>
              <w:right w:w="20" w:type="dxa"/>
            </w:tcMar>
            <w:vAlign w:val="bottom"/>
          </w:tcPr>
          <w:p w14:paraId="42658174"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3.19%</w:t>
            </w:r>
          </w:p>
        </w:tc>
        <w:tc>
          <w:tcPr>
            <w:tcW w:w="720" w:type="dxa"/>
            <w:tcMar>
              <w:top w:w="20" w:type="dxa"/>
              <w:left w:w="20" w:type="dxa"/>
              <w:bottom w:w="140" w:type="dxa"/>
              <w:right w:w="20" w:type="dxa"/>
            </w:tcMar>
            <w:vAlign w:val="bottom"/>
          </w:tcPr>
          <w:p w14:paraId="4B24215F"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4%</w:t>
            </w:r>
          </w:p>
        </w:tc>
        <w:tc>
          <w:tcPr>
            <w:tcW w:w="960" w:type="dxa"/>
            <w:tcMar>
              <w:top w:w="20" w:type="dxa"/>
              <w:left w:w="20" w:type="dxa"/>
              <w:bottom w:w="140" w:type="dxa"/>
              <w:right w:w="20" w:type="dxa"/>
            </w:tcMar>
            <w:vAlign w:val="bottom"/>
          </w:tcPr>
          <w:p w14:paraId="4421185F"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-0.81%</w:t>
            </w:r>
          </w:p>
        </w:tc>
        <w:tc>
          <w:tcPr>
            <w:tcW w:w="1620" w:type="dxa"/>
            <w:tcMar>
              <w:top w:w="20" w:type="dxa"/>
              <w:left w:w="20" w:type="dxa"/>
              <w:bottom w:w="140" w:type="dxa"/>
              <w:right w:w="20" w:type="dxa"/>
            </w:tcMar>
            <w:vAlign w:val="bottom"/>
          </w:tcPr>
          <w:p w14:paraId="44B0CCB4"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5.18%</w:t>
            </w:r>
          </w:p>
        </w:tc>
        <w:tc>
          <w:tcPr>
            <w:tcW w:w="1840" w:type="dxa"/>
            <w:tcMar>
              <w:top w:w="20" w:type="dxa"/>
              <w:left w:w="20" w:type="dxa"/>
              <w:bottom w:w="140" w:type="dxa"/>
              <w:right w:w="20" w:type="dxa"/>
            </w:tcMar>
            <w:vAlign w:val="bottom"/>
          </w:tcPr>
          <w:p w14:paraId="4DA9E736"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17.40%</w:t>
            </w:r>
          </w:p>
        </w:tc>
        <w:tc>
          <w:tcPr>
            <w:tcW w:w="1320" w:type="dxa"/>
            <w:tcMar>
              <w:top w:w="20" w:type="dxa"/>
              <w:left w:w="20" w:type="dxa"/>
              <w:bottom w:w="140" w:type="dxa"/>
              <w:right w:w="20" w:type="dxa"/>
            </w:tcMar>
            <w:vAlign w:val="bottom"/>
          </w:tcPr>
          <w:p w14:paraId="0A17E9F2" w14:textId="77777777" w:rsidR="00057AD8" w:rsidRDefault="00AB5F24">
            <w:pPr>
              <w:widowControl w:val="0"/>
              <w:jc w:val="right"/>
              <w:rPr>
                <w:color w:val="202124"/>
                <w:sz w:val="20"/>
                <w:szCs w:val="20"/>
              </w:rPr>
            </w:pPr>
            <w:r>
              <w:rPr>
                <w:color w:val="202124"/>
                <w:sz w:val="20"/>
                <w:szCs w:val="20"/>
              </w:rPr>
              <w:t>16.42</w:t>
            </w:r>
          </w:p>
        </w:tc>
      </w:tr>
      <w:tr w:rsidR="00057AD8" w14:paraId="5AFD3761" w14:textId="77777777">
        <w:trPr>
          <w:trHeight w:val="380"/>
        </w:trPr>
        <w:tc>
          <w:tcPr>
            <w:tcW w:w="1820" w:type="dxa"/>
            <w:tcMar>
              <w:top w:w="20" w:type="dxa"/>
              <w:left w:w="20" w:type="dxa"/>
              <w:bottom w:w="140" w:type="dxa"/>
              <w:right w:w="20" w:type="dxa"/>
            </w:tcMar>
            <w:vAlign w:val="bottom"/>
          </w:tcPr>
          <w:p w14:paraId="2E207A0F" w14:textId="77777777" w:rsidR="00057AD8" w:rsidRDefault="00AB5F24">
            <w:pPr>
              <w:widowControl w:val="0"/>
              <w:spacing w:line="240" w:lineRule="auto"/>
              <w:rPr>
                <w:rFonts w:ascii="Calibri" w:eastAsia="Calibri" w:hAnsi="Calibri" w:cs="Calibri"/>
                <w:b/>
                <w:sz w:val="24"/>
                <w:szCs w:val="24"/>
                <w:u w:val="single"/>
              </w:rPr>
            </w:pPr>
            <w:r>
              <w:rPr>
                <w:rFonts w:ascii="Calibri" w:eastAsia="Calibri" w:hAnsi="Calibri" w:cs="Calibri"/>
                <w:b/>
                <w:sz w:val="24"/>
                <w:szCs w:val="24"/>
                <w:u w:val="single"/>
              </w:rPr>
              <w:t>Lenovo</w:t>
            </w:r>
          </w:p>
        </w:tc>
        <w:tc>
          <w:tcPr>
            <w:tcW w:w="680" w:type="dxa"/>
            <w:tcMar>
              <w:top w:w="20" w:type="dxa"/>
              <w:left w:w="20" w:type="dxa"/>
              <w:bottom w:w="140" w:type="dxa"/>
              <w:right w:w="20" w:type="dxa"/>
            </w:tcMar>
            <w:vAlign w:val="bottom"/>
          </w:tcPr>
          <w:p w14:paraId="2EF75662"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8.25%</w:t>
            </w:r>
          </w:p>
        </w:tc>
        <w:tc>
          <w:tcPr>
            <w:tcW w:w="720" w:type="dxa"/>
            <w:tcMar>
              <w:top w:w="20" w:type="dxa"/>
              <w:left w:w="20" w:type="dxa"/>
              <w:bottom w:w="140" w:type="dxa"/>
              <w:right w:w="20" w:type="dxa"/>
            </w:tcMar>
            <w:vAlign w:val="bottom"/>
          </w:tcPr>
          <w:p w14:paraId="61B9CBA3"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6.26%</w:t>
            </w:r>
          </w:p>
        </w:tc>
        <w:tc>
          <w:tcPr>
            <w:tcW w:w="960" w:type="dxa"/>
            <w:tcMar>
              <w:top w:w="20" w:type="dxa"/>
              <w:left w:w="20" w:type="dxa"/>
              <w:bottom w:w="140" w:type="dxa"/>
              <w:right w:w="20" w:type="dxa"/>
            </w:tcMar>
            <w:vAlign w:val="bottom"/>
          </w:tcPr>
          <w:p w14:paraId="2FC6047B"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1.99%</w:t>
            </w:r>
          </w:p>
        </w:tc>
        <w:tc>
          <w:tcPr>
            <w:tcW w:w="1620" w:type="dxa"/>
            <w:tcMar>
              <w:top w:w="20" w:type="dxa"/>
              <w:left w:w="20" w:type="dxa"/>
              <w:bottom w:w="140" w:type="dxa"/>
              <w:right w:w="20" w:type="dxa"/>
            </w:tcMar>
            <w:vAlign w:val="bottom"/>
          </w:tcPr>
          <w:p w14:paraId="5AA6BB79"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12.18%</w:t>
            </w:r>
          </w:p>
        </w:tc>
        <w:tc>
          <w:tcPr>
            <w:tcW w:w="1840" w:type="dxa"/>
            <w:tcMar>
              <w:top w:w="20" w:type="dxa"/>
              <w:left w:w="20" w:type="dxa"/>
              <w:bottom w:w="140" w:type="dxa"/>
              <w:right w:w="20" w:type="dxa"/>
            </w:tcMar>
            <w:vAlign w:val="bottom"/>
          </w:tcPr>
          <w:p w14:paraId="4972F429" w14:textId="77777777" w:rsidR="00057AD8" w:rsidRDefault="00AB5F24">
            <w:pPr>
              <w:widowControl w:val="0"/>
              <w:jc w:val="right"/>
              <w:rPr>
                <w:rFonts w:ascii="Calibri" w:eastAsia="Calibri" w:hAnsi="Calibri" w:cs="Calibri"/>
                <w:sz w:val="20"/>
                <w:szCs w:val="20"/>
              </w:rPr>
            </w:pPr>
            <w:r>
              <w:rPr>
                <w:rFonts w:ascii="Calibri" w:eastAsia="Calibri" w:hAnsi="Calibri" w:cs="Calibri"/>
                <w:sz w:val="20"/>
                <w:szCs w:val="20"/>
              </w:rPr>
              <w:t>2.75%</w:t>
            </w:r>
          </w:p>
        </w:tc>
        <w:tc>
          <w:tcPr>
            <w:tcW w:w="1320" w:type="dxa"/>
            <w:tcMar>
              <w:top w:w="20" w:type="dxa"/>
              <w:left w:w="20" w:type="dxa"/>
              <w:bottom w:w="140" w:type="dxa"/>
              <w:right w:w="20" w:type="dxa"/>
            </w:tcMar>
            <w:vAlign w:val="bottom"/>
          </w:tcPr>
          <w:p w14:paraId="5A0DB59D" w14:textId="77777777" w:rsidR="00057AD8" w:rsidRDefault="00AB5F24">
            <w:pPr>
              <w:widowControl w:val="0"/>
              <w:jc w:val="right"/>
              <w:rPr>
                <w:color w:val="202124"/>
                <w:sz w:val="20"/>
                <w:szCs w:val="20"/>
              </w:rPr>
            </w:pPr>
            <w:r>
              <w:rPr>
                <w:color w:val="202124"/>
                <w:sz w:val="20"/>
                <w:szCs w:val="20"/>
              </w:rPr>
              <w:t>8.1</w:t>
            </w:r>
          </w:p>
        </w:tc>
      </w:tr>
    </w:tbl>
    <w:p w14:paraId="3F425AEE" w14:textId="77777777" w:rsidR="00057AD8" w:rsidRDefault="00057AD8"/>
    <w:p w14:paraId="6FA73C5E" w14:textId="77777777" w:rsidR="00057AD8" w:rsidRDefault="00057AD8"/>
    <w:p w14:paraId="7DC3CF2A" w14:textId="77777777" w:rsidR="00057AD8" w:rsidRDefault="00057AD8"/>
    <w:p w14:paraId="5BEF898C" w14:textId="77777777" w:rsidR="00057AD8" w:rsidRDefault="00057AD8"/>
    <w:p w14:paraId="0F7CB37A" w14:textId="77777777" w:rsidR="00057AD8" w:rsidRDefault="00AB5F24">
      <w:r>
        <w:br w:type="page"/>
      </w:r>
    </w:p>
    <w:p w14:paraId="3DFE0D36" w14:textId="77777777" w:rsidR="00057AD8" w:rsidRDefault="00AB5F24">
      <w:r>
        <w:lastRenderedPageBreak/>
        <w:t>Appendix 6: APPLE Valuation</w:t>
      </w:r>
    </w:p>
    <w:p w14:paraId="564DABCE" w14:textId="77777777" w:rsidR="00057AD8" w:rsidRDefault="00AB5F24">
      <w:r>
        <w:rPr>
          <w:noProof/>
        </w:rPr>
        <w:drawing>
          <wp:inline distT="114300" distB="114300" distL="114300" distR="114300" wp14:anchorId="3027C9B3" wp14:editId="01719313">
            <wp:extent cx="4691063" cy="499177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91063" cy="4991772"/>
                    </a:xfrm>
                    <a:prstGeom prst="rect">
                      <a:avLst/>
                    </a:prstGeom>
                    <a:ln/>
                  </pic:spPr>
                </pic:pic>
              </a:graphicData>
            </a:graphic>
          </wp:inline>
        </w:drawing>
      </w:r>
    </w:p>
    <w:p w14:paraId="7CC4D9D8" w14:textId="77777777" w:rsidR="00057AD8" w:rsidRDefault="00057AD8"/>
    <w:p w14:paraId="26E635C5" w14:textId="77777777" w:rsidR="00057AD8" w:rsidRDefault="00AB5F24">
      <w:r>
        <w:t>Appendix 7: NI</w:t>
      </w:r>
    </w:p>
    <w:p w14:paraId="68A99B9C" w14:textId="77777777" w:rsidR="00057AD8" w:rsidRDefault="00AB5F24">
      <w:r>
        <w:rPr>
          <w:noProof/>
        </w:rPr>
        <w:drawing>
          <wp:inline distT="114300" distB="114300" distL="114300" distR="114300" wp14:anchorId="7D23F878" wp14:editId="6800191D">
            <wp:extent cx="5943600" cy="1905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905000"/>
                    </a:xfrm>
                    <a:prstGeom prst="rect">
                      <a:avLst/>
                    </a:prstGeom>
                    <a:ln/>
                  </pic:spPr>
                </pic:pic>
              </a:graphicData>
            </a:graphic>
          </wp:inline>
        </w:drawing>
      </w:r>
    </w:p>
    <w:p w14:paraId="4DC38FBB" w14:textId="77777777" w:rsidR="00057AD8" w:rsidRDefault="00057AD8">
      <w:pPr>
        <w:rPr>
          <w:b/>
        </w:rPr>
      </w:pPr>
    </w:p>
    <w:p w14:paraId="626DCD87" w14:textId="77777777" w:rsidR="00057AD8" w:rsidRDefault="00057AD8">
      <w:pPr>
        <w:rPr>
          <w:b/>
        </w:rPr>
      </w:pPr>
    </w:p>
    <w:p w14:paraId="297290A8" w14:textId="77777777" w:rsidR="00057AD8" w:rsidRDefault="00057AD8">
      <w:pPr>
        <w:rPr>
          <w:b/>
        </w:rPr>
      </w:pPr>
    </w:p>
    <w:p w14:paraId="2B2443FD" w14:textId="77777777" w:rsidR="00057AD8" w:rsidRDefault="00AB5F24">
      <w:pPr>
        <w:rPr>
          <w:b/>
        </w:rPr>
      </w:pPr>
      <w:r>
        <w:rPr>
          <w:b/>
        </w:rPr>
        <w:t>Reference</w:t>
      </w:r>
    </w:p>
    <w:p w14:paraId="29511B46" w14:textId="77777777" w:rsidR="00057AD8" w:rsidRDefault="00AB5F24">
      <w:pPr>
        <w:spacing w:before="240" w:after="240"/>
      </w:pPr>
      <w:r>
        <w:rPr>
          <w:i/>
        </w:rPr>
        <w:lastRenderedPageBreak/>
        <w:t>Leadership and governance</w:t>
      </w:r>
      <w:r>
        <w:t xml:space="preserve">. Apple. Retrieved April 28, 2022, from https://investor.apple.com/leadership-and-governance/default.aspx </w:t>
      </w:r>
    </w:p>
    <w:p w14:paraId="27902885" w14:textId="77777777" w:rsidR="00057AD8" w:rsidRDefault="00AB5F24">
      <w:pPr>
        <w:spacing w:before="240" w:after="240"/>
      </w:pPr>
      <w:r>
        <w:rPr>
          <w:i/>
        </w:rPr>
        <w:t xml:space="preserve">Apple Inc. Form 10-K For the Fiscal Year Ended September 28, </w:t>
      </w:r>
      <w:proofErr w:type="gramStart"/>
      <w:r>
        <w:rPr>
          <w:i/>
        </w:rPr>
        <w:t>2019</w:t>
      </w:r>
      <w:proofErr w:type="gramEnd"/>
      <w:r>
        <w:rPr>
          <w:i/>
        </w:rPr>
        <w:t xml:space="preserve"> TABLE OF CONTENTS</w:t>
      </w:r>
      <w:r>
        <w:t>. Document. Retrieved April 28, 2022, from https://www.sec.gov/Arc</w:t>
      </w:r>
      <w:r>
        <w:t xml:space="preserve">hives/edgar/data/320193/000032019319000119/a10-k20199282019.htm </w:t>
      </w:r>
    </w:p>
    <w:p w14:paraId="606F32DB" w14:textId="77777777" w:rsidR="00057AD8" w:rsidRDefault="00AB5F24">
      <w:pPr>
        <w:spacing w:before="240" w:after="240"/>
      </w:pPr>
      <w:proofErr w:type="spellStart"/>
      <w:r>
        <w:rPr>
          <w:i/>
        </w:rPr>
        <w:t>Gurufocus</w:t>
      </w:r>
      <w:proofErr w:type="spellEnd"/>
      <w:r>
        <w:rPr>
          <w:i/>
        </w:rPr>
        <w:t xml:space="preserve">. </w:t>
      </w:r>
      <w:r>
        <w:t xml:space="preserve">Value Investing | Market Insight of Investment Gurus. Retrieved April 28, 2022, from https://www.gurufocus.com/ </w:t>
      </w:r>
    </w:p>
    <w:p w14:paraId="24FEF2C5" w14:textId="77777777" w:rsidR="00057AD8" w:rsidRDefault="00AB5F24">
      <w:pPr>
        <w:spacing w:before="240" w:after="240"/>
      </w:pPr>
      <w:r>
        <w:t xml:space="preserve">Evans, A. H. B. J., &amp; Evans, J. (2021, December 21). </w:t>
      </w:r>
      <w:r>
        <w:rPr>
          <w:i/>
        </w:rPr>
        <w:t>What Apple's a</w:t>
      </w:r>
      <w:r>
        <w:rPr>
          <w:i/>
        </w:rPr>
        <w:t>pproach to building services income tells us</w:t>
      </w:r>
      <w:r>
        <w:t xml:space="preserve">. Computerworld. Retrieved April 28, 2022, from https://www.computerworld.com/article/3645372/what-apples-approach-to-building-services-income-tells-us.html </w:t>
      </w:r>
    </w:p>
    <w:p w14:paraId="63B44907" w14:textId="77777777" w:rsidR="00057AD8" w:rsidRDefault="00AB5F24">
      <w:pPr>
        <w:spacing w:before="240" w:after="240"/>
      </w:pPr>
      <w:r>
        <w:rPr>
          <w:i/>
        </w:rPr>
        <w:t>Apple patents - key insights and stats</w:t>
      </w:r>
      <w:r>
        <w:t xml:space="preserve">. </w:t>
      </w:r>
      <w:proofErr w:type="spellStart"/>
      <w:proofErr w:type="gramStart"/>
      <w:r>
        <w:t>Insights;Gate</w:t>
      </w:r>
      <w:proofErr w:type="spellEnd"/>
      <w:proofErr w:type="gramEnd"/>
      <w:r>
        <w:t xml:space="preserve"> </w:t>
      </w:r>
      <w:r>
        <w:t xml:space="preserve">by </w:t>
      </w:r>
      <w:proofErr w:type="spellStart"/>
      <w:r>
        <w:t>GreyB</w:t>
      </w:r>
      <w:proofErr w:type="spellEnd"/>
      <w:r>
        <w:t xml:space="preserve">. (2022, April 21). Retrieved April 28, 2022, from https://insights.greyb.com/apple-patents/ </w:t>
      </w:r>
    </w:p>
    <w:p w14:paraId="16628D1A" w14:textId="77777777" w:rsidR="00057AD8" w:rsidRDefault="00AB5F24">
      <w:pPr>
        <w:spacing w:before="240" w:after="240"/>
      </w:pPr>
      <w:r>
        <w:t xml:space="preserve">Lu, C. </w:t>
      </w:r>
      <w:r>
        <w:rPr>
          <w:i/>
        </w:rPr>
        <w:t>Apple supply chain - the best supply chain in the world</w:t>
      </w:r>
      <w:r>
        <w:t>. Inventory Management Software. Retrieved April 28, 2022, from https://www.tradegecko.com/b</w:t>
      </w:r>
      <w:r>
        <w:t xml:space="preserve">log/supply-chain-management/apple-the-best-supply-chain-in-the-world#:~:text=Looking%20back%20at%20the%20last,as%20possible%20is%20very%20important </w:t>
      </w:r>
    </w:p>
    <w:p w14:paraId="5DCBE613" w14:textId="77777777" w:rsidR="00057AD8" w:rsidRDefault="00AB5F24">
      <w:pPr>
        <w:spacing w:before="240" w:after="240"/>
      </w:pPr>
      <w:proofErr w:type="spellStart"/>
      <w:r>
        <w:t>Goetzen</w:t>
      </w:r>
      <w:proofErr w:type="spellEnd"/>
      <w:r>
        <w:t xml:space="preserve">, N. (2022, January 31). </w:t>
      </w:r>
      <w:r>
        <w:rPr>
          <w:i/>
        </w:rPr>
        <w:t>Apple ad revenues skyrocket amid its privacy changes</w:t>
      </w:r>
      <w:r>
        <w:t xml:space="preserve">. Insider Intelligence. Retrieved April 28, 2022, from https://www.emarketer.com/content/apple-ad-revenues-skyrocket-amid-its-privacy-changes </w:t>
      </w:r>
    </w:p>
    <w:p w14:paraId="7246599D" w14:textId="77777777" w:rsidR="00057AD8" w:rsidRDefault="00AB5F24">
      <w:pPr>
        <w:spacing w:before="240" w:after="240"/>
      </w:pPr>
      <w:r>
        <w:t xml:space="preserve">Read, D. P. N. min, &amp; Scott </w:t>
      </w:r>
      <w:proofErr w:type="spellStart"/>
      <w:r>
        <w:t>Ikeda·November</w:t>
      </w:r>
      <w:proofErr w:type="spellEnd"/>
      <w:r>
        <w:t xml:space="preserve"> 9, 2021. (2021, November 5). </w:t>
      </w:r>
      <w:r>
        <w:rPr>
          <w:i/>
        </w:rPr>
        <w:t>New Apple privacy policy has cost Big Tec</w:t>
      </w:r>
      <w:r>
        <w:rPr>
          <w:i/>
        </w:rPr>
        <w:t>h platforms $10 billion in lost ad revenue</w:t>
      </w:r>
      <w:r>
        <w:t xml:space="preserve">. CPO Magazine. Retrieved April 28, 2022, from https://www.cpomagazine.com/data-privacy/new-apple-privacy-policy-has-cost-big-tech-platforms-10-billion-in-lost-ad-revenue/ </w:t>
      </w:r>
    </w:p>
    <w:p w14:paraId="0FE8DFC3" w14:textId="77777777" w:rsidR="00057AD8" w:rsidRDefault="00AB5F24">
      <w:pPr>
        <w:spacing w:before="240" w:after="240"/>
      </w:pPr>
      <w:r>
        <w:rPr>
          <w:i/>
        </w:rPr>
        <w:t>Apple retains most-valuable brand Crown a</w:t>
      </w:r>
      <w:r>
        <w:rPr>
          <w:i/>
        </w:rPr>
        <w:t>s tech boom continues and TikTok soars</w:t>
      </w:r>
      <w:r>
        <w:t>. World Trademark Review. (n.d.). Retrieved April 28, 2022, from https://www.worldtrademarkreview.com/apple-retains-most-valuable-brand-crown-tech-boom-continues-and-tiktok-soars</w:t>
      </w:r>
    </w:p>
    <w:p w14:paraId="73DCFBE7" w14:textId="77777777" w:rsidR="00057AD8" w:rsidRDefault="00AB5F24">
      <w:pPr>
        <w:spacing w:before="240" w:after="240"/>
      </w:pPr>
      <w:r>
        <w:t xml:space="preserve">Gewirtz, D. (2020, September 2). </w:t>
      </w:r>
      <w:r>
        <w:rPr>
          <w:i/>
        </w:rPr>
        <w:t>Here's</w:t>
      </w:r>
      <w:r>
        <w:rPr>
          <w:i/>
        </w:rPr>
        <w:t xml:space="preserve"> an interesting chart: </w:t>
      </w:r>
      <w:proofErr w:type="spellStart"/>
      <w:r>
        <w:rPr>
          <w:i/>
        </w:rPr>
        <w:t>Iphone</w:t>
      </w:r>
      <w:proofErr w:type="spellEnd"/>
      <w:r>
        <w:rPr>
          <w:i/>
        </w:rPr>
        <w:t xml:space="preserve"> unit sales have been declining steadily for 5 years</w:t>
      </w:r>
      <w:r>
        <w:t>. ZDNet. Retrieved April 28, 2022, from https://www.zdnet.com/article/heres-an-interesting-chart-iphone-unit-sales-have-been-declining-steadily-for-five-years/</w:t>
      </w:r>
    </w:p>
    <w:p w14:paraId="7FB8B25E" w14:textId="77777777" w:rsidR="00057AD8" w:rsidRDefault="00AB5F24">
      <w:pPr>
        <w:spacing w:before="240" w:after="240"/>
      </w:pPr>
      <w:proofErr w:type="spellStart"/>
      <w:r>
        <w:t>Jasinski</w:t>
      </w:r>
      <w:proofErr w:type="spellEnd"/>
      <w:r>
        <w:t>, N. (2</w:t>
      </w:r>
      <w:r>
        <w:t xml:space="preserve">022, April 6). </w:t>
      </w:r>
      <w:r>
        <w:rPr>
          <w:i/>
        </w:rPr>
        <w:t>The key to surviving inflation is 'pricing power.' these companies have it in spades.</w:t>
      </w:r>
      <w:r>
        <w:t xml:space="preserve"> McDonald's, Nvidia, and 25 Other Stocks That Won't Be Stopped by Inflation | </w:t>
      </w:r>
      <w:r>
        <w:lastRenderedPageBreak/>
        <w:t>Barron's. Retrieved April 28, 2022, from https://www.barrons.com/articles/stoc</w:t>
      </w:r>
      <w:r>
        <w:t>ks-built-for-inflation-51649202855</w:t>
      </w:r>
    </w:p>
    <w:p w14:paraId="6B9FBE40" w14:textId="77777777" w:rsidR="00057AD8" w:rsidRDefault="00AB5F24">
      <w:pPr>
        <w:spacing w:before="240" w:after="240"/>
      </w:pPr>
      <w:proofErr w:type="spellStart"/>
      <w:r>
        <w:t>Klebnikov</w:t>
      </w:r>
      <w:proofErr w:type="spellEnd"/>
      <w:r>
        <w:t xml:space="preserve">, S. (2022, April 14). </w:t>
      </w:r>
      <w:r>
        <w:rPr>
          <w:i/>
        </w:rPr>
        <w:t>Most wall street experts now predict stagflation-here's what that means for investors and the U.S. economy</w:t>
      </w:r>
      <w:r>
        <w:t>. Forbes. Retrieved April 28, 2022, from https://www.forbes.com/sites/sergeiklebnik</w:t>
      </w:r>
      <w:r>
        <w:t>ov/2022/03/15/most-wall-street-experts-now-predict-stagflation-heres-what-that-means-for-investors-and-the-us-economy/?sh=2324a8d01400</w:t>
      </w:r>
    </w:p>
    <w:p w14:paraId="6A529210" w14:textId="77777777" w:rsidR="00057AD8" w:rsidRDefault="00AB5F24">
      <w:pPr>
        <w:spacing w:before="240" w:after="240"/>
      </w:pPr>
      <w:r>
        <w:t xml:space="preserve">Parnell, C. (2021, May 4). </w:t>
      </w:r>
      <w:r>
        <w:rPr>
          <w:i/>
        </w:rPr>
        <w:t>Why is Apple associated with high business productivity?</w:t>
      </w:r>
      <w:r>
        <w:t xml:space="preserve"> </w:t>
      </w:r>
      <w:proofErr w:type="spellStart"/>
      <w:r>
        <w:t>HardSoft</w:t>
      </w:r>
      <w:proofErr w:type="spellEnd"/>
      <w:r>
        <w:t>. Retrieved April 28, 2022, f</w:t>
      </w:r>
      <w:r>
        <w:t>rom https://www.hardsoftcomputers.co.uk/blog/apple/why-is-apple-associated-with-high-business-productivity/</w:t>
      </w:r>
    </w:p>
    <w:p w14:paraId="7CBA508B" w14:textId="77777777" w:rsidR="00057AD8" w:rsidRDefault="00AB5F24">
      <w:pPr>
        <w:spacing w:before="240" w:after="240"/>
      </w:pPr>
      <w:proofErr w:type="spellStart"/>
      <w:r>
        <w:t>AppleInsider</w:t>
      </w:r>
      <w:proofErr w:type="spellEnd"/>
      <w:r>
        <w:t xml:space="preserve">. (2021, October 29). </w:t>
      </w:r>
      <w:r>
        <w:rPr>
          <w:i/>
        </w:rPr>
        <w:t>Apple has most loyal smartphone customers in US, study finds</w:t>
      </w:r>
      <w:r>
        <w:t xml:space="preserve">. </w:t>
      </w:r>
      <w:proofErr w:type="spellStart"/>
      <w:r>
        <w:t>AppleInsider</w:t>
      </w:r>
      <w:proofErr w:type="spellEnd"/>
      <w:r>
        <w:t>. Retrieved April 28, 2022, from https:/</w:t>
      </w:r>
      <w:r>
        <w:t>/appleinsider.com/articles/21/10/29/apple-has-most-loyal-smartphone-customers-in-us-study-finds</w:t>
      </w:r>
    </w:p>
    <w:p w14:paraId="12B0D172" w14:textId="77777777" w:rsidR="00057AD8" w:rsidRDefault="00AB5F24">
      <w:pPr>
        <w:spacing w:before="240" w:after="240"/>
      </w:pPr>
      <w:r>
        <w:rPr>
          <w:i/>
        </w:rPr>
        <w:t>Port, W. (2022) US Consumer Technology Revenue Sales end 2021 up 9%, following double digit growth in 2020</w:t>
      </w:r>
      <w:r>
        <w:t>. The NPD Group. (2022, March 14). Retrieved April 28,</w:t>
      </w:r>
      <w:r>
        <w:t xml:space="preserve"> 2022, from https://www.npd.com/news/press-releases/2022/us-consumer-technology-revenue-sales-end-2021-up-9-following-double-digit-growth-in-2020/ </w:t>
      </w:r>
    </w:p>
    <w:p w14:paraId="245FBA16" w14:textId="77777777" w:rsidR="00057AD8" w:rsidRDefault="00057AD8">
      <w:pPr>
        <w:spacing w:before="240" w:after="240"/>
      </w:pPr>
    </w:p>
    <w:p w14:paraId="0772B643" w14:textId="77777777" w:rsidR="00057AD8" w:rsidRDefault="00057AD8">
      <w:pPr>
        <w:spacing w:before="240" w:after="240"/>
      </w:pPr>
    </w:p>
    <w:p w14:paraId="56C6DAC4" w14:textId="77777777" w:rsidR="00057AD8" w:rsidRDefault="00057AD8">
      <w:pPr>
        <w:spacing w:before="240" w:after="240"/>
      </w:pPr>
    </w:p>
    <w:p w14:paraId="25C37469" w14:textId="77777777" w:rsidR="00057AD8" w:rsidRDefault="00057AD8">
      <w:pPr>
        <w:spacing w:before="240" w:after="240"/>
      </w:pPr>
    </w:p>
    <w:p w14:paraId="5655A680" w14:textId="77777777" w:rsidR="00057AD8" w:rsidRDefault="00057AD8">
      <w:pPr>
        <w:spacing w:before="240" w:after="240"/>
      </w:pPr>
    </w:p>
    <w:p w14:paraId="2EE16BD8" w14:textId="77777777" w:rsidR="00057AD8" w:rsidRDefault="00057AD8"/>
    <w:sectPr w:rsidR="00057AD8">
      <w:footerReference w:type="default" r:id="rId12"/>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2AF8" w14:textId="77777777" w:rsidR="00AB5F24" w:rsidRDefault="00AB5F24">
      <w:pPr>
        <w:spacing w:line="240" w:lineRule="auto"/>
      </w:pPr>
      <w:r>
        <w:separator/>
      </w:r>
    </w:p>
  </w:endnote>
  <w:endnote w:type="continuationSeparator" w:id="0">
    <w:p w14:paraId="264E9027" w14:textId="77777777" w:rsidR="00AB5F24" w:rsidRDefault="00AB5F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panose1 w:val="00000000000000000000"/>
    <w:charset w:val="4D"/>
    <w:family w:val="auto"/>
    <w:pitch w:val="variable"/>
    <w:sig w:usb0="A00002F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7F1C7" w14:textId="77777777" w:rsidR="00057AD8" w:rsidRDefault="00AB5F24">
    <w:pPr>
      <w:jc w:val="right"/>
    </w:pPr>
    <w:r>
      <w:fldChar w:fldCharType="begin"/>
    </w:r>
    <w:r>
      <w:instrText>PAGE</w:instrText>
    </w:r>
    <w:r>
      <w:fldChar w:fldCharType="separate"/>
    </w:r>
    <w:r w:rsidR="00D354B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A0649" w14:textId="77777777" w:rsidR="00AB5F24" w:rsidRDefault="00AB5F24">
      <w:pPr>
        <w:spacing w:line="240" w:lineRule="auto"/>
      </w:pPr>
      <w:r>
        <w:separator/>
      </w:r>
    </w:p>
  </w:footnote>
  <w:footnote w:type="continuationSeparator" w:id="0">
    <w:p w14:paraId="6B886562" w14:textId="77777777" w:rsidR="00AB5F24" w:rsidRDefault="00AB5F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F31F2"/>
    <w:multiLevelType w:val="multilevel"/>
    <w:tmpl w:val="9D44D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822F98"/>
    <w:multiLevelType w:val="multilevel"/>
    <w:tmpl w:val="44A87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D82F21"/>
    <w:multiLevelType w:val="multilevel"/>
    <w:tmpl w:val="923A2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8407BB"/>
    <w:multiLevelType w:val="multilevel"/>
    <w:tmpl w:val="746E2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7837428">
    <w:abstractNumId w:val="1"/>
  </w:num>
  <w:num w:numId="2" w16cid:durableId="1441297563">
    <w:abstractNumId w:val="0"/>
  </w:num>
  <w:num w:numId="3" w16cid:durableId="781847776">
    <w:abstractNumId w:val="2"/>
  </w:num>
  <w:num w:numId="4" w16cid:durableId="1817724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AD8"/>
    <w:rsid w:val="00057AD8"/>
    <w:rsid w:val="000F5C3D"/>
    <w:rsid w:val="00735530"/>
    <w:rsid w:val="00884BEA"/>
    <w:rsid w:val="00AB5F24"/>
    <w:rsid w:val="00D354B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7E7B1B"/>
  <w15:docId w15:val="{C315CEE7-1A64-5245-A51C-56D4E65A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line="360" w:lineRule="auto"/>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ple.com/newsroom/2022/01/apple-reports-first-quarter-result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2261</Words>
  <Characters>12894</Characters>
  <Application>Microsoft Office Word</Application>
  <DocSecurity>0</DocSecurity>
  <Lines>107</Lines>
  <Paragraphs>30</Paragraphs>
  <ScaleCrop>false</ScaleCrop>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Mingze Lin</cp:lastModifiedBy>
  <cp:revision>7</cp:revision>
  <dcterms:created xsi:type="dcterms:W3CDTF">2022-04-29T03:13:00Z</dcterms:created>
  <dcterms:modified xsi:type="dcterms:W3CDTF">2022-04-29T03:14:00Z</dcterms:modified>
</cp:coreProperties>
</file>