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Anti-Bribery and Whistleblowing Policy 2025 - BuktiPack Manufacturing Sdn. Bhd.</w:t>
      </w:r>
    </w:p>
    <w:p>
      <w:pPr>
        <w:pStyle w:val="Heading1"/>
      </w:pPr>
      <w:r>
        <w:t>Document control</w:t>
      </w:r>
    </w:p>
    <w:p>
      <w:r>
        <w:t>SYNTHETIC FIXTURE. Fictional entity, invented content.</w:t>
      </w:r>
    </w:p>
    <w:p>
      <w:r>
        <w:t>Version 2, effective 1 February 2025. Signed by the Managing Director.</w:t>
      </w:r>
    </w:p>
    <w:p>
      <w:pPr>
        <w:pStyle w:val="Heading1"/>
      </w:pPr>
      <w:r>
        <w:t>Anti-bribery and anti-corruption controls</w:t>
      </w:r>
    </w:p>
    <w:p>
      <w:r>
        <w:t>Facilitation payments and kickbacks are prohibited without exception.</w:t>
      </w:r>
    </w:p>
    <w:p>
      <w:r>
        <w:t>Gifts or hospitality above RM 500 require written approval from the Compliance Officer before being offered or accepted.</w:t>
      </w:r>
    </w:p>
    <w:p>
      <w:r>
        <w:t>All commercial agents are screened before appointment and re-screened every two years.</w:t>
      </w:r>
    </w:p>
    <w:p>
      <w:r>
        <w:t>Anti-corruption training is mandatory for all staff in procurement, sales and finance roles.</w:t>
      </w:r>
    </w:p>
    <w:p>
      <w:pPr>
        <w:pStyle w:val="Heading1"/>
      </w:pPr>
      <w:r>
        <w:t>Whistleblowing</w:t>
      </w:r>
    </w:p>
    <w:p>
      <w:r>
        <w:t>The whistleblowing policy allows any employee, supplier or contractor to raise a concern to the Compliance Officer or directly to the Audit Committee chair.</w:t>
      </w:r>
    </w:p>
    <w:p>
      <w:r>
        <w:t>Two whistleblowing reports were received in FY2025. Both were investigated and closed; neither was substantiated.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