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Environmental Policy v3 - BuktiPack Manufacturing Sdn. Bhd.</w:t>
      </w:r>
    </w:p>
    <w:p>
      <w:pPr>
        <w:pStyle w:val="Heading1"/>
      </w:pPr>
      <w:r>
        <w:t>Document control</w:t>
      </w:r>
    </w:p>
    <w:p>
      <w:r>
        <w:t>SYNTHETIC FIXTURE. Fictional entity, invented content.</w:t>
      </w:r>
    </w:p>
    <w:p>
      <w:r>
        <w:t>Version 3, effective 1 January 2025, superseding version 2 of 2021.</w:t>
      </w:r>
    </w:p>
    <w:p>
      <w:r>
        <w:t>Approved by the Board of Directors on 12 December 2024.</w:t>
      </w:r>
    </w:p>
    <w:p>
      <w:r>
        <w:t>Next scheduled review: December 2026.</w:t>
      </w:r>
    </w:p>
    <w:p>
      <w:pPr>
        <w:pStyle w:val="Heading1"/>
      </w:pPr>
      <w:r>
        <w:t>Purpose and scope</w:t>
      </w:r>
    </w:p>
    <w:p>
      <w:r>
        <w:t>This environmental policy applies to all operations at the Shah Alam manufacturing site, including contractors working on site.</w:t>
      </w:r>
    </w:p>
    <w:p>
      <w:pPr>
        <w:pStyle w:val="Heading1"/>
      </w:pPr>
      <w:r>
        <w:t>Commitments</w:t>
      </w:r>
    </w:p>
    <w:p>
      <w:r>
        <w:t>Measure and reduce energy consumption year on year.</w:t>
      </w:r>
    </w:p>
    <w:p>
      <w:r>
        <w:t>Segregate waste at source and increase the share diverted from landfill.</w:t>
      </w:r>
    </w:p>
    <w:p>
      <w:r>
        <w:t>Monitor water withdrawal and investigate any month-on-month increase above ten percent.</w:t>
      </w:r>
    </w:p>
    <w:p>
      <w:r>
        <w:t>Comply with all applicable Malaysian environmental legislation.</w:t>
      </w:r>
    </w:p>
    <w:p>
      <w:pPr>
        <w:pStyle w:val="Heading1"/>
      </w:pPr>
      <w:r>
        <w:t>Accountability</w:t>
      </w:r>
    </w:p>
    <w:p>
      <w:r>
        <w:t>The Operations Manager owns day-to-day implementation and reports quarterly to the Board Sustainability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