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 w:cs="Noto Sans CJK SC"/>
          <w:b/>
          <w:color w:val="1F4E79"/>
          <w:sz w:val="48"/>
        </w:rPr>
        <w:t>GOAT AI School Ubuntu Demo 演讲稿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A5A5A"/>
          <w:sz w:val="28"/>
        </w:rPr>
        <w:t>专业详细版 - 适合 6 到 8 分钟现场 Demo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E6E6E"/>
          <w:sz w:val="21"/>
        </w:rPr>
        <w:t>版本日期：2026-04-30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top w:val="single" w:sz="6" w:color="9DC3E6"/>
              <w:left w:val="single" w:sz="6" w:color="9DC3E6"/>
              <w:bottom w:val="single" w:sz="6" w:color="9DC3E6"/>
              <w:right w:val="single" w:sz="6" w:color="9DC3E6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使用定位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这是一份中文主讲版 Demo 文档，保留必要英文 UI 和技术术语。建议目标时长 7 分钟左右；如果现场要求 6 分钟，可以压缩 Workbench/Search 和 Ops Proof。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文档结构包括：演讲定位、准备清单、逐分钟台词、兜底话术、Q&amp;A 和提词卡。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1. Demo 核心定位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top w:val="single" w:sz="6" w:color="9DC3E6"/>
              <w:left w:val="single" w:sz="6" w:color="9DC3E6"/>
              <w:bottom w:val="single" w:sz="6" w:color="9DC3E6"/>
              <w:right w:val="single" w:sz="6" w:color="9DC3E6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一句话定位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GOAT AI 不是简单聊天页面，而是面向学校环境的 self-hostable AI assistant system。它把模型能力、产品体验、文件工作流和部署证明放在同一个演示链路里。</w:t>
            </w:r>
          </w:p>
        </w:tc>
      </w:tr>
    </w:tbl>
    <w:p>
      <w:pPr>
        <w:spacing w:after="60"/>
      </w:pPr>
    </w:p>
    <w:p>
      <w:pPr>
        <w:spacing w:after="8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建议现场主线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产品身份：通过 Classic、URochester、THU 三套主题证明它具备学校级 branding 和 appearance architecture。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运行时控制：通过 school Ubuntu profile、本地 Ollama runtime 和 runtime-target 说明它不是只依赖云端 API。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用户价值：通过 streaming chat、file-aware retrieval、charts 和 artifacts 展示真实工作流。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工程可信度：通过 Workbench/Search fallback 和 health/ready/post-deploy check 展示可靠性边界。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克制口径：当前适合 controlled school demo / prototype deployment；完整校园级 production 还需要认证、权限、限流、监控和容量规划。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2. GOAT AI 当前状态速览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056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Demo 中怎么讲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Product shell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React SPA，包含 sidebar、chat area、model selector、input composer、session history。先让观众看到产品，不要先看终端。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Theme / Branding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Classic、URochester、THU 三套主题；由 semantic tokens 管理，不是简单换色。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Runtime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FastAPI backend 连接本地 Ollama runtime；school Ubuntu profile 通过环境变量控制。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Streaming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typed SSE events 支持 thinking、answer token、chart、artifact、error、done。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Files / RAG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上传文件后基于材料总结、提炼、追问，适合课程、研究和商业文档。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Charts / Artifacts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用 structured chart event 渲染图表，并支持可下载产物的产品方向。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Workbench / Search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bounded research assistance；Serper 可 fallback 到 DuckDuckGo；不可用时不伪造 citation。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Ops</w:t>
            </w:r>
          </w:p>
        </w:tc>
        <w:tc>
          <w:tcPr>
            <w:tcW w:type="dxa" w:w="70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health、ready、runtime-target、post-deploy check 用于部署后验证。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3. 演示前准备清单</w:t>
      </w:r>
    </w:p>
    <w:p>
      <w:pPr>
        <w:spacing w:after="8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必须提前完成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打开学校前端页面，例如 /mingzhi/，浏览器全屏，避免现场找窗口。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准备一个小 PDF、Markdown 或 CSV 文件，文件越小越适合现场演示。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提前在终端输入健康检查命令，但不要执行；演示时只需要按 Enter。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确认 Options -&gt; Appearance 的位置，知道如何切换 Classic、URochester、THU。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提前确认本地 Ollama runtime 和后端端口。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网络不稳定时，不做 live search；把 Workbench/Search 讲成架构能力和 fallback policy。</w:t>
      </w:r>
    </w:p>
    <w:p>
      <w:pPr>
        <w:spacing w:after="8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建议预输入命令</w:t>
      </w:r>
      <w:r>
        <w:rPr>
          <w:rFonts w:ascii="Noto Sans CJK SC" w:hAnsi="Noto Sans CJK SC" w:eastAsia="Noto Sans CJK SC" w:cs="Noto Sans CJK SC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curl -sS http://127.0.0.1:62606/api/health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curl -sS http://127.0.0.1:62606/api/ready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curl -sS http://127.0.0.1:62606/api/system/runtime-target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python -m tools.ops.post_deploy_check --base-url http://127.0.0.1:62606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Demo 节奏提醒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不要在每一步解释太多实现细节。每段都遵循：观众看到什么 -&gt; 这个功能解决什么问题 -&gt; 这说明工程上做对了什么。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4. 逐分钟专业演讲稿</w:t>
      </w: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0:00-0:40  开场定位：先让观众看见“产品”，不是先看命令行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建立 Demo 的核心判断标准：GOAT AI 不是一个单页聊天框，而是一个面向学校场景的可部署 AI 产品原型。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打开 /mingzhi/ 或学校部署页面。保持浏览器全屏，先展示 sidebar、chat area、top bar、model selector、input composer。不要先切终端。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各位老师、同学，大家好。今天我会用大约 6 到 8 分钟演示 GOAT AI。我的开场想先把它定位清楚：它不是一个只包了一层 UI 的聊天机器人，而是一个面向学校环境的 AI assistant 系统。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这套系统的重点不只是“模型能回答什么”，更是模型外面的产品层和工程层：本地模型运行时、主题和学校品牌系统、流式对话、文件感知检索、图表和可下载产物、可选的网页搜索，以及部署后的健康检查。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所以接下来的 Demo 我会按一个真实用户的路径来走：先看产品界面和身份识别，再看模型如何运行，再演示聊天、上传文件、生成图表，最后用运维检查证明它不是只在页面上看起来能用，而是具备可部署、可验证的工程状态。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我先从 Theme 讲起，因为对学校 Demo 来说，第一眼看到的不是模型参数，而是这个系统有没有可信的产品身份。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0:40-2:05  Theme System：从 light/dark toggle 到学校级产品皮肤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展示 Classic、URochester、THU 三套主题，并解释 theme 不是装饰，而是品牌、可维护性和 persona 的入口。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打开 Options -&gt; Appearance。依次指向 Theme mode、Theme style、accent presets、custom accent、font、contrast、translucent sidebar。点击 Classic、URochester、THU，最后停留在适合现场的主题。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我先打开 Appearance。这里最近从一个基础的明暗模式开关，扩展成了真正的 Theme System。当前有三套 product skin。Classic 是 GOAT AI 的标准主题，视觉比较中性，适合通用 productivity assistant；URochester 使用 University of Rochester / Simon Business School 的方向，强调 navy 和 dandelion yellow；THU 则使用清华风格的紫色和金色，并在 sidebar footer 中展示学校品牌。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这个设计不是简单换背景色。它背后是 token-driven appearance system，也就是组件不直接写死颜色，而是使用统一的 semantic CSS variables。比如主背景、侧边栏、聊天区域、用户气泡、助手气泡、边框、链接、代码块、输入框和按钮，都从同一个 appearance registry 里读取 token。这样做的好处是后续增加学校主题时，不需要把每个组件重新改一遍。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再看交互层，accent color 会在 send button、selected state、user bubble、links 和 highlights 里保持一致。Theme mode 也支持 Light、Dark 和 System，其中 System 会跟随操作系统设置。深色模式下，logo 的可读性也被单独考虑，例如清华主题可以使用更适合暗色背景的 logo 处理。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更关键的是，Theme 还可以影响助手体验。当用户没有自定义 system prompt 时，前端可以随 chat request 发送 theme_style，后端据此选择默认 persona。Classic 对应标准通用助手，URochester 更偏商业分析和 Simon 场景，THU 更偏研究和学术表达。这说明 Theme 不只是视觉层，它也连接到了 assistant 的默认表达方式。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这就是我想先展示 Theme 的原因：一个学校 AI 系统需要有身份感、品牌适配能力和可维护的前端结构，而不是所有学校都用同一套无差别页面。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看完产品身份以后，下一步是回答一个更底层的问题：这个 AI 到底跑在哪里，学校能不能控制它。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F2F2"/>
            <w:tcBorders>
              <w:top w:val="single" w:sz="6" w:color="E7B5B5"/>
              <w:left w:val="single" w:sz="6" w:color="E7B5B5"/>
              <w:bottom w:val="single" w:sz="6" w:color="E7B5B5"/>
              <w:right w:val="single" w:sz="6" w:color="E7B5B5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如果现场不顺的兜底说法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如果现场切换主题出现延迟，可以只展示当前主题并说明：这些主题设置已保存在本地浏览器，刷新后仍然保留；现场重点是说明 token system 和 branding architecture。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2:05-2:55  School Local Runtime：本地模型运行时与部署控制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强调学校部署 profile、local Ollama runtime、模型列表来自 server environment，而不是纯云 API wrapper。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关闭 Appearance，打开 model dropdown。可以短暂切到 terminal 展示 runtime-target，也可以把终端留到最后 Ops Proof。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接下来是 runtime。对于 school Ubuntu profile，这个系统设计为 GOAT_DEPLOY_MODE=1，后端连接的是本地 Ollama runtime，例如 127.0.0.1:11435。也就是说，模型列表和模型调用由服务器环境控制，学校可以在受控环境里运行自己的模型栈。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这个设计解决三个问题。第一是 privacy：在配置为本地运行的任务中，学校文件和 prompt 可以留在学校控制的环境里。第二是 cost：对于支持本地模型的工作负载，可以减少每次调用外部商业 API 的成本。第三是 control：Windows development、普通 local deployment、school Ubuntu deployment 不是靠改源码切换，而是靠 environment configuration 切换。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我这里特别强调“受控部署”，而不是夸张地说它已经替代所有生产系统。当前它适合受控学校 Demo 和原型部署；如果要推广到完整校园级生产环境，后续还需要更完整的身份认证、权限策略、限流、监控面板和容量规划。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有了运行时控制以后，我们再看用户最直接感受到的部分：对话是不是流畅，系统是不是能实时响应。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2:55-3:45  Streaming Chat：流式对话与 typed events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用一个短 prompt 展示流式输出，并把用户体验和系统架构连接起来。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在输入框输入短 prompt，点击发送。让观众看见 token streaming。完成后指向 sidebar 中的 session/history。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现场输入 Prompt / Command</w:t>
      </w:r>
      <w:r>
        <w:rPr>
          <w:rFonts w:ascii="Noto Sans CJK SC" w:hAnsi="Noto Sans CJK SC" w:eastAsia="Noto Sans CJK SC" w:cs="Noto Sans CJK SC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Explain Porter's Five Forces in 5 concise bullet points.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现在我发送一个简单问题。这里我们不选复杂 prompt，因为 Demo 的目标是展示响应链路：用户输入、后端调用模型、前端实时渲染。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可以看到，回答不是等完整结果生成后一次性出现，而是边生成边显示。对用户来说，这让系统感觉更实时；对工程上来说，后端可以发出 typed server-sent events，比如 thinking、answer token、chart specification、artifact、error 和 done。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这个结构的好处是，前端不是在猜一段文本里哪里是图表、哪里是文件、哪里是错误，而是根据事件类型渲染不同输出。这样后面扩展图表、artifact、Workbench timeline 时，系统不会变成一个脆弱的文本解析器。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另外，session 也可以在侧边栏保留。用户不需要每次从零开始，可以回到之前的上下文继续问。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普通聊天证明模型链路是通的。下一步我会上传一个文件，让它从“通用回答”变成“基于材料回答”。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F2F2"/>
            <w:tcBorders>
              <w:top w:val="single" w:sz="6" w:color="E7B5B5"/>
              <w:left w:val="single" w:sz="6" w:color="E7B5B5"/>
              <w:bottom w:val="single" w:sz="6" w:color="E7B5B5"/>
              <w:right w:val="single" w:sz="6" w:color="E7B5B5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如果现场不顺的兜底说法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如果模型输出偏慢，可以说：本地模型速度取决于机器和模型大小。这里我们关注的是 streaming 链路和事件结构；为了节省时间，我会在输出出现后直接进入下一步。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3:45-4:55  Upload and RAG：文件感知检索，回答不只来自模型记忆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展示上传文件、基于文件总结、追问 presentation takeaway，突出学校和商业场景价值。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上传准备好的小 PDF、Markdown 或 CSV。上传完成后发送 summarize prompt。如果时间够，再追问 takeaways。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现场输入 Prompt / Command</w:t>
      </w:r>
      <w:r>
        <w:rPr>
          <w:rFonts w:ascii="Noto Sans CJK SC" w:hAnsi="Noto Sans CJK SC" w:eastAsia="Noto Sans CJK SC" w:cs="Noto Sans CJK SC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Summarize this document and cite the key evidence.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Optional follow-up: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What are the three most important takeaways for a presentation?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现在我上传一个小文件。真实学校和商业场景里，用户通常不是问一个完全开放的问题，而是带着具体材料来的：课程大纲、case memo、研究文章、会议纪要、CSV 数据，或者项目说明。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上传之后，我要求它总结文档，并尽量引用关键证据。这个 workflow 的价值在于，它不再只是说“模型一般知道什么”，而是变成“请基于我的材料，帮我理解、提炼，并转化成可用输出”。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如果我继续追问“这份材料最适合放进 presentation 的三个 takeaway 是什么”，它可以在同一个 session 里复用上下文。这样用户不是单次问答，而是在一个持续工作流里逐步把材料变成摘要、讲稿、图表或行动建议。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这里我也会保持一个严谨口径：RAG 能提高回答和上传材料的关联度，但它不意味着所有答案都自动正确。因此在涉及引用和事实时，系统应该把证据说清楚，而不是让模型凭空生成。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文件总结通常还不够，很多用户最后想要的是一个可以展示或下载的结果。所以下一步我会让它生成图表。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F2F2"/>
            <w:tcBorders>
              <w:top w:val="single" w:sz="6" w:color="E7B5B5"/>
              <w:left w:val="single" w:sz="6" w:color="E7B5B5"/>
              <w:bottom w:val="single" w:sz="6" w:color="E7B5B5"/>
              <w:right w:val="single" w:sz="6" w:color="E7B5B5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如果现场不顺的兜底说法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如果上传文件失败或解析较慢，可以使用已经上传过的文件或直接跳到图表。现场说法：文件工作流依赖解析和检索链路，今天先展示核心能力，后面用 Ops Check 证明部署状态。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4:55-5:40  Charts and Artifacts：从聊天回答到可展示产物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展示 structured chart event 和 artifact/download 思路，让观众看到 output 不止文字。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发送简单图表 prompt。图表出现后，指向 chart area；如果出现 artifact 或 download，指向对应按钮。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现场输入 Prompt / Command</w:t>
      </w:r>
      <w:r>
        <w:rPr>
          <w:rFonts w:ascii="Noto Sans CJK SC" w:hAnsi="Noto Sans CJK SC" w:eastAsia="Noto Sans CJK SC" w:cs="Noto Sans CJK SC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Create a simple chart comparing revenue for Jan, Feb, and Mar: 10, 15, 12.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现在我让 GOAT AI 生成一个非常简单的 revenue chart。这里数据故意很小，因为现场 Demo 不应该把时间花在复杂数据录入上，而应该让大家看清楚输出形式。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如果后端返回 chart specification，前端就可以把它渲染成图表。这和刚才的 typed events 是同一套思路：模型输出不只是纯文本，而是可以转成结构化 UI。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这对用户很重要。很多时候，用户真正想要的不是一段聊天记录，而是一个可以带走的东西：图表、memo、Markdown summary、presentation outline，或者其他 artifact。GOAT AI 的方向就是把 conversation 变成 workflow output。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到这里，我们已经看到聊天、文件和产物。对于更复杂的研究任务，系统还有一个 Workbench 层，但它是有边界的。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F2F2"/>
            <w:tcBorders>
              <w:top w:val="single" w:sz="6" w:color="E7B5B5"/>
              <w:left w:val="single" w:sz="6" w:color="E7B5B5"/>
              <w:bottom w:val="single" w:sz="6" w:color="E7B5B5"/>
              <w:right w:val="single" w:sz="6" w:color="E7B5B5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如果现场不顺的兜底说法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如果图表没有成功渲染，可以说：这里的关键是 response architecture 支持 structured chart events；即使某次模型输出格式不稳定，也可以通过 schema validation 和 fallback text 继续增强。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5:40-6:35  Workbench and Web Search：受控研究工作流与搜索降级策略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解释 Workbench 是 bounded research assistance，不夸成无限 autonomous agent；展示或说明 Serper -&gt; DuckDuckGo fallback。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如果 Workbench 已启用，展示 task surface、event timeline 或 canvas。网络稳定时可运行搜索 prompt；不稳定时只说明设计。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现场输入 Prompt / Command</w:t>
      </w:r>
      <w:r>
        <w:rPr>
          <w:rFonts w:ascii="Noto Sans CJK SC" w:hAnsi="Noto Sans CJK SC" w:eastAsia="Noto Sans CJK SC" w:cs="Noto Sans CJK SC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Search the latest news about AI deployment best practices and cite sources.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对于更复杂的任务，GOAT AI 有 Workbench layer。我的描述会比较谨慎：它不是不受限制的 autonomous agent，而是 bounded research assistance。它可以围绕 plan、browse、deep research 和 canvas 形成任务状态、事件时间线和可复用输出。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Web search 这里也做了 Demo 可靠性设计。Serper 可以作为默认 provider，提供 Google-backed search results；但它不是启动时的硬依赖。也就是说，如果 SERPER_API_KEY 缺失、请求超时、HTTP error、rate limit，或者返回格式异常，系统可以自动 fallback 到 DuckDuckGo。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如果两个 provider 都不可用，系统应该明确告诉用户 search unavailable，而不是编造引用。这点对 AI 系统尤其重要：能做的时候清楚地做，不能做的时候也要清楚地说不能做。现场 Demo 里，我会根据网络情况决定是否 live search；如果网络不稳定，我不会强行演示外部搜索，而是把重点放在系统的降级策略。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最后，我会切到终端。因为一个真正可部署的系统，不能只证明页面好看，还要证明后端、运行时和部署检查都能通过。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F2F2"/>
            <w:tcBorders>
              <w:top w:val="single" w:sz="6" w:color="E7B5B5"/>
              <w:left w:val="single" w:sz="6" w:color="E7B5B5"/>
              <w:bottom w:val="single" w:sz="6" w:color="E7B5B5"/>
              <w:right w:val="single" w:sz="6" w:color="E7B5B5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如果现场不顺的兜底说法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如果网络不稳定，直接说：为了避免把 Demo 质量交给外部网络，我这里不强行 live search；重点是系统有 Serper、DuckDuckGo fallback 和 disabled 三种明确状态，不会假装搜索成功。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6:35-7:20  Operations Proof：健康检查、运行时目标和部署后验证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用 terminal commands 证明部署活着、ready、runtime target 正确、post-deploy check 可执行。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切到终端。逐条运行预先输入好的命令。不要现场手打长命令，直接按 Enter。结果出现后只解释关键字段。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现场输入 Prompt / Command</w:t>
      </w:r>
      <w:r>
        <w:rPr>
          <w:rFonts w:ascii="Noto Sans CJK SC" w:hAnsi="Noto Sans CJK SC" w:eastAsia="Noto Sans CJK SC" w:cs="Noto Sans CJK SC"/>
          <w:sz w:val="21"/>
        </w:rPr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curl -sS http://127.0.0.1:62606/api/health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curl -sS http://127.0.0.1:62606/api/ready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curl -sS http://127.0.0.1:62606/api/system/runtime-target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8"/>
              </w:rPr>
              <w:t>python -m tools.ops.post_deploy_check --base-url http://127.0.0.1:62606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最后我用几条命令做 operations proof。对学校环境来说，“网页打开了”不等于系统已经可以交付。我们还需要知道 backend 是否 healthy，model runtime 是否 reachable，当前部署 target 是否正确，以及 chat streaming 在部署后是否还能正常工作。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第一个 health endpoint 用来确认服务进程活着。第二个 ready endpoint 更接近真实可用性，因为它会检查关键依赖。第三个 runtime-target 让我确认当前走的是 school/local runtime 目标，而不是误连到开发配置。最后 post_deploy_check 会把部署后的关键链路自动跑一遍。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这个部分的意义不是为了炫命令行，而是说明 GOAT AI 的工程边界比较清楚：前端产品体验、后端模型链路、部署 profile、search provider 和 readiness checks 是分层设计的。Demo 现场出问题时，我们能定位，不是只能说“可能模型坏了”。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E6"/>
            <w:tcBorders>
              <w:top w:val="single" w:sz="6" w:color="F0C36D"/>
              <w:left w:val="single" w:sz="6" w:color="F0C36D"/>
              <w:bottom w:val="single" w:sz="6" w:color="F0C36D"/>
              <w:right w:val="single" w:sz="6" w:color="F0C36D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转场句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现在我回到产品界面，用一句话总结这套系统的完整价值。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F2F2"/>
            <w:tcBorders>
              <w:top w:val="single" w:sz="6" w:color="E7B5B5"/>
              <w:left w:val="single" w:sz="6" w:color="E7B5B5"/>
              <w:bottom w:val="single" w:sz="6" w:color="E7B5B5"/>
              <w:right w:val="single" w:sz="6" w:color="E7B5B5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如果现场不顺的兜底说法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如果某个检查失败，不要慌。可以说：这正是 readiness check 的价值，它让我们在现场明确知道哪个依赖没有就绪，而不是让用户在聊天界面里猜原因。然后跳回已成功的产品演示部分收尾。</w:t>
            </w:r>
          </w:p>
        </w:tc>
      </w:tr>
    </w:tbl>
    <w:p>
      <w:pPr>
        <w:spacing w:after="60"/>
      </w:pPr>
    </w:p>
    <w:p>
      <w:pPr>
        <w:pStyle w:val="Heading2"/>
        <w:spacing w:before="120" w:after="100"/>
      </w:pPr>
      <w:r>
        <w:rPr>
          <w:rFonts w:ascii="Noto Sans CJK SC" w:hAnsi="Noto Sans CJK SC" w:eastAsia="Noto Sans CJK SC" w:cs="Noto Sans CJK SC"/>
          <w:color w:val="244061"/>
          <w:sz w:val="26"/>
        </w:rPr>
        <w:t>7:20-7:45  Closing：把技术演示收束成一个产品故事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Demo 目标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用清晰、克制、专业的结论结束，不夸大生产级能力。</w:t>
            </w:r>
          </w:p>
        </w:tc>
      </w:tr>
      <w:tr>
        <w:tc>
          <w:tcPr>
            <w:tcW w:type="dxa" w:w="2376"/>
            <w:shd w:fill="EAF2F8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1F4E79"/>
                <w:sz w:val="19"/>
              </w:rPr>
              <w:t>屏幕动作</w:t>
            </w:r>
          </w:p>
        </w:tc>
        <w:tc>
          <w:tcPr>
            <w:tcW w:type="dxa" w:w="698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9"/>
              </w:rPr>
              <w:t>切回浏览器，展示主题界面、已经生成的回答、文件总结或图表。保持画面稳定，不再做新操作。</w:t>
            </w:r>
          </w:p>
        </w:tc>
      </w:tr>
    </w:tbl>
    <w:p>
      <w:pPr>
        <w:spacing w:after="40"/>
      </w:pPr>
    </w:p>
    <w:p>
      <w:pPr>
        <w:spacing w:after="60" w:line="276" w:lineRule="auto"/>
      </w:pPr>
      <w:r>
        <w:rPr>
          <w:rFonts w:ascii="Noto Sans CJK SC" w:hAnsi="Noto Sans CJK SC" w:eastAsia="Noto Sans CJK SC" w:cs="Noto Sans CJK SC"/>
          <w:b/>
          <w:sz w:val="21"/>
        </w:rPr>
        <w:t>主讲台词</w:t>
      </w:r>
      <w:r>
        <w:rPr>
          <w:rFonts w:ascii="Noto Sans CJK SC" w:hAnsi="Noto Sans CJK SC" w:eastAsia="Noto Sans CJK SC" w:cs="Noto Sans CJK SC"/>
          <w:sz w:val="21"/>
        </w:rPr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所以 GOAT AI 的完整故事是：它把一个可识别的主题和学校品牌系统、本地模型运行时、流式聊天、文件感知回答、图表和 artifact、受控 Workbench、可靠的搜索降级策略，以及部署后的健康检查放在同一个产品里。</w:t>
      </w:r>
    </w:p>
    <w:p>
      <w:pPr>
        <w:spacing w:after="100" w:line="276" w:lineRule="auto"/>
        <w:ind w:firstLine="403"/>
      </w:pPr>
      <w:r>
        <w:rPr>
          <w:rFonts w:ascii="Noto Sans CJK SC" w:hAnsi="Noto Sans CJK SC" w:eastAsia="Noto Sans CJK SC" w:cs="Noto Sans CJK SC"/>
          <w:sz w:val="21"/>
        </w:rPr>
        <w:t>我的核心观点是，AI 应用不只是把模型接到一个输入框。真正能进入学校场景的系统，需要产品层、工程层和运维层一起成立。GOAT AI 目前展示的就是这个方向：让模型能力变成一个可部署、可解释、可演示、也可以继续扩展的 AI assistant 系统。谢谢大家。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5. 6 分钟压缩版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7344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压缩方式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Opening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30 秒内完成，只讲“不是聊天框，是可部署 AI assistant”。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Theme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保留 60 秒，重点讲三套主题和 semantic tokens，不展开 localStorage。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Runtime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30 秒，只讲本地 Ollama、school profile、privacy/cost/control。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Streaming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35 秒，只跑一个短 prompt，看到 streaming 就转场。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Upload/RAG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50 秒，上传文件后只做一次总结，不追问。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Chart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30 秒，用最简单 revenue chart。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Workbench/Search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25 秒，不 live search，只讲 Serper -&gt; DuckDuckGo fallback 和不伪造引用。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Ops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35 秒，只展示 ready、runtime-target、post-deploy check。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Closing</w:t>
            </w:r>
          </w:p>
        </w:tc>
        <w:tc>
          <w:tcPr>
            <w:tcW w:type="dxa" w:w="7344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20 秒收束：产品层 + 工程层 + 运维层。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6. 8 分钟扩展版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Theme 后补充：appearance settings 存在 localStorage，旧 light/dark 设置可迁移，tokens 在 document root 预先应用以减少 first-paint flicker。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Runtime 后补充：本地运行时适合隐私和成本受控；但外部 web search 仍然要明确 provider policy。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RAG 后补充：文件回答需要引用证据，不能让模型凭空补细节。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Workbench 后补充：bounded workflows 可以记录 task state、event timeline 和 reusable output，但不是无限 autonomous agent。</w:t>
      </w:r>
    </w:p>
    <w:p>
      <w:pPr>
        <w:pStyle w:val="ListBullet"/>
        <w:spacing w:after="60" w:line="276" w:lineRule="auto"/>
      </w:pPr>
      <w:r>
        <w:rPr>
          <w:rFonts w:ascii="Noto Sans CJK SC" w:hAnsi="Noto Sans CJK SC" w:eastAsia="Noto Sans CJK SC" w:cs="Noto Sans CJK SC"/>
          <w:sz w:val="21"/>
        </w:rPr>
        <w:t>Ops 后补充：依赖显式化是可靠性的基础。feature unavailable 时应该清楚显示，而不是假装可用。</w:t>
      </w: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7. 现场兜底话术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7272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建议说法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本地模型慢</w:t>
            </w:r>
          </w:p>
        </w:tc>
        <w:tc>
          <w:tcPr>
            <w:tcW w:type="dxa" w:w="72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本地模型速度取决于机器和模型大小；这里重点是 streaming 链路和事件结构。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搜索不可用</w:t>
            </w:r>
          </w:p>
        </w:tc>
        <w:tc>
          <w:tcPr>
            <w:tcW w:type="dxa" w:w="72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我不把 Demo 质量交给外部网络；系统有 Serper、DuckDuckGo fallback 和 disabled 三种明确状态。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文件上传慢</w:t>
            </w:r>
          </w:p>
        </w:tc>
        <w:tc>
          <w:tcPr>
            <w:tcW w:type="dxa" w:w="72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文件链路依赖解析和检索；今天先展示核心能力和工程设计。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图表未渲染</w:t>
            </w:r>
          </w:p>
        </w:tc>
        <w:tc>
          <w:tcPr>
            <w:tcW w:type="dxa" w:w="72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关键是响应架构支持 structured chart events；schema validation 可以继续增强稳定性。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健康检查失败</w:t>
            </w:r>
          </w:p>
        </w:tc>
        <w:tc>
          <w:tcPr>
            <w:tcW w:type="dxa" w:w="72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readiness check 的价值就是提前暴露依赖状态，避免用户在聊天界面里猜原因。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观众问是否 production-ready</w:t>
            </w:r>
          </w:p>
        </w:tc>
        <w:tc>
          <w:tcPr>
            <w:tcW w:type="dxa" w:w="72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更准确地说是 controlled school demo / prototype deployment ready；完整校园级 production 还需要认证、权限、限流、监控和容量规划。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8. 预测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6192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推荐回答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为什么先讲 Theme，而不是先讲模型？</w:t>
            </w:r>
          </w:p>
        </w:tc>
        <w:tc>
          <w:tcPr>
            <w:tcW w:type="dxa" w:w="619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因为学校 Demo 第一眼看到的是产品身份。Theme 证明系统不是临时页面，而是具备品牌适配、语义 token 和默认 persona 入口的产品层。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Theme 只是视觉吗？</w:t>
            </w:r>
          </w:p>
        </w:tc>
        <w:tc>
          <w:tcPr>
            <w:tcW w:type="dxa" w:w="619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不是。它影响语义颜色、sidebar branding、accent、dark/system mode、字体、对比度、本地保存，以及在没有自定义 system prompt 时的默认 assistant persona。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为什么不用 ChatGPT？</w:t>
            </w:r>
          </w:p>
        </w:tc>
        <w:tc>
          <w:tcPr>
            <w:tcW w:type="dxa" w:w="619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ChatGPT 本身很强，但 GOAT AI 展示的是可控部署、本地 runtime、文件 workflow、学校主题和运维 proof。目标不是击败所有通用模型，而是构建 school-deployable AI system。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Serper API key 没有怎么办？</w:t>
            </w:r>
          </w:p>
        </w:tc>
        <w:tc>
          <w:tcPr>
            <w:tcW w:type="dxa" w:w="619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后端不应该因此无法启动。默认 serper 模式可以 fallback 到 DuckDuckGo；如果 operator 不希望 public web search，可以显式设置 disabled。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Ollama down 了怎么办？</w:t>
            </w:r>
          </w:p>
        </w:tc>
        <w:tc>
          <w:tcPr>
            <w:tcW w:type="dxa" w:w="619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ready endpoint 和 post-deploy check 应该在 Demo 前发现。现场可以坦率说明依赖未就绪，并用检查结果定位问题。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它是否已经 campus-wide production-ready？</w:t>
            </w:r>
          </w:p>
        </w:tc>
        <w:tc>
          <w:tcPr>
            <w:tcW w:type="dxa" w:w="619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更准确地说，它是 controlled school demo / prototype deployment ready。完整校园级 production 还需要认证、权限、限流、监控和容量规划。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最强的技术点是什么？</w:t>
            </w:r>
          </w:p>
        </w:tc>
        <w:tc>
          <w:tcPr>
            <w:tcW w:type="dxa" w:w="619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边界设计：appearance tokens、runtime config、typed streaming、retrieval、artifact、Workbench task、search fallback 和 ops checks 被拆分得足够清楚，便于测试和维护。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Noto Sans CJK SC" w:hAnsi="Noto Sans CJK SC" w:eastAsia="Noto Sans CJK SC" w:cs="Noto Sans CJK SC"/>
          <w:color w:val="1F4E79"/>
          <w:sz w:val="32"/>
        </w:rPr>
        <w:t>9. 一页提词卡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top w:val="single" w:sz="6" w:color="9DC3E6"/>
              <w:left w:val="single" w:sz="6" w:color="9DC3E6"/>
              <w:bottom w:val="single" w:sz="6" w:color="9DC3E6"/>
              <w:right w:val="single" w:sz="6" w:color="9DC3E6"/>
            </w:tcBorders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核心句</w:t>
            </w:r>
          </w:p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  <w:sz w:val="19"/>
              </w:rPr>
              <w:t>GOAT AI 不是把模型接到输入框，而是把模型能力、产品身份、文件工作流和部署证明组合成一个学校可演示、可控制、可继续扩展的 AI assistant system。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3456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你要做什么</w:t>
            </w:r>
          </w:p>
        </w:tc>
        <w:tc>
          <w:tcPr>
            <w:tcW w:type="dxa" w:w="5472"/>
            <w:shd w:fill="1F4E79"/>
            <w:vAlign w:val="top"/>
          </w:tcPr>
          <w:p>
            <w:pPr>
              <w:spacing w:line="264" w:lineRule="auto" w:after="40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你要说什么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展示完整界面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先看产品，不先看终端。它不是聊天框，是学校 AI assistant。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打开 Appearance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Theme 是 branding + semantic tokens + persona 入口。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打开 model dropdown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school profile 连接本地 Ollama runtime，强调 privacy/cost/control。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发送 Porter prompt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Streaming 让体验实时，typed events 让架构可扩展。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上传小文件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真实用户带材料来，RAG 让回答基于材料。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生成 revenue chart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用户要的是 output，不只是 conversation。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7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展示 Workbench/Search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受控研究工作流，Serper fallback DuckDuckGo，不编 citation。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8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切 terminal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health、ready、runtime-target、post-deploy check 证明部署状态。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9</w:t>
            </w:r>
          </w:p>
        </w:tc>
        <w:tc>
          <w:tcPr>
            <w:tcW w:type="dxa" w:w="3456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回到界面收尾</w:t>
            </w:r>
          </w:p>
        </w:tc>
        <w:tc>
          <w:tcPr>
            <w:tcW w:type="dxa" w:w="5472"/>
            <w:vAlign w:val="top"/>
          </w:tcPr>
          <w:p>
            <w:pPr>
              <w:spacing w:after="40" w:line="264" w:lineRule="auto"/>
            </w:pPr>
            <w:r>
              <w:rPr>
                <w:rFonts w:ascii="Noto Sans CJK SC" w:hAnsi="Noto Sans CJK SC" w:eastAsia="Noto Sans CJK SC" w:cs="Noto Sans CJK SC"/>
              </w:rPr>
            </w:r>
            <w:r>
              <w:rPr>
                <w:rFonts w:ascii="Noto Sans CJK SC" w:hAnsi="Noto Sans CJK SC" w:eastAsia="Noto Sans CJK SC" w:cs="Noto Sans CJK SC"/>
                <w:sz w:val="18"/>
              </w:rPr>
              <w:t>产品层 + 工程层 + 运维层一起成立。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787878"/>
        <w:sz w:val="16"/>
      </w:rPr>
      <w:t>专业详细版 | 6-8 min Demo | School Ubuntu Profile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787878"/>
        <w:sz w:val="16"/>
      </w:rPr>
      <w:t>GOAT AI Demo Script - Professional CN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