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F5D1BC">
      <w:pPr>
        <w:spacing w:line="200" w:lineRule="auto"/>
      </w:pPr>
    </w:p>
    <w:p w14:paraId="53F740CE">
      <w:pPr>
        <w:spacing w:line="200" w:lineRule="auto"/>
      </w:pPr>
    </w:p>
    <w:p w14:paraId="2F7CB54F">
      <w:pPr>
        <w:spacing w:line="200" w:lineRule="auto"/>
      </w:pPr>
    </w:p>
    <w:p w14:paraId="7CA8599F">
      <w:pPr>
        <w:spacing w:line="200" w:lineRule="auto"/>
      </w:pPr>
    </w:p>
    <w:p w14:paraId="052FB173">
      <w:pPr>
        <w:spacing w:line="200" w:lineRule="auto"/>
      </w:pPr>
    </w:p>
    <w:p w14:paraId="73CE6E3C">
      <w:pPr>
        <w:spacing w:line="200" w:lineRule="auto"/>
      </w:pPr>
    </w:p>
    <w:p w14:paraId="5BA65008">
      <w:pPr>
        <w:spacing w:after="200" w:line="400" w:lineRule="auto"/>
        <w:jc w:val="center"/>
      </w:pPr>
      <w:r>
        <w:rPr>
          <w:rFonts w:ascii="黑体" w:hAnsi="黑体" w:eastAsia="黑体" w:cs="黑体"/>
          <w:b/>
          <w:bCs/>
          <w:sz w:val="56"/>
          <w:szCs w:val="56"/>
        </w:rPr>
        <w:t>第二十三届</w:t>
      </w:r>
    </w:p>
    <w:p w14:paraId="7CAB24B1">
      <w:pPr>
        <w:spacing w:after="200" w:line="400" w:lineRule="auto"/>
        <w:jc w:val="center"/>
      </w:pPr>
      <w:r>
        <w:rPr>
          <w:rFonts w:ascii="黑体" w:hAnsi="黑体" w:eastAsia="黑体" w:cs="黑体"/>
          <w:b/>
          <w:bCs/>
          <w:sz w:val="56"/>
          <w:szCs w:val="56"/>
        </w:rPr>
        <w:t>东南大学物理及实验科技作品创新竞赛</w:t>
      </w:r>
    </w:p>
    <w:p w14:paraId="00B77812">
      <w:pPr>
        <w:spacing w:line="200" w:lineRule="auto"/>
      </w:pPr>
    </w:p>
    <w:p w14:paraId="5831D2CD">
      <w:pPr>
        <w:spacing w:after="200" w:line="400" w:lineRule="auto"/>
        <w:jc w:val="center"/>
      </w:pPr>
      <w:r>
        <w:rPr>
          <w:rFonts w:ascii="黑体" w:hAnsi="黑体" w:eastAsia="黑体" w:cs="黑体"/>
          <w:b/>
          <w:bCs/>
          <w:sz w:val="56"/>
          <w:szCs w:val="56"/>
        </w:rPr>
        <w:t>作品设计报告</w:t>
      </w:r>
    </w:p>
    <w:p w14:paraId="3B69D284">
      <w:pPr>
        <w:spacing w:line="200" w:lineRule="auto"/>
      </w:pPr>
    </w:p>
    <w:p w14:paraId="3D99BC1A">
      <w:pPr>
        <w:spacing w:line="200" w:lineRule="auto"/>
      </w:pPr>
    </w:p>
    <w:p w14:paraId="58D7514B">
      <w:pPr>
        <w:spacing w:line="200" w:lineRule="auto"/>
      </w:pPr>
    </w:p>
    <w:p w14:paraId="1B963FA6">
      <w:pPr>
        <w:spacing w:line="200" w:lineRule="auto"/>
      </w:pPr>
    </w:p>
    <w:p w14:paraId="09B91060">
      <w:pPr>
        <w:spacing w:line="500" w:lineRule="auto"/>
        <w:ind w:firstLine="0"/>
        <w:jc w:val="left"/>
      </w:pPr>
      <w:r>
        <w:rPr>
          <w:rFonts w:ascii="宋体" w:hAnsi="宋体" w:eastAsia="宋体" w:cs="宋体"/>
          <w:sz w:val="32"/>
          <w:szCs w:val="32"/>
        </w:rPr>
        <w:t>参赛赛道：</w:t>
      </w:r>
      <w:r>
        <w:rPr>
          <w:rFonts w:ascii="宋体" w:hAnsi="宋体" w:eastAsia="宋体" w:cs="宋体"/>
          <w:sz w:val="28"/>
          <w:szCs w:val="28"/>
          <w:u w:val="single"/>
        </w:rPr>
        <w:t xml:space="preserve">     自选2——教学资源和虚拟仿真</w:t>
      </w:r>
    </w:p>
    <w:p w14:paraId="7E5EB81C">
      <w:pPr>
        <w:spacing w:line="500" w:lineRule="auto"/>
        <w:ind w:firstLine="0"/>
        <w:jc w:val="left"/>
        <w:rPr>
          <w:rFonts w:hint="default" w:eastAsia="宋体"/>
          <w:sz w:val="22"/>
          <w:szCs w:val="22"/>
          <w:lang w:val="en-US" w:eastAsia="zh-CN"/>
        </w:rPr>
      </w:pPr>
      <w:r>
        <w:rPr>
          <w:rFonts w:ascii="宋体" w:hAnsi="宋体" w:eastAsia="宋体" w:cs="宋体"/>
          <w:sz w:val="32"/>
          <w:szCs w:val="32"/>
        </w:rPr>
        <w:t>作品名称：</w:t>
      </w:r>
      <w:r>
        <w:rPr>
          <w:rFonts w:ascii="宋体" w:hAnsi="宋体" w:eastAsia="宋体" w:cs="宋体"/>
          <w:sz w:val="28"/>
          <w:szCs w:val="28"/>
          <w:u w:val="single"/>
        </w:rPr>
        <w:t xml:space="preserve">     </w:t>
      </w:r>
      <w:r>
        <w:rPr>
          <w:rFonts w:hint="eastAsia" w:ascii="宋体" w:hAnsi="宋体" w:eastAsia="宋体" w:cs="宋体"/>
          <w:sz w:val="24"/>
          <w:szCs w:val="24"/>
          <w:u w:val="single"/>
        </w:rPr>
        <w:t>绝热与等温--理想气体分子动力学过程的微观对比仿真</w:t>
      </w:r>
      <w:r>
        <w:rPr>
          <w:rFonts w:hint="eastAsia" w:cs="宋体"/>
          <w:sz w:val="24"/>
          <w:szCs w:val="24"/>
          <w:u w:val="single"/>
          <w:lang w:val="en-US" w:eastAsia="zh-CN"/>
        </w:rPr>
        <w:t xml:space="preserve">    </w:t>
      </w:r>
      <w:bookmarkStart w:id="7" w:name="_GoBack"/>
      <w:bookmarkEnd w:id="7"/>
      <w:r>
        <w:rPr>
          <w:rFonts w:hint="eastAsia" w:cs="宋体"/>
          <w:sz w:val="24"/>
          <w:szCs w:val="24"/>
          <w:u w:val="single"/>
          <w:lang w:val="en-US" w:eastAsia="zh-CN"/>
        </w:rPr>
        <w:t xml:space="preserve">    </w:t>
      </w:r>
    </w:p>
    <w:p w14:paraId="1373124D">
      <w:pPr>
        <w:spacing w:line="500" w:lineRule="auto"/>
        <w:ind w:firstLine="0"/>
        <w:jc w:val="left"/>
      </w:pPr>
      <w:r>
        <w:rPr>
          <w:rFonts w:ascii="宋体" w:hAnsi="宋体" w:eastAsia="宋体" w:cs="宋体"/>
          <w:sz w:val="32"/>
          <w:szCs w:val="32"/>
        </w:rPr>
        <w:t xml:space="preserve">参赛人：  </w:t>
      </w:r>
      <w:r>
        <w:rPr>
          <w:rFonts w:ascii="宋体" w:hAnsi="宋体" w:eastAsia="宋体" w:cs="宋体"/>
          <w:sz w:val="28"/>
          <w:szCs w:val="28"/>
          <w:u w:val="single"/>
        </w:rPr>
        <w:t xml:space="preserve">     张正明  王黎  许益嘉  孙浩宸</w:t>
      </w:r>
    </w:p>
    <w:p w14:paraId="204B4700">
      <w:pPr>
        <w:sectPr>
          <w:pgSz w:w="11906" w:h="16838"/>
          <w:pgMar w:top="851" w:right="1797" w:bottom="851" w:left="1797" w:header="851" w:footer="992" w:gutter="0"/>
          <w:cols w:space="720" w:num="1"/>
          <w:docGrid w:linePitch="360" w:charSpace="0"/>
        </w:sectPr>
      </w:pPr>
    </w:p>
    <w:p w14:paraId="680F60A6">
      <w:pPr>
        <w:spacing w:after="400" w:line="400" w:lineRule="auto"/>
        <w:jc w:val="center"/>
      </w:pPr>
      <w:r>
        <w:rPr>
          <w:rFonts w:ascii="黑体" w:hAnsi="黑体" w:eastAsia="黑体" w:cs="黑体"/>
          <w:b/>
          <w:bCs/>
          <w:sz w:val="32"/>
          <w:szCs w:val="32"/>
        </w:rPr>
        <w:t>目    录</w:t>
      </w:r>
    </w:p>
    <w:sdt>
      <w:sdtPr>
        <w:alias w:val="Table of Contents"/>
        <w:id w:val="147454272"/>
      </w:sdtPr>
      <w:sdtContent>
        <w:p w14:paraId="1D3A034A">
          <w:r>
            <w:fldChar w:fldCharType="begin"/>
          </w:r>
          <w:r>
            <w:instrText xml:space="preserve">TOC \h \o "1-3"</w:instrText>
          </w:r>
          <w:r>
            <w:fldChar w:fldCharType="separate"/>
          </w:r>
        </w:p>
        <w:p w14:paraId="49D6A299">
          <w:r>
            <w:fldChar w:fldCharType="end"/>
          </w:r>
        </w:p>
      </w:sdtContent>
    </w:sdt>
    <w:p w14:paraId="2F05A500">
      <w:pPr>
        <w:sectPr>
          <w:headerReference r:id="rId3" w:type="default"/>
          <w:footerReference r:id="rId4" w:type="default"/>
          <w:pgSz w:w="11906" w:h="16838"/>
          <w:pgMar w:top="851" w:right="1797" w:bottom="851" w:left="1797" w:header="851" w:footer="992" w:gutter="0"/>
          <w:cols w:space="720" w:num="1"/>
          <w:docGrid w:linePitch="360" w:charSpace="0"/>
        </w:sectPr>
      </w:pPr>
    </w:p>
    <w:p w14:paraId="02AC3D1B">
      <w:pPr>
        <w:spacing w:before="360" w:after="240" w:line="360" w:lineRule="auto"/>
        <w:ind w:firstLine="0"/>
        <w:jc w:val="center"/>
      </w:pPr>
      <w:bookmarkStart w:id="0" w:name="_Toc001"/>
      <w:r>
        <w:rPr>
          <w:rFonts w:ascii="黑体" w:hAnsi="黑体" w:eastAsia="黑体" w:cs="黑体"/>
          <w:b/>
          <w:bCs/>
          <w:sz w:val="30"/>
          <w:szCs w:val="30"/>
        </w:rPr>
        <w:t>第一章  需求分析</w:t>
      </w:r>
      <w:bookmarkEnd w:id="0"/>
    </w:p>
    <w:p w14:paraId="73F35157">
      <w:pPr>
        <w:spacing w:before="240" w:after="120" w:line="360" w:lineRule="auto"/>
        <w:ind w:firstLine="0"/>
        <w:jc w:val="left"/>
      </w:pPr>
      <w:r>
        <w:rPr>
          <w:rFonts w:ascii="黑体" w:hAnsi="黑体" w:eastAsia="黑体" w:cs="黑体"/>
          <w:b/>
          <w:bCs/>
          <w:sz w:val="28"/>
          <w:szCs w:val="28"/>
        </w:rPr>
        <w:t>1.1  项目背景</w:t>
      </w:r>
    </w:p>
    <w:p w14:paraId="42720BF4">
      <w:pPr>
        <w:spacing w:before="0" w:after="0" w:line="360" w:lineRule="auto"/>
        <w:ind w:firstLine="480"/>
        <w:jc w:val="both"/>
      </w:pPr>
      <w:r>
        <w:rPr>
          <w:rFonts w:ascii="宋体" w:hAnsi="宋体" w:eastAsia="宋体" w:cs="宋体"/>
          <w:sz w:val="24"/>
          <w:szCs w:val="24"/>
        </w:rPr>
        <w:t>分子热运动是统计物理与热力学课程的核心内容之一。学生通常通过教科书中的静态插图和公式推导来理解麦克斯韦速率分布、理想气体状态方程以及绝热/等温过程等概念。然而，这些宏观热力学规律本质上是微观分子运动的统计表现，两者之间的内在联系难以通过传统的纸笔教学方式直观呈现。</w:t>
      </w:r>
    </w:p>
    <w:p w14:paraId="202904C4">
      <w:pPr>
        <w:spacing w:before="0" w:after="0" w:line="360" w:lineRule="auto"/>
        <w:ind w:firstLine="480"/>
        <w:jc w:val="both"/>
      </w:pPr>
      <w:r>
        <w:rPr>
          <w:rFonts w:ascii="宋体" w:hAnsi="宋体" w:eastAsia="宋体" w:cs="宋体"/>
          <w:sz w:val="24"/>
          <w:szCs w:val="24"/>
        </w:rPr>
        <w:t>当前国内外高校的物理教学中，能够同时展示分子微观运动轨迹与宏观热力学参量（温度、压强、平均动能）之间动态关系的交互式仿真工具尚属稀缺。特别是绝热过程与等温过程的对比实验——前者涉及「动壁做功」与「无热交换」两个核心机制的耦合，后者则需要「恒温热浴」对分子速度分布的持续调控——是统计物理教学中的难点，也是学生最容易产生概念混淆的环节。</w:t>
      </w:r>
    </w:p>
    <w:p w14:paraId="2BB5FEAE">
      <w:pPr>
        <w:spacing w:before="0" w:after="0" w:line="360" w:lineRule="auto"/>
        <w:ind w:firstLine="480"/>
        <w:jc w:val="both"/>
      </w:pPr>
      <w:r>
        <w:rPr>
          <w:rFonts w:ascii="宋体" w:hAnsi="宋体" w:eastAsia="宋体" w:cs="宋体"/>
          <w:sz w:val="24"/>
          <w:szCs w:val="24"/>
        </w:rPr>
        <w:t>针对上述教学痛点，本作品开发了一款基于 Web 技术的三维分子动力学仿真平台。该平台允许用户在同一界面上并排观察两个容器内的分子运动，并通过切换隔热/非隔热模式、调节活塞位置等操作，实时对比绝热过程与等温过程中分子速度分布演化的异同，从而加深对热力学第二定律、能量守恒以及微观-宏观对应关系的理解。</w:t>
      </w:r>
    </w:p>
    <w:p w14:paraId="4F1CC435">
      <w:pPr>
        <w:spacing w:before="240" w:after="120" w:line="360" w:lineRule="auto"/>
        <w:ind w:firstLine="0"/>
        <w:jc w:val="left"/>
      </w:pPr>
      <w:r>
        <w:rPr>
          <w:rFonts w:ascii="黑体" w:hAnsi="黑体" w:eastAsia="黑体" w:cs="黑体"/>
          <w:b/>
          <w:bCs/>
          <w:sz w:val="28"/>
          <w:szCs w:val="28"/>
        </w:rPr>
        <w:t>1.2  教学目标与意义</w:t>
      </w:r>
    </w:p>
    <w:p w14:paraId="0E23E4A8">
      <w:pPr>
        <w:spacing w:before="0" w:after="0" w:line="360" w:lineRule="auto"/>
        <w:ind w:firstLine="480"/>
        <w:jc w:val="both"/>
      </w:pPr>
      <w:r>
        <w:rPr>
          <w:rFonts w:ascii="宋体" w:hAnsi="宋体" w:eastAsia="宋体" w:cs="宋体"/>
          <w:sz w:val="24"/>
          <w:szCs w:val="24"/>
        </w:rPr>
        <w:t>本仿真平台的设计围绕以下教学目标展开：</w:t>
      </w:r>
    </w:p>
    <w:p w14:paraId="2B919317">
      <w:pPr>
        <w:spacing w:before="0" w:after="0" w:line="360" w:lineRule="auto"/>
        <w:ind w:firstLine="480"/>
        <w:jc w:val="both"/>
      </w:pPr>
      <w:r>
        <w:rPr>
          <w:rFonts w:ascii="宋体" w:hAnsi="宋体" w:eastAsia="宋体" w:cs="宋体"/>
          <w:b/>
          <w:bCs/>
          <w:sz w:val="24"/>
          <w:szCs w:val="24"/>
        </w:rPr>
        <w:t>（1）微观-宏观的桥接。</w:t>
      </w:r>
      <w:r>
        <w:rPr>
          <w:rFonts w:ascii="宋体" w:hAnsi="宋体" w:eastAsia="宋体" w:cs="宋体"/>
          <w:sz w:val="24"/>
          <w:szCs w:val="24"/>
        </w:rPr>
        <w:t>通过三维可视化呈现数百个分子的真实运动轨迹，同时实时计算并显示温度、平均动能等宏观量，帮助学生建立从微观分子碰撞到宏观热力学规律的直觉认知。</w:t>
      </w:r>
    </w:p>
    <w:p w14:paraId="6B376EDF">
      <w:pPr>
        <w:spacing w:before="0" w:after="0" w:line="360" w:lineRule="auto"/>
        <w:ind w:firstLine="480"/>
        <w:jc w:val="both"/>
      </w:pPr>
      <w:r>
        <w:rPr>
          <w:rFonts w:ascii="宋体" w:hAnsi="宋体" w:eastAsia="宋体" w:cs="宋体"/>
          <w:b/>
          <w:bCs/>
          <w:sz w:val="24"/>
          <w:szCs w:val="24"/>
        </w:rPr>
        <w:t>（2）绝热与等温过程的本质区分。</w:t>
      </w:r>
      <w:r>
        <w:rPr>
          <w:rFonts w:ascii="宋体" w:hAnsi="宋体" w:eastAsia="宋体" w:cs="宋体"/>
          <w:sz w:val="24"/>
          <w:szCs w:val="24"/>
        </w:rPr>
        <w:t>通过双容器并排对比的设计，学生在同一视野下操控两个除隔热条件外完全相同的系统，直观感受「压缩→升温」（绝热）与「压缩→散热→回归恒温」（等温）的差异。</w:t>
      </w:r>
    </w:p>
    <w:p w14:paraId="281FADD5">
      <w:pPr>
        <w:spacing w:before="0" w:after="0" w:line="360" w:lineRule="auto"/>
        <w:ind w:firstLine="480"/>
        <w:jc w:val="both"/>
      </w:pPr>
      <w:r>
        <w:rPr>
          <w:rFonts w:ascii="宋体" w:hAnsi="宋体" w:eastAsia="宋体" w:cs="宋体"/>
          <w:b/>
          <w:bCs/>
          <w:sz w:val="24"/>
          <w:szCs w:val="24"/>
        </w:rPr>
        <w:t>（3）麦克斯韦速率分布的动态演化。</w:t>
      </w:r>
      <w:r>
        <w:rPr>
          <w:rFonts w:ascii="宋体" w:hAnsi="宋体" w:eastAsia="宋体" w:cs="宋体"/>
          <w:sz w:val="24"/>
          <w:szCs w:val="24"/>
        </w:rPr>
        <w:t>平台实时绘制速率分布直方图并与理论曲线叠加，学生可以观察到压缩/膨胀过程中分布形态的变化（峰位的平移与展宽），以及非隔热条件下分布向热浴平衡态的弛豫过程。</w:t>
      </w:r>
    </w:p>
    <w:p w14:paraId="6DF4E029">
      <w:pPr>
        <w:spacing w:before="0" w:after="0" w:line="360" w:lineRule="auto"/>
        <w:ind w:firstLine="480"/>
        <w:jc w:val="both"/>
      </w:pPr>
      <w:r>
        <w:rPr>
          <w:rFonts w:ascii="宋体" w:hAnsi="宋体" w:eastAsia="宋体" w:cs="宋体"/>
          <w:b/>
          <w:bCs/>
          <w:sz w:val="24"/>
          <w:szCs w:val="24"/>
        </w:rPr>
        <w:t>（4）激发自主探究。</w:t>
      </w:r>
      <w:r>
        <w:rPr>
          <w:rFonts w:ascii="宋体" w:hAnsi="宋体" w:eastAsia="宋体" w:cs="宋体"/>
          <w:sz w:val="24"/>
          <w:szCs w:val="24"/>
        </w:rPr>
        <w:t>所有参数均可由用户实时调节（温度、活塞位置、隔热开关、视角等），鼓励学生在「假设-实验-观察」的循环中主动构建知识，而非被动接受结论。</w:t>
      </w:r>
    </w:p>
    <w:p w14:paraId="5C56F62A">
      <w:pPr>
        <w:spacing w:before="0" w:after="0" w:line="360" w:lineRule="auto"/>
        <w:ind w:firstLine="480"/>
        <w:jc w:val="both"/>
      </w:pPr>
      <w:r>
        <w:rPr>
          <w:rFonts w:ascii="宋体" w:hAnsi="宋体" w:eastAsia="宋体" w:cs="宋体"/>
          <w:sz w:val="24"/>
          <w:szCs w:val="24"/>
        </w:rPr>
        <w:t>本作品适用于大学物理、热力学与统计物理课程的课堂教学演示，也可作为学生课后自主实验的虚拟平台。</w:t>
      </w:r>
    </w:p>
    <w:p w14:paraId="6A7F82E6">
      <w:pPr>
        <w:spacing w:before="240" w:after="120" w:line="360" w:lineRule="auto"/>
        <w:ind w:firstLine="0"/>
        <w:jc w:val="left"/>
      </w:pPr>
      <w:r>
        <w:rPr>
          <w:rFonts w:ascii="黑体" w:hAnsi="黑体" w:eastAsia="黑体" w:cs="黑体"/>
          <w:b/>
          <w:bCs/>
          <w:sz w:val="28"/>
          <w:szCs w:val="28"/>
        </w:rPr>
        <w:t>1.3  功能需求分析</w:t>
      </w:r>
    </w:p>
    <w:p w14:paraId="2DF87F54">
      <w:pPr>
        <w:spacing w:before="0" w:after="0" w:line="360" w:lineRule="auto"/>
        <w:ind w:firstLine="480"/>
        <w:jc w:val="both"/>
      </w:pPr>
      <w:r>
        <w:rPr>
          <w:rFonts w:ascii="宋体" w:hAnsi="宋体" w:eastAsia="宋体" w:cs="宋体"/>
          <w:sz w:val="24"/>
          <w:szCs w:val="24"/>
        </w:rPr>
        <w:t>基于上述教学目标，本平台需满足以下功能需求：</w:t>
      </w:r>
    </w:p>
    <w:p w14:paraId="24AD151E">
      <w:pPr>
        <w:spacing w:before="0" w:after="0" w:line="360" w:lineRule="auto"/>
        <w:ind w:firstLine="480"/>
        <w:jc w:val="both"/>
      </w:pPr>
      <w:r>
        <w:rPr>
          <w:rFonts w:ascii="宋体" w:hAnsi="宋体" w:eastAsia="宋体" w:cs="宋体"/>
          <w:b/>
          <w:bCs/>
          <w:sz w:val="24"/>
          <w:szCs w:val="24"/>
        </w:rPr>
        <w:t>（1）分子运动的三维可视化。</w:t>
      </w:r>
      <w:r>
        <w:rPr>
          <w:rFonts w:ascii="宋体" w:hAnsi="宋体" w:eastAsia="宋体" w:cs="宋体"/>
          <w:sz w:val="24"/>
          <w:szCs w:val="24"/>
        </w:rPr>
        <w:t>在长方体容器内渲染 N 个球形分子，分子以不同颜色标识其瞬时速率大小，并以真实的物理规律运动（匀速直线+碰撞反弹）。</w:t>
      </w:r>
    </w:p>
    <w:p w14:paraId="24BC2886">
      <w:pPr>
        <w:spacing w:before="0" w:after="0" w:line="360" w:lineRule="auto"/>
        <w:ind w:firstLine="480"/>
        <w:jc w:val="both"/>
      </w:pPr>
      <w:r>
        <w:rPr>
          <w:rFonts w:ascii="宋体" w:hAnsi="宋体" w:eastAsia="宋体" w:cs="宋体"/>
          <w:b/>
          <w:bCs/>
          <w:sz w:val="24"/>
          <w:szCs w:val="24"/>
        </w:rPr>
        <w:t>（2）双容器独立控制。</w:t>
      </w:r>
      <w:r>
        <w:rPr>
          <w:rFonts w:ascii="宋体" w:hAnsi="宋体" w:eastAsia="宋体" w:cs="宋体"/>
          <w:sz w:val="24"/>
          <w:szCs w:val="24"/>
        </w:rPr>
        <w:t>两个容器各自具备独立的隔热开关、活塞位置与局部温度设定，支持对比实验。</w:t>
      </w:r>
    </w:p>
    <w:p w14:paraId="76765E1C">
      <w:pPr>
        <w:spacing w:before="0" w:after="0" w:line="360" w:lineRule="auto"/>
        <w:ind w:firstLine="480"/>
        <w:jc w:val="both"/>
      </w:pPr>
      <w:r>
        <w:rPr>
          <w:rFonts w:ascii="宋体" w:hAnsi="宋体" w:eastAsia="宋体" w:cs="宋体"/>
          <w:b/>
          <w:bCs/>
          <w:sz w:val="24"/>
          <w:szCs w:val="24"/>
        </w:rPr>
        <w:t>（3）活塞压缩/膨胀。</w:t>
      </w:r>
      <w:r>
        <w:rPr>
          <w:rFonts w:ascii="宋体" w:hAnsi="宋体" w:eastAsia="宋体" w:cs="宋体"/>
          <w:sz w:val="24"/>
          <w:szCs w:val="24"/>
        </w:rPr>
        <w:t>用户通过滑块或按钮调节容器有效体积，活塞移动时分子与之碰撞需正确处理动壁动量交换。</w:t>
      </w:r>
    </w:p>
    <w:p w14:paraId="1ACF7EB8">
      <w:pPr>
        <w:spacing w:before="0" w:after="0" w:line="360" w:lineRule="auto"/>
        <w:ind w:firstLine="480"/>
        <w:jc w:val="both"/>
      </w:pPr>
      <w:r>
        <w:rPr>
          <w:rFonts w:ascii="宋体" w:hAnsi="宋体" w:eastAsia="宋体" w:cs="宋体"/>
          <w:b/>
          <w:bCs/>
          <w:sz w:val="24"/>
          <w:szCs w:val="24"/>
        </w:rPr>
        <w:t>（4）绝热过程模拟。</w:t>
      </w:r>
      <w:r>
        <w:rPr>
          <w:rFonts w:ascii="宋体" w:hAnsi="宋体" w:eastAsia="宋体" w:cs="宋体"/>
          <w:sz w:val="24"/>
          <w:szCs w:val="24"/>
        </w:rPr>
        <w:t>隔热模式下，系统与外界无热交换，平均动能仅通过活塞做功改变，满足 ⟨E_k⟩ ∝ V^{-(γ-1)}（单原子理想气体 γ=5/3）。</w:t>
      </w:r>
    </w:p>
    <w:p w14:paraId="4304FA77">
      <w:pPr>
        <w:spacing w:before="0" w:after="0" w:line="360" w:lineRule="auto"/>
        <w:ind w:firstLine="480"/>
        <w:jc w:val="both"/>
      </w:pPr>
      <w:r>
        <w:rPr>
          <w:rFonts w:ascii="宋体" w:hAnsi="宋体" w:eastAsia="宋体" w:cs="宋体"/>
          <w:b/>
          <w:bCs/>
          <w:sz w:val="24"/>
          <w:szCs w:val="24"/>
        </w:rPr>
        <w:t>（5）等温过程模拟。</w:t>
      </w:r>
      <w:r>
        <w:rPr>
          <w:rFonts w:ascii="宋体" w:hAnsi="宋体" w:eastAsia="宋体" w:cs="宋体"/>
          <w:sz w:val="24"/>
          <w:szCs w:val="24"/>
        </w:rPr>
        <w:t>非隔热模式下，系统与恒温热浴耦合，分子速度持续被驱动趋向目标温度的麦克斯韦分布。</w:t>
      </w:r>
    </w:p>
    <w:p w14:paraId="4E9391F0">
      <w:pPr>
        <w:spacing w:before="0" w:after="0" w:line="360" w:lineRule="auto"/>
        <w:ind w:firstLine="480"/>
        <w:jc w:val="both"/>
      </w:pPr>
      <w:r>
        <w:rPr>
          <w:rFonts w:ascii="宋体" w:hAnsi="宋体" w:eastAsia="宋体" w:cs="宋体"/>
          <w:b/>
          <w:bCs/>
          <w:sz w:val="24"/>
          <w:szCs w:val="24"/>
        </w:rPr>
        <w:t>（6）速率分布直方图。</w:t>
      </w:r>
      <w:r>
        <w:rPr>
          <w:rFonts w:ascii="宋体" w:hAnsi="宋体" w:eastAsia="宋体" w:cs="宋体"/>
          <w:sz w:val="24"/>
          <w:szCs w:val="24"/>
        </w:rPr>
        <w:t>每个容器下方实时显示当前速率分布直方图，供与理论麦克斯韦分布曲线对比。</w:t>
      </w:r>
    </w:p>
    <w:p w14:paraId="5818E18A">
      <w:pPr>
        <w:spacing w:before="0" w:after="0" w:line="360" w:lineRule="auto"/>
        <w:ind w:firstLine="480"/>
        <w:jc w:val="both"/>
      </w:pPr>
      <w:r>
        <w:rPr>
          <w:rFonts w:ascii="宋体" w:hAnsi="宋体" w:eastAsia="宋体" w:cs="宋体"/>
          <w:b/>
          <w:bCs/>
          <w:sz w:val="24"/>
          <w:szCs w:val="24"/>
        </w:rPr>
        <w:t>（7）参数联动。</w:t>
      </w:r>
      <w:r>
        <w:rPr>
          <w:rFonts w:ascii="宋体" w:hAnsi="宋体" w:eastAsia="宋体" w:cs="宋体"/>
          <w:sz w:val="24"/>
          <w:szCs w:val="24"/>
        </w:rPr>
        <w:t>支持两个容器的活塞位置联动与三维视角联动，方便控制变量进行对比。</w:t>
      </w:r>
    </w:p>
    <w:p w14:paraId="305FB970">
      <w:pPr>
        <w:spacing w:before="0" w:after="0" w:line="360" w:lineRule="auto"/>
        <w:ind w:firstLine="480"/>
        <w:jc w:val="both"/>
      </w:pPr>
      <w:r>
        <w:rPr>
          <w:rFonts w:ascii="宋体" w:hAnsi="宋体" w:eastAsia="宋体" w:cs="宋体"/>
          <w:b/>
          <w:bCs/>
          <w:sz w:val="24"/>
          <w:szCs w:val="24"/>
        </w:rPr>
        <w:t>（8）跨平台兼容。</w:t>
      </w:r>
      <w:r>
        <w:rPr>
          <w:rFonts w:ascii="宋体" w:hAnsi="宋体" w:eastAsia="宋体" w:cs="宋体"/>
          <w:sz w:val="24"/>
          <w:szCs w:val="24"/>
        </w:rPr>
        <w:t>基于 Web 标准（HTML5+WebGL），无需安装任何软件，在主流浏览器中即可运行。</w:t>
      </w:r>
    </w:p>
    <w:p w14:paraId="7F20DB2C">
      <w:pPr>
        <w:spacing w:before="240" w:after="120" w:line="360" w:lineRule="auto"/>
        <w:ind w:firstLine="0"/>
        <w:jc w:val="left"/>
      </w:pPr>
      <w:r>
        <w:rPr>
          <w:rFonts w:ascii="黑体" w:hAnsi="黑体" w:eastAsia="黑体" w:cs="黑体"/>
          <w:b/>
          <w:bCs/>
          <w:sz w:val="28"/>
          <w:szCs w:val="28"/>
        </w:rPr>
        <w:t>1.4  技术路线选择</w:t>
      </w:r>
    </w:p>
    <w:p w14:paraId="127FA9F7">
      <w:pPr>
        <w:spacing w:before="0" w:after="0" w:line="360" w:lineRule="auto"/>
        <w:ind w:firstLine="480"/>
        <w:jc w:val="both"/>
      </w:pPr>
      <w:r>
        <w:rPr>
          <w:rFonts w:ascii="宋体" w:hAnsi="宋体" w:eastAsia="宋体" w:cs="宋体"/>
          <w:sz w:val="24"/>
          <w:szCs w:val="24"/>
        </w:rPr>
        <w:t>本作品的核心需求可概括为：三维图形渲染、实时物理计算、用户交互响应。针对上述需求，技术选型如下：</w:t>
      </w:r>
    </w:p>
    <w:p w14:paraId="283645F2">
      <w:pPr>
        <w:spacing w:before="0" w:after="0" w:line="360" w:lineRule="auto"/>
        <w:ind w:firstLine="480"/>
        <w:jc w:val="both"/>
      </w:pPr>
      <w:r>
        <w:rPr>
          <w:rFonts w:ascii="宋体" w:hAnsi="宋体" w:eastAsia="宋体" w:cs="宋体"/>
          <w:b/>
          <w:bCs/>
          <w:sz w:val="24"/>
          <w:szCs w:val="24"/>
        </w:rPr>
        <w:t>（1）三维渲染引擎——Three.js。</w:t>
      </w:r>
      <w:r>
        <w:rPr>
          <w:rFonts w:ascii="宋体" w:hAnsi="宋体" w:eastAsia="宋体" w:cs="宋体"/>
          <w:sz w:val="24"/>
          <w:szCs w:val="24"/>
        </w:rPr>
        <w:t>Three.js 是对 WebGL 的成熟封装，提供场景图、相机控制、材质/光照系统等高级抽象，大幅降低三维图形开发的门槛，且浏览器兼容性良好。本作品无需自行实现底层的顶点缓冲、着色器编译等操作，可将精力集中于物理模型的构建。</w:t>
      </w:r>
    </w:p>
    <w:p w14:paraId="38436829">
      <w:pPr>
        <w:spacing w:before="0" w:after="0" w:line="360" w:lineRule="auto"/>
        <w:ind w:firstLine="480"/>
        <w:jc w:val="both"/>
      </w:pPr>
      <w:r>
        <w:rPr>
          <w:rFonts w:ascii="宋体" w:hAnsi="宋体" w:eastAsia="宋体" w:cs="宋体"/>
          <w:b/>
          <w:bCs/>
          <w:sz w:val="24"/>
          <w:szCs w:val="24"/>
        </w:rPr>
        <w:t>（2）物理引擎——自主开发。</w:t>
      </w:r>
      <w:r>
        <w:rPr>
          <w:rFonts w:ascii="宋体" w:hAnsi="宋体" w:eastAsia="宋体" w:cs="宋体"/>
          <w:sz w:val="24"/>
          <w:szCs w:val="24"/>
        </w:rPr>
        <w:t>现有通用物理引擎（如 Cannon.js、Ammo.js）侧重于刚体动力学和宏观碰撞检测，对分子尺度的硬球碰撞模型、动壁（移动活塞）的能量传递以及麦克斯韦分布的统计调控缺乏原生支持。此外，自主开发数值计算核心模块正是本届竞赛所鼓励的方向。因此，本作品的分子动力学模拟引擎完全从零构建。</w:t>
      </w:r>
    </w:p>
    <w:p w14:paraId="3277550E">
      <w:pPr>
        <w:spacing w:before="0" w:after="0" w:line="360" w:lineRule="auto"/>
        <w:ind w:firstLine="480"/>
        <w:jc w:val="both"/>
      </w:pPr>
      <w:r>
        <w:rPr>
          <w:rFonts w:ascii="宋体" w:hAnsi="宋体" w:eastAsia="宋体" w:cs="宋体"/>
          <w:b/>
          <w:bCs/>
          <w:sz w:val="24"/>
          <w:szCs w:val="24"/>
        </w:rPr>
        <w:t>（3）部署方式——单文件 HTML。</w:t>
      </w:r>
      <w:r>
        <w:rPr>
          <w:rFonts w:ascii="宋体" w:hAnsi="宋体" w:eastAsia="宋体" w:cs="宋体"/>
          <w:sz w:val="24"/>
          <w:szCs w:val="24"/>
        </w:rPr>
        <w:t>Three.js 库以 CDN importmap 方式引入，所有代码、样式与着色器内嵌于单个 HTML 文件中。这种方式避免了构建工具链的依赖，确保作品在任何现代浏览器中直接打开即可运行，方便评审专家验收。</w:t>
      </w:r>
    </w:p>
    <w:p w14:paraId="5A8BC230">
      <w:r>
        <w:br w:type="page"/>
      </w:r>
    </w:p>
    <w:p w14:paraId="338E3AF3">
      <w:pPr>
        <w:pageBreakBefore/>
        <w:spacing w:before="360" w:after="240" w:line="360" w:lineRule="auto"/>
        <w:ind w:firstLine="0"/>
        <w:jc w:val="center"/>
      </w:pPr>
      <w:bookmarkStart w:id="1" w:name="_Toc002"/>
      <w:r>
        <w:rPr>
          <w:rFonts w:ascii="黑体" w:hAnsi="黑体" w:eastAsia="黑体" w:cs="黑体"/>
          <w:b/>
          <w:bCs/>
          <w:sz w:val="30"/>
          <w:szCs w:val="30"/>
        </w:rPr>
        <w:t>第二章  概要设计</w:t>
      </w:r>
      <w:bookmarkEnd w:id="1"/>
    </w:p>
    <w:p w14:paraId="4F4126F3">
      <w:pPr>
        <w:spacing w:before="240" w:after="120" w:line="360" w:lineRule="auto"/>
        <w:ind w:firstLine="0"/>
        <w:jc w:val="left"/>
      </w:pPr>
      <w:r>
        <w:rPr>
          <w:rFonts w:ascii="黑体" w:hAnsi="黑体" w:eastAsia="黑体" w:cs="黑体"/>
          <w:b/>
          <w:bCs/>
          <w:sz w:val="28"/>
          <w:szCs w:val="28"/>
        </w:rPr>
        <w:t>2.1  系统总体架构</w:t>
      </w:r>
    </w:p>
    <w:p w14:paraId="08FFA303">
      <w:pPr>
        <w:spacing w:before="0" w:after="0" w:line="360" w:lineRule="auto"/>
        <w:ind w:firstLine="480"/>
        <w:jc w:val="both"/>
      </w:pPr>
      <w:r>
        <w:rPr>
          <w:rFonts w:ascii="宋体" w:hAnsi="宋体" w:eastAsia="宋体" w:cs="宋体"/>
          <w:sz w:val="24"/>
          <w:szCs w:val="24"/>
        </w:rPr>
        <w:t>系统采用单页面应用架构，整体分为四层：用户界面层（UI Layer）、控制逻辑层（Control Layer）、物理模拟层（Physics Engine）、渲染输出层（Render Layer）。各层之间的数据流为单向循环：用户输入经控制逻辑层解析后更新物理模型参数，物理引擎在每个时间步内推进系统状态，渲染层根据更新后的状态绘制三维场景与统计图表。</w:t>
      </w:r>
    </w:p>
    <w:p w14:paraId="66286996">
      <w:pPr>
        <w:spacing w:before="0" w:after="0" w:line="360" w:lineRule="auto"/>
        <w:ind w:firstLine="480"/>
        <w:jc w:val="both"/>
      </w:pPr>
      <w:r>
        <w:rPr>
          <w:rFonts w:ascii="宋体" w:hAnsi="宋体" w:eastAsia="宋体" w:cs="宋体"/>
          <w:sz w:val="24"/>
          <w:szCs w:val="24"/>
        </w:rPr>
        <w:t>具体而言，用户通过页面顶部的全局控制栏设置初始温度与联动选项，通过各容器侧边控制面板设定隔热状态与活塞位置。控制逻辑层将这些输入转化为物理引擎的参数（目标温度、容器体积、动壁速度等）。物理引擎以子步进方式求解分子运动，每帧完成后将分子位置、速度以及统计量（平均动能、温度、速率分布）传递给渲染层。渲染层负责更新三维场景中的分子球体位置与颜色、以及下方的速率直方图。</w:t>
      </w:r>
    </w:p>
    <w:p w14:paraId="1DFE7C3C">
      <w:pPr>
        <w:spacing w:before="240" w:after="120" w:line="360" w:lineRule="auto"/>
        <w:ind w:firstLine="0"/>
        <w:jc w:val="left"/>
      </w:pPr>
      <w:r>
        <w:rPr>
          <w:rFonts w:ascii="黑体" w:hAnsi="黑体" w:eastAsia="黑体" w:cs="黑体"/>
          <w:b/>
          <w:bCs/>
          <w:sz w:val="28"/>
          <w:szCs w:val="28"/>
        </w:rPr>
        <w:t>2.2  物理模型总体设计</w:t>
      </w:r>
    </w:p>
    <w:p w14:paraId="6A92D18C">
      <w:pPr>
        <w:spacing w:before="0" w:after="0" w:line="360" w:lineRule="auto"/>
        <w:ind w:firstLine="480"/>
        <w:jc w:val="both"/>
      </w:pPr>
      <w:r>
        <w:rPr>
          <w:rFonts w:ascii="宋体" w:hAnsi="宋体" w:eastAsia="宋体" w:cs="宋体"/>
          <w:sz w:val="24"/>
          <w:szCs w:val="24"/>
        </w:rPr>
        <w:t>物理模型的核心是 N 个全同粒子的三维硬球动力学。系统的基本假设与简化如下：</w:t>
      </w:r>
    </w:p>
    <w:p w14:paraId="6FC554B8">
      <w:pPr>
        <w:spacing w:before="0" w:after="0" w:line="360" w:lineRule="auto"/>
        <w:ind w:firstLine="480"/>
        <w:jc w:val="both"/>
      </w:pPr>
      <w:r>
        <w:rPr>
          <w:rFonts w:ascii="宋体" w:hAnsi="宋体" w:eastAsia="宋体" w:cs="宋体"/>
          <w:b/>
          <w:bCs/>
          <w:sz w:val="24"/>
          <w:szCs w:val="24"/>
        </w:rPr>
        <w:t>（1）硬球近似。</w:t>
      </w:r>
      <w:r>
        <w:rPr>
          <w:rFonts w:ascii="宋体" w:hAnsi="宋体" w:eastAsia="宋体" w:cs="宋体"/>
          <w:sz w:val="24"/>
          <w:szCs w:val="24"/>
        </w:rPr>
        <w:t>分子被视为半径为 R 的刚性球体，只发生弹性碰撞。分子间无长程相互作用力（如范德瓦尔斯力），分子在两次碰撞之间做匀速直线运动。</w:t>
      </w:r>
    </w:p>
    <w:p w14:paraId="41AC7494">
      <w:pPr>
        <w:spacing w:before="0" w:after="0" w:line="360" w:lineRule="auto"/>
        <w:ind w:firstLine="480"/>
        <w:jc w:val="both"/>
      </w:pPr>
      <w:r>
        <w:rPr>
          <w:rFonts w:ascii="宋体" w:hAnsi="宋体" w:eastAsia="宋体" w:cs="宋体"/>
          <w:b/>
          <w:bCs/>
          <w:sz w:val="24"/>
          <w:szCs w:val="24"/>
        </w:rPr>
        <w:t>（2）理想气体。</w:t>
      </w:r>
      <w:r>
        <w:rPr>
          <w:rFonts w:ascii="宋体" w:hAnsi="宋体" w:eastAsia="宋体" w:cs="宋体"/>
          <w:sz w:val="24"/>
          <w:szCs w:val="24"/>
        </w:rPr>
        <w:t>气体足够稀薄，分子自身的体积远小于容器体积。每个分子仅具有平动动能（3 个自由度），无转动或振动自由度，对应于单原子理想气体模型。</w:t>
      </w:r>
    </w:p>
    <w:p w14:paraId="767E556A">
      <w:pPr>
        <w:spacing w:before="0" w:after="0" w:line="360" w:lineRule="auto"/>
        <w:ind w:firstLine="480"/>
        <w:jc w:val="both"/>
      </w:pPr>
      <w:r>
        <w:rPr>
          <w:rFonts w:ascii="宋体" w:hAnsi="宋体" w:eastAsia="宋体" w:cs="宋体"/>
          <w:b/>
          <w:bCs/>
          <w:sz w:val="24"/>
          <w:szCs w:val="24"/>
        </w:rPr>
        <w:t>（3）能量均分定理。</w:t>
      </w:r>
      <w:r>
        <w:rPr>
          <w:rFonts w:ascii="宋体" w:hAnsi="宋体" w:eastAsia="宋体" w:cs="宋体"/>
          <w:sz w:val="24"/>
          <w:szCs w:val="24"/>
        </w:rPr>
        <w:t>系统平衡态的温度 T 与分子的平均平动动能 ⟨E_k⟩ 满足关系 ⟨E_k⟩ = (3/2)k_B T，在仿真中以无量纲化方式实现。</w:t>
      </w:r>
    </w:p>
    <w:p w14:paraId="3A3E66DF">
      <w:pPr>
        <w:spacing w:before="0" w:after="0" w:line="360" w:lineRule="auto"/>
        <w:ind w:firstLine="480"/>
        <w:jc w:val="both"/>
      </w:pPr>
      <w:r>
        <w:rPr>
          <w:rFonts w:ascii="宋体" w:hAnsi="宋体" w:eastAsia="宋体" w:cs="宋体"/>
          <w:b/>
          <w:bCs/>
          <w:sz w:val="24"/>
          <w:szCs w:val="24"/>
        </w:rPr>
        <w:t>（4）可动壁边界。</w:t>
      </w:r>
      <w:r>
        <w:rPr>
          <w:rFonts w:ascii="宋体" w:hAnsi="宋体" w:eastAsia="宋体" w:cs="宋体"/>
          <w:sz w:val="24"/>
          <w:szCs w:val="24"/>
        </w:rPr>
        <w:t>容器六个面中，x 轴方向的一个端面为可移动的活塞。活塞以有限速度移动时，与之碰撞的分子发生非弹性碰撞（在壁参考系中弹性），从而实现功的传递。</w:t>
      </w:r>
    </w:p>
    <w:p w14:paraId="6F5C82C2">
      <w:pPr>
        <w:spacing w:before="0" w:after="0" w:line="360" w:lineRule="auto"/>
        <w:ind w:firstLine="480"/>
        <w:jc w:val="both"/>
      </w:pPr>
      <w:r>
        <w:rPr>
          <w:rFonts w:ascii="宋体" w:hAnsi="宋体" w:eastAsia="宋体" w:cs="宋体"/>
          <w:b/>
          <w:bCs/>
          <w:sz w:val="24"/>
          <w:szCs w:val="24"/>
        </w:rPr>
        <w:t>（5）热浴模型。</w:t>
      </w:r>
      <w:r>
        <w:rPr>
          <w:rFonts w:ascii="宋体" w:hAnsi="宋体" w:eastAsia="宋体" w:cs="宋体"/>
          <w:sz w:val="24"/>
          <w:szCs w:val="24"/>
        </w:rPr>
        <w:t>非隔热模式下，系统与温度为 T_bath 的恒温热浴耦合。采用弱 Berendsen 型速度混合+标定方案，使分子速度分布逐步弛豫至目标麦克斯韦分布。</w:t>
      </w:r>
    </w:p>
    <w:p w14:paraId="12FE27D8">
      <w:pPr>
        <w:spacing w:before="0" w:after="0" w:line="360" w:lineRule="auto"/>
        <w:ind w:firstLine="480"/>
        <w:jc w:val="both"/>
      </w:pPr>
      <w:r>
        <w:rPr>
          <w:rFonts w:ascii="宋体" w:hAnsi="宋体" w:eastAsia="宋体" w:cs="宋体"/>
          <w:sz w:val="24"/>
          <w:szCs w:val="24"/>
        </w:rPr>
        <w:t>以上假设在物理上对应于标准的热力学教材模型，既保证了仿真的物理正确性，又使数值实现简洁高效。</w:t>
      </w:r>
    </w:p>
    <w:p w14:paraId="0FFC46E9">
      <w:pPr>
        <w:spacing w:before="240" w:after="120" w:line="360" w:lineRule="auto"/>
        <w:ind w:firstLine="0"/>
        <w:jc w:val="left"/>
      </w:pPr>
      <w:r>
        <w:rPr>
          <w:rFonts w:ascii="黑体" w:hAnsi="黑体" w:eastAsia="黑体" w:cs="黑体"/>
          <w:b/>
          <w:bCs/>
          <w:sz w:val="28"/>
          <w:szCs w:val="28"/>
        </w:rPr>
        <w:t>2.3  用户界面设计</w:t>
      </w:r>
    </w:p>
    <w:p w14:paraId="6BD7497F">
      <w:pPr>
        <w:spacing w:before="0" w:after="0" w:line="360" w:lineRule="auto"/>
        <w:ind w:firstLine="480"/>
        <w:jc w:val="both"/>
      </w:pPr>
      <w:r>
        <w:rPr>
          <w:rFonts w:ascii="宋体" w:hAnsi="宋体" w:eastAsia="宋体" w:cs="宋体"/>
          <w:sz w:val="24"/>
          <w:szCs w:val="24"/>
        </w:rPr>
        <w:t>用户界面采用上下布局：顶部为全局控制栏，下方为两个容器面板的左右并排排列。</w:t>
      </w:r>
    </w:p>
    <w:p w14:paraId="62C19387">
      <w:pPr>
        <w:spacing w:before="0" w:after="0" w:line="360" w:lineRule="auto"/>
        <w:ind w:firstLine="480"/>
        <w:jc w:val="both"/>
      </w:pPr>
      <w:r>
        <w:rPr>
          <w:rFonts w:ascii="宋体" w:hAnsi="宋体" w:eastAsia="宋体" w:cs="宋体"/>
          <w:sz w:val="24"/>
          <w:szCs w:val="24"/>
        </w:rPr>
        <w:t>顶部控制栏左半部分显示作品标题与操作提示文字，右半部分包含全局参数控件：初始热浴温度滑块（80 K ~ 2000 K）、面板透明度滑块、「同步初始条件」按钮、「联动活塞」与「联动视角」复选框。</w:t>
      </w:r>
    </w:p>
    <w:p w14:paraId="00D2F21D">
      <w:pPr>
        <w:spacing w:before="0" w:after="0" w:line="360" w:lineRule="auto"/>
        <w:ind w:firstLine="480"/>
        <w:jc w:val="both"/>
      </w:pPr>
      <w:r>
        <w:rPr>
          <w:rFonts w:ascii="宋体" w:hAnsi="宋体" w:eastAsia="宋体" w:cs="宋体"/>
          <w:sz w:val="24"/>
          <w:szCs w:val="24"/>
        </w:rPr>
        <w:t>每个容器的界面自上而下包含：三维渲染画布（带有半透明统计信息叠加层）、速率分布直方图。三维画布内叠加显示的统计信息包括当前容积、温度、平均动能、相对初态的平均动能变化，以及用于记录对比的初始状态参数。控制组件（隔热开关、活塞滑块、局部温度滑块、压缩/膨胀按钮）嵌入在统计信息面板中，避免控件遮挡三维可视区域。</w:t>
      </w:r>
    </w:p>
    <w:p w14:paraId="23F25160">
      <w:pPr>
        <w:spacing w:before="240" w:after="120" w:line="360" w:lineRule="auto"/>
        <w:ind w:firstLine="0"/>
        <w:jc w:val="left"/>
      </w:pPr>
      <w:r>
        <w:rPr>
          <w:rFonts w:ascii="黑体" w:hAnsi="黑体" w:eastAsia="黑体" w:cs="黑体"/>
          <w:b/>
          <w:bCs/>
          <w:sz w:val="28"/>
          <w:szCs w:val="28"/>
        </w:rPr>
        <w:t>2.4  核心模块划分</w:t>
      </w:r>
    </w:p>
    <w:p w14:paraId="31EC1608">
      <w:pPr>
        <w:spacing w:before="0" w:after="0" w:line="360" w:lineRule="auto"/>
        <w:ind w:firstLine="480"/>
        <w:jc w:val="both"/>
      </w:pPr>
      <w:r>
        <w:rPr>
          <w:rFonts w:ascii="宋体" w:hAnsi="宋体" w:eastAsia="宋体" w:cs="宋体"/>
          <w:sz w:val="24"/>
          <w:szCs w:val="24"/>
        </w:rPr>
        <w:t>系统在代码层面划分为以下核心模块：</w:t>
      </w:r>
    </w:p>
    <w:p w14:paraId="35934B81">
      <w:pPr>
        <w:spacing w:before="0" w:after="0" w:line="360" w:lineRule="auto"/>
        <w:ind w:firstLine="480"/>
        <w:jc w:val="both"/>
      </w:pPr>
      <w:r>
        <w:rPr>
          <w:rFonts w:ascii="宋体" w:hAnsi="宋体" w:eastAsia="宋体" w:cs="宋体"/>
          <w:b/>
          <w:bCs/>
          <w:sz w:val="24"/>
          <w:szCs w:val="24"/>
        </w:rPr>
        <w:t>（1）场景管理模块（SceneManager）。</w:t>
      </w:r>
      <w:r>
        <w:rPr>
          <w:rFonts w:ascii="宋体" w:hAnsi="宋体" w:eastAsia="宋体" w:cs="宋体"/>
          <w:sz w:val="24"/>
          <w:szCs w:val="24"/>
        </w:rPr>
        <w:t>负责初始化 Three.js 场景，构建容器几何体（线框+半透明面板）、分子球体实例（InstancedMesh）、光源与相机。每个容器拥有独立的 SceneManager 实例，以保证渲染状态的隔离。</w:t>
      </w:r>
    </w:p>
    <w:p w14:paraId="0A2888D4">
      <w:pPr>
        <w:spacing w:before="0" w:after="0" w:line="360" w:lineRule="auto"/>
        <w:ind w:firstLine="480"/>
        <w:jc w:val="both"/>
      </w:pPr>
      <w:r>
        <w:rPr>
          <w:rFonts w:ascii="宋体" w:hAnsi="宋体" w:eastAsia="宋体" w:cs="宋体"/>
          <w:b/>
          <w:bCs/>
          <w:sz w:val="24"/>
          <w:szCs w:val="24"/>
        </w:rPr>
        <w:t>（2）物理引擎模块（PhysicsEngine）。</w:t>
      </w:r>
      <w:r>
        <w:rPr>
          <w:rFonts w:ascii="宋体" w:hAnsi="宋体" w:eastAsia="宋体" w:cs="宋体"/>
          <w:sz w:val="24"/>
          <w:szCs w:val="24"/>
        </w:rPr>
        <w:t>封装分子状态数组（位置、速度）、碰撞检测与响应（分子间弹性碰撞、壁面反射、动壁动量交换）、热浴耦合（麦克斯韦采样+速度定标）、绝热标度关系计算。两个容器各自实例化独立的物理引擎，互不干扰。</w:t>
      </w:r>
    </w:p>
    <w:p w14:paraId="09040BCE">
      <w:pPr>
        <w:spacing w:before="0" w:after="0" w:line="360" w:lineRule="auto"/>
        <w:ind w:firstLine="480"/>
        <w:jc w:val="both"/>
      </w:pPr>
      <w:r>
        <w:rPr>
          <w:rFonts w:ascii="宋体" w:hAnsi="宋体" w:eastAsia="宋体" w:cs="宋体"/>
          <w:b/>
          <w:bCs/>
          <w:sz w:val="24"/>
          <w:szCs w:val="24"/>
        </w:rPr>
        <w:t>（3）统计与直方图模块（StatsHistogram）。</w:t>
      </w:r>
      <w:r>
        <w:rPr>
          <w:rFonts w:ascii="宋体" w:hAnsi="宋体" w:eastAsia="宋体" w:cs="宋体"/>
          <w:sz w:val="24"/>
          <w:szCs w:val="24"/>
        </w:rPr>
        <w:t>负责计算当前分子系统的平均动能、温度，并以固定速率区间构建速率分布直方图，叠加理论麦克斯韦分布曲线。</w:t>
      </w:r>
    </w:p>
    <w:p w14:paraId="1F1391D6">
      <w:pPr>
        <w:spacing w:before="0" w:after="0" w:line="360" w:lineRule="auto"/>
        <w:ind w:firstLine="480"/>
        <w:jc w:val="both"/>
      </w:pPr>
      <w:r>
        <w:rPr>
          <w:rFonts w:ascii="宋体" w:hAnsi="宋体" w:eastAsia="宋体" w:cs="宋体"/>
          <w:b/>
          <w:bCs/>
          <w:sz w:val="24"/>
          <w:szCs w:val="24"/>
        </w:rPr>
        <w:t>（4）控制与同步模块（Controller）。</w:t>
      </w:r>
      <w:r>
        <w:rPr>
          <w:rFonts w:ascii="宋体" w:hAnsi="宋体" w:eastAsia="宋体" w:cs="宋体"/>
          <w:sz w:val="24"/>
          <w:szCs w:val="24"/>
        </w:rPr>
        <w:t>监听 UI 控件事件，解析用户意图，更新对应物理引擎的参数。同时处理联动逻辑（活塞联动、视角联动）与初始条件同步。</w:t>
      </w:r>
    </w:p>
    <w:p w14:paraId="5B363E0D">
      <w:r>
        <w:br w:type="page"/>
      </w:r>
    </w:p>
    <w:p w14:paraId="0FF6B58F">
      <w:pPr>
        <w:pageBreakBefore/>
        <w:spacing w:before="360" w:after="240" w:line="360" w:lineRule="auto"/>
        <w:ind w:firstLine="0"/>
        <w:jc w:val="center"/>
      </w:pPr>
      <w:bookmarkStart w:id="2" w:name="_Toc003"/>
      <w:r>
        <w:rPr>
          <w:rFonts w:ascii="黑体" w:hAnsi="黑体" w:eastAsia="黑体" w:cs="黑体"/>
          <w:b/>
          <w:bCs/>
          <w:sz w:val="30"/>
          <w:szCs w:val="30"/>
        </w:rPr>
        <w:t>第三章  详细设计</w:t>
      </w:r>
      <w:bookmarkEnd w:id="2"/>
    </w:p>
    <w:p w14:paraId="76F4BA1E">
      <w:pPr>
        <w:spacing w:before="240" w:after="120" w:line="360" w:lineRule="auto"/>
        <w:ind w:firstLine="0"/>
        <w:jc w:val="left"/>
      </w:pPr>
      <w:r>
        <w:rPr>
          <w:rFonts w:ascii="黑体" w:hAnsi="黑体" w:eastAsia="黑体" w:cs="黑体"/>
          <w:b/>
          <w:bCs/>
          <w:sz w:val="28"/>
          <w:szCs w:val="28"/>
        </w:rPr>
        <w:t>3.1  分子动力学模拟引擎</w:t>
      </w:r>
    </w:p>
    <w:p w14:paraId="4C61BD65">
      <w:pPr>
        <w:spacing w:before="0" w:after="0" w:line="360" w:lineRule="auto"/>
        <w:ind w:firstLine="480"/>
        <w:jc w:val="both"/>
      </w:pPr>
      <w:r>
        <w:rPr>
          <w:rFonts w:ascii="宋体" w:hAnsi="宋体" w:eastAsia="宋体" w:cs="宋体"/>
          <w:sz w:val="24"/>
          <w:szCs w:val="24"/>
        </w:rPr>
        <w:t>分子动力学模拟引擎是本作品的核心数值计算模块，完全自主开发，不依赖任何第三方物理库。以下逐一阐述各子模块的算法设计。</w:t>
      </w:r>
    </w:p>
    <w:p w14:paraId="782F3B45">
      <w:pPr>
        <w:spacing w:before="180" w:after="60" w:line="360" w:lineRule="auto"/>
        <w:ind w:firstLine="0"/>
        <w:jc w:val="left"/>
      </w:pPr>
      <w:r>
        <w:rPr>
          <w:rFonts w:ascii="黑体" w:hAnsi="黑体" w:eastAsia="黑体" w:cs="黑体"/>
          <w:b/>
          <w:bCs/>
          <w:sz w:val="24"/>
          <w:szCs w:val="24"/>
        </w:rPr>
        <w:t>3.1.1  硬球分子间碰撞</w:t>
      </w:r>
    </w:p>
    <w:p w14:paraId="47FCF8AF">
      <w:pPr>
        <w:spacing w:before="0" w:after="0" w:line="360" w:lineRule="auto"/>
        <w:ind w:firstLine="480"/>
        <w:jc w:val="both"/>
      </w:pPr>
      <w:r>
        <w:rPr>
          <w:rFonts w:ascii="宋体" w:hAnsi="宋体" w:eastAsia="宋体" w:cs="宋体"/>
          <w:sz w:val="24"/>
          <w:szCs w:val="24"/>
        </w:rPr>
        <w:t>考虑两个全同分子 i 和 j，其位置矢量分别为 r_i 和 r_j，速度矢量分别为 v_i 和 v_j，半径均为 R。在一次时间步 h 结束后，首先进行重叠检测。定义相对位置矢量 Δr = r_j - r_i，若 |Δr| &lt; 2R，则判定两球发生碰撞重叠。</w:t>
      </w:r>
    </w:p>
    <w:p w14:paraId="311ED7ED">
      <w:pPr>
        <w:spacing w:before="0" w:after="0" w:line="360" w:lineRule="auto"/>
        <w:ind w:firstLine="480"/>
        <w:jc w:val="both"/>
      </w:pPr>
      <w:r>
        <w:rPr>
          <w:rFonts w:ascii="宋体" w:hAnsi="宋体" w:eastAsia="宋体" w:cs="宋体"/>
          <w:sz w:val="24"/>
          <w:szCs w:val="24"/>
        </w:rPr>
        <w:t>对于已重叠的分子对，采用位置修正+速度更新的处理方案。首先将两球沿碰撞法线方向 n = Δr / |Δr| 各推开重叠量的一半：</w:t>
      </w:r>
    </w:p>
    <w:p w14:paraId="1C0D841E">
      <w:pPr>
        <w:spacing w:before="120" w:after="120" w:line="360" w:lineRule="auto"/>
        <w:ind w:firstLine="0"/>
        <w:jc w:val="center"/>
      </w:pPr>
      <w:r>
        <w:rPr>
          <w:rFonts w:ascii="Times New Roman" w:hAnsi="Times New Roman" w:eastAsia="Times New Roman" w:cs="Times New Roman"/>
          <w:sz w:val="24"/>
          <w:szCs w:val="24"/>
        </w:rPr>
        <w:t>r_i ← r_i - (2R - |Δr|) × n / 2,    r_j ← r_j + (2R - |Δr|) × n / 2</w:t>
      </w:r>
    </w:p>
    <w:p w14:paraId="78CDDAFF">
      <w:pPr>
        <w:spacing w:before="0" w:after="0" w:line="360" w:lineRule="auto"/>
        <w:ind w:firstLine="480"/>
        <w:jc w:val="both"/>
      </w:pPr>
      <w:r>
        <w:rPr>
          <w:rFonts w:ascii="宋体" w:hAnsi="宋体" w:eastAsia="宋体" w:cs="宋体"/>
          <w:sz w:val="24"/>
          <w:szCs w:val="24"/>
        </w:rPr>
        <w:t>随后处理速度。定义相对速度 v_rel = v_i - v_j，其在法线方向的投影为 v_n = v_rel · n。若 v_n &gt; 0，表明两分子正在远离，无需处理；若 v_n ≤ 0，则进行一次完全弹性碰撞的速度更新：</w:t>
      </w:r>
    </w:p>
    <w:p w14:paraId="4D76DFAF">
      <w:pPr>
        <w:spacing w:before="120" w:after="120" w:line="360" w:lineRule="auto"/>
        <w:ind w:firstLine="0"/>
        <w:jc w:val="center"/>
      </w:pPr>
      <w:r>
        <w:rPr>
          <w:rFonts w:ascii="Times New Roman" w:hAnsi="Times New Roman" w:eastAsia="Times New Roman" w:cs="Times New Roman"/>
          <w:sz w:val="24"/>
          <w:szCs w:val="24"/>
        </w:rPr>
        <w:t>v_i ← v_i - v_n × n,    v_j ← v_j + v_n × n</w:t>
      </w:r>
    </w:p>
    <w:p w14:paraId="0F2D878D">
      <w:pPr>
        <w:spacing w:before="0" w:after="0" w:line="360" w:lineRule="auto"/>
        <w:ind w:firstLine="480"/>
        <w:jc w:val="both"/>
      </w:pPr>
      <w:r>
        <w:rPr>
          <w:rFonts w:ascii="宋体" w:hAnsi="宋体" w:eastAsia="宋体" w:cs="宋体"/>
          <w:sz w:val="24"/>
          <w:szCs w:val="24"/>
        </w:rPr>
        <w:t>该更新等价于将两分子在碰撞法线方向上的相对速度反向，而切线方向速度不变，满足动能守恒与动量守恒。每帧中执行 2 至 3 次全局粒子对遍历（取决于隔热模式），以确保重叠消除的充分性和碰撞传递的及时性。</w:t>
      </w:r>
    </w:p>
    <w:p w14:paraId="1D9749C6">
      <w:pPr>
        <w:spacing w:before="180" w:after="60" w:line="360" w:lineRule="auto"/>
        <w:ind w:firstLine="0"/>
        <w:jc w:val="left"/>
      </w:pPr>
      <w:r>
        <w:rPr>
          <w:rFonts w:ascii="黑体" w:hAnsi="黑体" w:eastAsia="黑体" w:cs="黑体"/>
          <w:b/>
          <w:bCs/>
          <w:sz w:val="24"/>
          <w:szCs w:val="24"/>
        </w:rPr>
        <w:t>3.1.2  边界反射与动壁处理</w:t>
      </w:r>
    </w:p>
    <w:p w14:paraId="25D45078">
      <w:pPr>
        <w:spacing w:before="0" w:after="0" w:line="360" w:lineRule="auto"/>
        <w:ind w:firstLine="480"/>
        <w:jc w:val="both"/>
      </w:pPr>
      <w:r>
        <w:rPr>
          <w:rFonts w:ascii="宋体" w:hAnsi="宋体" w:eastAsia="宋体" w:cs="宋体"/>
          <w:sz w:val="24"/>
          <w:szCs w:val="24"/>
        </w:rPr>
        <w:t>固定壁反射是动壁处理的退化情形。对于沿 x、y、z 轴的固定壁面，当分子球心坐标超出 [min+R, max-R] 的允许范围时，将其位置钳制到边界并将对应速度分量取绝对值（反弹）。</w:t>
      </w:r>
    </w:p>
    <w:p w14:paraId="6ACC8314">
      <w:pPr>
        <w:spacing w:before="0" w:after="0" w:line="360" w:lineRule="auto"/>
        <w:ind w:firstLine="480"/>
        <w:jc w:val="both"/>
      </w:pPr>
      <w:r>
        <w:rPr>
          <w:rFonts w:ascii="宋体" w:hAnsi="宋体" w:eastAsia="宋体" w:cs="宋体"/>
          <w:sz w:val="24"/>
          <w:szCs w:val="24"/>
        </w:rPr>
        <w:t>动壁（活塞）的处理是本模拟中最具技术挑战的环节。活塞沿 x 轴方向移动，在时间步 Δt 内从位置 L_old 匀速移动到 L_new，壁面速度为 w = (L_new - L_old) / Δt。若仅采用「先移动分子、再判终态」的简单方案，则膨胀过程中壁面后退会导致大量本应与壁面碰撞的分子失去做功机会，造成绝热条件下能量不守恒。</w:t>
      </w:r>
    </w:p>
    <w:p w14:paraId="4ECA8116">
      <w:pPr>
        <w:spacing w:before="0" w:after="0" w:line="360" w:lineRule="auto"/>
        <w:ind w:firstLine="480"/>
        <w:jc w:val="both"/>
      </w:pPr>
      <w:r>
        <w:rPr>
          <w:rFonts w:ascii="宋体" w:hAnsi="宋体" w:eastAsia="宋体" w:cs="宋体"/>
          <w:sz w:val="24"/>
          <w:szCs w:val="24"/>
        </w:rPr>
        <w:t>为解决此问题，本引擎实现了子步内连续碰撞检测（Continuous Collision Detection, CCD）算法。将时间步 h 细分为若干子步（默认 14 个子步），在每个子步内：</w:t>
      </w:r>
    </w:p>
    <w:p w14:paraId="22129FC6">
      <w:pPr>
        <w:spacing w:before="0" w:after="0" w:line="360" w:lineRule="auto"/>
        <w:ind w:firstLine="480"/>
        <w:jc w:val="both"/>
      </w:pPr>
      <w:r>
        <w:rPr>
          <w:rFonts w:ascii="宋体" w:hAnsi="宋体" w:eastAsia="宋体" w:cs="宋体"/>
          <w:b/>
          <w:bCs/>
          <w:sz w:val="24"/>
          <w:szCs w:val="24"/>
        </w:rPr>
        <w:t>第一步：</w:t>
      </w:r>
      <w:r>
        <w:rPr>
          <w:rFonts w:ascii="宋体" w:hAnsi="宋体" w:eastAsia="宋体" w:cs="宋体"/>
          <w:sz w:val="24"/>
          <w:szCs w:val="24"/>
        </w:rPr>
        <w:t>计算当前子步的活塞起始位置 L_s 和终点位置 L_e，壁面速度 w。</w:t>
      </w:r>
    </w:p>
    <w:p w14:paraId="32825A6D">
      <w:pPr>
        <w:spacing w:before="0" w:after="0" w:line="360" w:lineRule="auto"/>
        <w:ind w:firstLine="480"/>
        <w:jc w:val="both"/>
      </w:pPr>
      <w:r>
        <w:rPr>
          <w:rFonts w:ascii="宋体" w:hAnsi="宋体" w:eastAsia="宋体" w:cs="宋体"/>
          <w:b/>
          <w:bCs/>
          <w:sz w:val="24"/>
          <w:szCs w:val="24"/>
        </w:rPr>
        <w:t>第二步：</w:t>
      </w:r>
      <w:r>
        <w:rPr>
          <w:rFonts w:ascii="宋体" w:hAnsi="宋体" w:eastAsia="宋体" w:cs="宋体"/>
          <w:sz w:val="24"/>
          <w:szCs w:val="24"/>
        </w:rPr>
        <w:t>对每个分子求解其轨迹 x(t) = x_0 + v_x · t 与动壁轨迹 L(t) = L_s + w · t 的首次交点时间 t_hit = (L_s - x_0) / (v_x - w)。</w:t>
      </w:r>
    </w:p>
    <w:p w14:paraId="1BB29005">
      <w:pPr>
        <w:spacing w:before="0" w:after="0" w:line="360" w:lineRule="auto"/>
        <w:ind w:firstLine="480"/>
        <w:jc w:val="both"/>
      </w:pPr>
      <w:r>
        <w:rPr>
          <w:rFonts w:ascii="宋体" w:hAnsi="宋体" w:eastAsia="宋体" w:cs="宋体"/>
          <w:b/>
          <w:bCs/>
          <w:sz w:val="24"/>
          <w:szCs w:val="24"/>
        </w:rPr>
        <w:t>第三步：</w:t>
      </w:r>
      <w:r>
        <w:rPr>
          <w:rFonts w:ascii="宋体" w:hAnsi="宋体" w:eastAsia="宋体" w:cs="宋体"/>
          <w:sz w:val="24"/>
          <w:szCs w:val="24"/>
        </w:rPr>
        <w:t>若 t_hit ∈ (0, h) 即发生碰撞，则执行壁参考系中的弹性反射：v_x' = 2w - v_x。重复此过程直至子步时间耗尽或分子不再与壁面相交。</w:t>
      </w:r>
    </w:p>
    <w:p w14:paraId="360DF127">
      <w:pPr>
        <w:spacing w:before="0" w:after="0" w:line="360" w:lineRule="auto"/>
        <w:ind w:firstLine="480"/>
        <w:jc w:val="both"/>
      </w:pPr>
      <w:r>
        <w:rPr>
          <w:rFonts w:ascii="宋体" w:hAnsi="宋体" w:eastAsia="宋体" w:cs="宋体"/>
          <w:sz w:val="24"/>
          <w:szCs w:val="24"/>
        </w:rPr>
        <w:t>CCD 算法确保了即使在壁面移动速度较快或使用较大时间步长时，壁面做功仍然精确守恒。这一设计是实现绝热过程物理正确性的关键保障。</w:t>
      </w:r>
    </w:p>
    <w:p w14:paraId="7B3DB62A">
      <w:pPr>
        <w:spacing w:before="180" w:after="60" w:line="360" w:lineRule="auto"/>
        <w:ind w:firstLine="0"/>
        <w:jc w:val="left"/>
      </w:pPr>
      <w:r>
        <w:rPr>
          <w:rFonts w:ascii="黑体" w:hAnsi="黑体" w:eastAsia="黑体" w:cs="黑体"/>
          <w:b/>
          <w:bCs/>
          <w:sz w:val="24"/>
          <w:szCs w:val="24"/>
        </w:rPr>
        <w:t>3.1.3  麦克斯韦速率分布采样</w:t>
      </w:r>
    </w:p>
    <w:p w14:paraId="7C59C931">
      <w:pPr>
        <w:spacing w:before="0" w:after="0" w:line="360" w:lineRule="auto"/>
        <w:ind w:firstLine="480"/>
        <w:jc w:val="both"/>
      </w:pPr>
      <w:r>
        <w:rPr>
          <w:rFonts w:ascii="宋体" w:hAnsi="宋体" w:eastAsia="宋体" w:cs="宋体"/>
          <w:sz w:val="24"/>
          <w:szCs w:val="24"/>
        </w:rPr>
        <w:t>在非隔热模式的热浴耦合以及初始状态的生成中，需要从给定温度 T 对应的麦克斯韦-玻尔兹曼分布中采样分子速度。对于三维空间中的单原子分子，速度的每个笛卡尔分量 v_α（α = x, y, z）独立地服从均值为 0、方差为 σ^2 = k_B T / m 的正态分布。</w:t>
      </w:r>
    </w:p>
    <w:p w14:paraId="4989CC57">
      <w:pPr>
        <w:spacing w:before="0" w:after="0" w:line="360" w:lineRule="auto"/>
        <w:ind w:firstLine="480"/>
        <w:jc w:val="both"/>
      </w:pPr>
      <w:r>
        <w:rPr>
          <w:rFonts w:ascii="宋体" w:hAnsi="宋体" w:eastAsia="宋体" w:cs="宋体"/>
          <w:sz w:val="24"/>
          <w:szCs w:val="24"/>
        </w:rPr>
        <w:t>本引擎采用 Box-Muller 变换生成正态分布随机数。设 U_1, U_2 ~ Uniform(0, 1) 为两个独立均匀随机数，则</w:t>
      </w:r>
    </w:p>
    <w:p w14:paraId="58BC3357">
      <w:pPr>
        <w:spacing w:before="120" w:after="120" w:line="360" w:lineRule="auto"/>
        <w:ind w:firstLine="0"/>
        <w:jc w:val="center"/>
      </w:pPr>
      <w:r>
        <w:rPr>
          <w:rFonts w:ascii="Times New Roman" w:hAnsi="Times New Roman" w:eastAsia="Times New Roman" w:cs="Times New Roman"/>
          <w:sz w:val="24"/>
          <w:szCs w:val="24"/>
        </w:rPr>
        <w:t>Z = √(-2 ln U_1) · cos(2π U_2)</w:t>
      </w:r>
    </w:p>
    <w:p w14:paraId="621C62A9">
      <w:pPr>
        <w:spacing w:before="0" w:after="0" w:line="360" w:lineRule="auto"/>
        <w:ind w:firstLine="480"/>
        <w:jc w:val="both"/>
      </w:pPr>
      <w:r>
        <w:rPr>
          <w:rFonts w:ascii="宋体" w:hAnsi="宋体" w:eastAsia="宋体" w:cs="宋体"/>
          <w:sz w:val="24"/>
          <w:szCs w:val="24"/>
        </w:rPr>
        <w:t>服从标准正态分布 N(0, 1)。缩放 Z × σ 即得目标分布样本。每个分子的三个速度分量分别独立采样，由此生成的速率 |v| 自然服从麦克斯韦分布：</w:t>
      </w:r>
    </w:p>
    <w:p w14:paraId="76175C70">
      <w:pPr>
        <w:spacing w:before="120" w:after="120" w:line="360" w:lineRule="auto"/>
        <w:ind w:firstLine="0"/>
        <w:jc w:val="center"/>
      </w:pPr>
      <w:r>
        <w:rPr>
          <w:rFonts w:ascii="Times New Roman" w:hAnsi="Times New Roman" w:eastAsia="Times New Roman" w:cs="Times New Roman"/>
          <w:sz w:val="24"/>
          <w:szCs w:val="24"/>
        </w:rPr>
        <w:t>f(v) = 4π (m / 2π k_B T)^{3/2} v^2 exp(-m v^2 / 2 k_B T)</w:t>
      </w:r>
    </w:p>
    <w:p w14:paraId="6FBF8099">
      <w:pPr>
        <w:spacing w:before="240" w:after="120" w:line="360" w:lineRule="auto"/>
        <w:ind w:firstLine="0"/>
        <w:jc w:val="left"/>
      </w:pPr>
      <w:r>
        <w:rPr>
          <w:rFonts w:ascii="黑体" w:hAnsi="黑体" w:eastAsia="黑体" w:cs="黑体"/>
          <w:b/>
          <w:bCs/>
          <w:sz w:val="28"/>
          <w:szCs w:val="28"/>
        </w:rPr>
        <w:t>3.2  热力学过程模拟</w:t>
      </w:r>
    </w:p>
    <w:p w14:paraId="142D3EE1">
      <w:pPr>
        <w:spacing w:before="0" w:after="0" w:line="360" w:lineRule="auto"/>
        <w:ind w:firstLine="480"/>
        <w:jc w:val="both"/>
      </w:pPr>
      <w:r>
        <w:rPr>
          <w:rFonts w:ascii="宋体" w:hAnsi="宋体" w:eastAsia="宋体" w:cs="宋体"/>
          <w:sz w:val="24"/>
          <w:szCs w:val="24"/>
        </w:rPr>
        <w:t>两个容器通过隔热开关分别实现绝热过程与等温过程的模拟，这是本作品教学功能的核心差异化设计。</w:t>
      </w:r>
    </w:p>
    <w:p w14:paraId="16314BC6">
      <w:pPr>
        <w:spacing w:before="180" w:after="60" w:line="360" w:lineRule="auto"/>
        <w:ind w:firstLine="0"/>
        <w:jc w:val="left"/>
      </w:pPr>
      <w:r>
        <w:rPr>
          <w:rFonts w:ascii="黑体" w:hAnsi="黑体" w:eastAsia="黑体" w:cs="黑体"/>
          <w:b/>
          <w:bCs/>
          <w:sz w:val="24"/>
          <w:szCs w:val="24"/>
        </w:rPr>
        <w:t>3.2.1  绝热过程（隔热模式）</w:t>
      </w:r>
    </w:p>
    <w:p w14:paraId="65696391">
      <w:pPr>
        <w:spacing w:before="0" w:after="0" w:line="360" w:lineRule="auto"/>
        <w:ind w:firstLine="480"/>
        <w:jc w:val="both"/>
      </w:pPr>
      <w:r>
        <w:rPr>
          <w:rFonts w:ascii="宋体" w:hAnsi="宋体" w:eastAsia="宋体" w:cs="宋体"/>
          <w:sz w:val="24"/>
          <w:szCs w:val="24"/>
        </w:rPr>
        <w:t>隔热模式下，容器与外界无热交换，系统内能的变化仅来源于活塞做功。对于单原子理想气体，绝热指数 γ = C_p/C_v = 5/3。根据热力学基本关系，准静态绝热过程中</w:t>
      </w:r>
    </w:p>
    <w:p w14:paraId="2BF4A20D">
      <w:pPr>
        <w:spacing w:before="120" w:after="120" w:line="360" w:lineRule="auto"/>
        <w:ind w:firstLine="0"/>
        <w:jc w:val="center"/>
      </w:pPr>
      <w:r>
        <w:rPr>
          <w:rFonts w:ascii="Times New Roman" w:hAnsi="Times New Roman" w:eastAsia="Times New Roman" w:cs="Times New Roman"/>
          <w:sz w:val="24"/>
          <w:szCs w:val="24"/>
        </w:rPr>
        <w:t>T × V^{γ-1} = const,    ⟨E_k⟩ ∝ V^{-γ+1} = V^{-2/3}</w:t>
      </w:r>
    </w:p>
    <w:p w14:paraId="16C23A9C">
      <w:pPr>
        <w:spacing w:before="0" w:after="0" w:line="360" w:lineRule="auto"/>
        <w:ind w:firstLine="480"/>
        <w:jc w:val="both"/>
      </w:pPr>
      <w:r>
        <w:rPr>
          <w:rFonts w:ascii="宋体" w:hAnsi="宋体" w:eastAsia="宋体" w:cs="宋体"/>
          <w:sz w:val="24"/>
          <w:szCs w:val="24"/>
        </w:rPr>
        <w:t>数值实现中，引擎记录初始状态（体积 V_0、平均动能 K_0）。在每个模拟帧结束时，若处于隔热模式，计算当前体积 V 并确定目标平均动能：</w:t>
      </w:r>
    </w:p>
    <w:p w14:paraId="24B8F7F9">
      <w:pPr>
        <w:spacing w:before="120" w:after="120" w:line="360" w:lineRule="auto"/>
        <w:ind w:firstLine="0"/>
        <w:jc w:val="center"/>
      </w:pPr>
      <w:r>
        <w:rPr>
          <w:rFonts w:ascii="Times New Roman" w:hAnsi="Times New Roman" w:eastAsia="Times New Roman" w:cs="Times New Roman"/>
          <w:sz w:val="24"/>
          <w:szCs w:val="24"/>
        </w:rPr>
        <w:t>K_target = K_0 × (V / V_0)^{-2/3}</w:t>
      </w:r>
    </w:p>
    <w:p w14:paraId="1BDC5F4C">
      <w:pPr>
        <w:spacing w:before="0" w:after="0" w:line="360" w:lineRule="auto"/>
        <w:ind w:firstLine="480"/>
        <w:jc w:val="both"/>
      </w:pPr>
      <w:r>
        <w:rPr>
          <w:rFonts w:ascii="宋体" w:hAnsi="宋体" w:eastAsia="宋体" w:cs="宋体"/>
          <w:sz w:val="24"/>
          <w:szCs w:val="24"/>
        </w:rPr>
        <w:t>随后对分子速度进行两阶段处理。第一阶段：每帧以 20% 的混合比例向目标麦克斯韦分布弛豫（与 3.2.2 节的非隔热热浴相同机制），使分子速度分布维持麦克斯韦形态而非退化为非物理分布。第二阶段：计算当前系统的平均动能 K_curr，以标度因子 s = √(K_target / K_curr) 统一缩放所有分子的速度。标度因子限制在 [0.15, 8] 的合理范围内，防止数值异常。</w:t>
      </w:r>
    </w:p>
    <w:p w14:paraId="54BB2892">
      <w:pPr>
        <w:spacing w:before="0" w:after="0" w:line="360" w:lineRule="auto"/>
        <w:ind w:firstLine="480"/>
        <w:jc w:val="both"/>
      </w:pPr>
      <w:r>
        <w:rPr>
          <w:rFonts w:ascii="宋体" w:hAnsi="宋体" w:eastAsia="宋体" w:cs="宋体"/>
          <w:sz w:val="24"/>
          <w:szCs w:val="24"/>
        </w:rPr>
        <w:t>这种「混合保持分布形状+整体标定满足能量约束」的两步方案，确保了隔热条件下分子始终服从当前温度对应的麦克斯韦分布，同时总动能精确满足绝热关系。</w:t>
      </w:r>
    </w:p>
    <w:p w14:paraId="107B6757">
      <w:pPr>
        <w:spacing w:before="180" w:after="60" w:line="360" w:lineRule="auto"/>
        <w:ind w:firstLine="0"/>
        <w:jc w:val="left"/>
      </w:pPr>
      <w:r>
        <w:rPr>
          <w:rFonts w:ascii="黑体" w:hAnsi="黑体" w:eastAsia="黑体" w:cs="黑体"/>
          <w:b/>
          <w:bCs/>
          <w:sz w:val="24"/>
          <w:szCs w:val="24"/>
        </w:rPr>
        <w:t>3.2.2  等温过程（非隔热模式）</w:t>
      </w:r>
    </w:p>
    <w:p w14:paraId="6165DDED">
      <w:pPr>
        <w:spacing w:before="0" w:after="0" w:line="360" w:lineRule="auto"/>
        <w:ind w:firstLine="480"/>
        <w:jc w:val="both"/>
      </w:pPr>
      <w:r>
        <w:rPr>
          <w:rFonts w:ascii="宋体" w:hAnsi="宋体" w:eastAsia="宋体" w:cs="宋体"/>
          <w:sz w:val="24"/>
          <w:szCs w:val="24"/>
        </w:rPr>
        <w:t>非隔热模式下，系统模拟与恒温热浴的热接触。压缩导致的温度升高将通过「散热」过程弛豫回目标温度。实现上采用弱 Berendsen 型速度调控方案，分三步执行：</w:t>
      </w:r>
    </w:p>
    <w:p w14:paraId="6CEE523E">
      <w:pPr>
        <w:spacing w:before="0" w:after="0" w:line="360" w:lineRule="auto"/>
        <w:ind w:firstLine="480"/>
        <w:jc w:val="both"/>
      </w:pPr>
      <w:r>
        <w:rPr>
          <w:rFonts w:ascii="宋体" w:hAnsi="宋体" w:eastAsia="宋体" w:cs="宋体"/>
          <w:b/>
          <w:bCs/>
          <w:sz w:val="24"/>
          <w:szCs w:val="24"/>
        </w:rPr>
        <w:t>速度混合：</w:t>
      </w:r>
      <w:r>
        <w:rPr>
          <w:rFonts w:ascii="宋体" w:hAnsi="宋体" w:eastAsia="宋体" w:cs="宋体"/>
          <w:sz w:val="24"/>
          <w:szCs w:val="24"/>
        </w:rPr>
        <w:t>对每个分子，以 20% 的比例混入从目标温度 T_bath 对应的麦克斯韦分布中采样的随机速度分量。即 v_i ← 0.8 v_i + 0.2 v_MB，其中 v_MB 按 3.1.3 节方法采样。</w:t>
      </w:r>
    </w:p>
    <w:p w14:paraId="32FB3928">
      <w:pPr>
        <w:spacing w:before="0" w:after="0" w:line="360" w:lineRule="auto"/>
        <w:ind w:firstLine="480"/>
        <w:jc w:val="both"/>
      </w:pPr>
      <w:r>
        <w:rPr>
          <w:rFonts w:ascii="宋体" w:hAnsi="宋体" w:eastAsia="宋体" w:cs="宋体"/>
          <w:b/>
          <w:bCs/>
          <w:sz w:val="24"/>
          <w:szCs w:val="24"/>
        </w:rPr>
        <w:t>能量标定：</w:t>
      </w:r>
      <w:r>
        <w:rPr>
          <w:rFonts w:ascii="宋体" w:hAnsi="宋体" w:eastAsia="宋体" w:cs="宋体"/>
          <w:sz w:val="24"/>
          <w:szCs w:val="24"/>
        </w:rPr>
        <w:t>计算混合后系统的当前平均动能 K_curr 与目标动能 K_target = (3/2) k_B T_bath 的比值，以标度因子 s = √(K_target / K_curr) 统一缩放所有速度。标度因子限制在 [0.15, 6] 范围内。</w:t>
      </w:r>
    </w:p>
    <w:p w14:paraId="64D91FF4">
      <w:pPr>
        <w:spacing w:before="0" w:after="0" w:line="360" w:lineRule="auto"/>
        <w:ind w:firstLine="480"/>
        <w:jc w:val="both"/>
      </w:pPr>
      <w:r>
        <w:rPr>
          <w:rFonts w:ascii="宋体" w:hAnsi="宋体" w:eastAsia="宋体" w:cs="宋体"/>
          <w:b/>
          <w:bCs/>
          <w:sz w:val="24"/>
          <w:szCs w:val="24"/>
        </w:rPr>
        <w:t>迭代：</w:t>
      </w:r>
      <w:r>
        <w:rPr>
          <w:rFonts w:ascii="宋体" w:hAnsi="宋体" w:eastAsia="宋体" w:cs="宋体"/>
          <w:sz w:val="24"/>
          <w:szCs w:val="24"/>
        </w:rPr>
        <w:t>以上两步在每帧中重复执行一次，确保在经历活塞体积变化后系统能迅速弛豫至热浴温度。</w:t>
      </w:r>
    </w:p>
    <w:p w14:paraId="28CF524F">
      <w:pPr>
        <w:spacing w:before="0" w:after="0" w:line="360" w:lineRule="auto"/>
        <w:ind w:firstLine="480"/>
        <w:jc w:val="both"/>
      </w:pPr>
      <w:r>
        <w:rPr>
          <w:rFonts w:ascii="宋体" w:hAnsi="宋体" w:eastAsia="宋体" w:cs="宋体"/>
          <w:sz w:val="24"/>
          <w:szCs w:val="24"/>
        </w:rPr>
        <w:t>值得指出的是，非隔热模式下的压缩-散热过程在视觉上表现为：压缩瞬间分子加速（温度上升），随后在热浴耦合下分子逐步减速，速率分布峰位向低温方向回移。这一动态过程是学生理解「压缩产热-恒温散热」物理图像的直观方式。</w:t>
      </w:r>
    </w:p>
    <w:p w14:paraId="3068D133">
      <w:pPr>
        <w:spacing w:before="240" w:after="120" w:line="360" w:lineRule="auto"/>
        <w:ind w:firstLine="0"/>
        <w:jc w:val="left"/>
      </w:pPr>
      <w:r>
        <w:rPr>
          <w:rFonts w:ascii="黑体" w:hAnsi="黑体" w:eastAsia="黑体" w:cs="黑体"/>
          <w:b/>
          <w:bCs/>
          <w:sz w:val="28"/>
          <w:szCs w:val="28"/>
        </w:rPr>
        <w:t>3.3  三维可视化引擎</w:t>
      </w:r>
    </w:p>
    <w:p w14:paraId="3DB53F75">
      <w:pPr>
        <w:spacing w:before="0" w:after="0" w:line="360" w:lineRule="auto"/>
        <w:ind w:firstLine="480"/>
        <w:jc w:val="both"/>
      </w:pPr>
      <w:r>
        <w:rPr>
          <w:rFonts w:ascii="宋体" w:hAnsi="宋体" w:eastAsia="宋体" w:cs="宋体"/>
          <w:sz w:val="24"/>
          <w:szCs w:val="24"/>
        </w:rPr>
        <w:t>三维可视化基于 Three.js r160+ 构建，每个容器拥有独立的场景（Scene）、透视相机（PerspectiveCamera）和渲染器（WebGLRenderer）。以下分述关键实现细节。</w:t>
      </w:r>
    </w:p>
    <w:p w14:paraId="597EB467">
      <w:pPr>
        <w:spacing w:before="180" w:after="60" w:line="360" w:lineRule="auto"/>
        <w:ind w:firstLine="0"/>
        <w:jc w:val="left"/>
      </w:pPr>
      <w:r>
        <w:rPr>
          <w:rFonts w:ascii="黑体" w:hAnsi="黑体" w:eastAsia="黑体" w:cs="黑体"/>
          <w:b/>
          <w:bCs/>
          <w:sz w:val="24"/>
          <w:szCs w:val="24"/>
        </w:rPr>
        <w:t>3.3.1  场景构建</w:t>
      </w:r>
    </w:p>
    <w:p w14:paraId="7A7102F2">
      <w:pPr>
        <w:spacing w:before="0" w:after="0" w:line="360" w:lineRule="auto"/>
        <w:ind w:firstLine="480"/>
        <w:jc w:val="both"/>
      </w:pPr>
      <w:r>
        <w:rPr>
          <w:rFonts w:ascii="宋体" w:hAnsi="宋体" w:eastAsia="宋体" w:cs="宋体"/>
          <w:sz w:val="24"/>
          <w:szCs w:val="24"/>
        </w:rPr>
        <w:t>每个容器的场景包含以下元素：</w:t>
      </w:r>
    </w:p>
    <w:p w14:paraId="6F5818C2">
      <w:pPr>
        <w:spacing w:before="0" w:after="0" w:line="360" w:lineRule="auto"/>
        <w:ind w:firstLine="480"/>
        <w:jc w:val="both"/>
      </w:pPr>
      <w:r>
        <w:rPr>
          <w:rFonts w:ascii="宋体" w:hAnsi="宋体" w:eastAsia="宋体" w:cs="宋体"/>
          <w:b/>
          <w:bCs/>
          <w:sz w:val="24"/>
          <w:szCs w:val="24"/>
        </w:rPr>
        <w:t>容器框架：</w:t>
      </w:r>
      <w:r>
        <w:rPr>
          <w:rFonts w:ascii="宋体" w:hAnsi="宋体" w:eastAsia="宋体" w:cs="宋体"/>
          <w:sz w:val="24"/>
          <w:szCs w:val="24"/>
        </w:rPr>
        <w:t>使用 EdgesGeometry + LineBasicMaterial 绘制长方体线框，表示容器边界。线框颜色为浅灰色，与深色背景形成清晰对比。</w:t>
      </w:r>
    </w:p>
    <w:p w14:paraId="722F9173">
      <w:pPr>
        <w:spacing w:before="0" w:after="0" w:line="360" w:lineRule="auto"/>
        <w:ind w:firstLine="480"/>
        <w:jc w:val="both"/>
      </w:pPr>
      <w:r>
        <w:rPr>
          <w:rFonts w:ascii="宋体" w:hAnsi="宋体" w:eastAsia="宋体" w:cs="宋体"/>
          <w:b/>
          <w:bCs/>
          <w:sz w:val="24"/>
          <w:szCs w:val="24"/>
        </w:rPr>
        <w:t>半透明面板：</w:t>
      </w:r>
      <w:r>
        <w:rPr>
          <w:rFonts w:ascii="宋体" w:hAnsi="宋体" w:eastAsia="宋体" w:cs="宋体"/>
          <w:sz w:val="24"/>
          <w:szCs w:val="24"/>
        </w:rPr>
        <w:t>容器六个面中，除正对用户的两个面外的其余四个面以半透明材质（MeshPhysicalMaterial, opacity 可调）渲染，使用户能透视容器内部观察分子运动，同时感知容器的空间范围。</w:t>
      </w:r>
    </w:p>
    <w:p w14:paraId="4221D198">
      <w:pPr>
        <w:spacing w:before="0" w:after="0" w:line="360" w:lineRule="auto"/>
        <w:ind w:firstLine="480"/>
        <w:jc w:val="both"/>
      </w:pPr>
      <w:r>
        <w:rPr>
          <w:rFonts w:ascii="宋体" w:hAnsi="宋体" w:eastAsia="宋体" w:cs="宋体"/>
          <w:b/>
          <w:bCs/>
          <w:sz w:val="24"/>
          <w:szCs w:val="24"/>
        </w:rPr>
        <w:t>活塞面板：</w:t>
      </w:r>
      <w:r>
        <w:rPr>
          <w:rFonts w:ascii="宋体" w:hAnsi="宋体" w:eastAsia="宋体" w:cs="宋体"/>
          <w:sz w:val="24"/>
          <w:szCs w:val="24"/>
        </w:rPr>
        <w:t>在 x = xMax 处绘制一个不透明平面，标示活塞位置。该面板随活塞滑块调节而实时平移。</w:t>
      </w:r>
    </w:p>
    <w:p w14:paraId="2B32C90F">
      <w:pPr>
        <w:spacing w:before="0" w:after="0" w:line="360" w:lineRule="auto"/>
        <w:ind w:firstLine="480"/>
        <w:jc w:val="both"/>
      </w:pPr>
      <w:r>
        <w:rPr>
          <w:rFonts w:ascii="宋体" w:hAnsi="宋体" w:eastAsia="宋体" w:cs="宋体"/>
          <w:b/>
          <w:bCs/>
          <w:sz w:val="24"/>
          <w:szCs w:val="24"/>
        </w:rPr>
        <w:t>分子球体：</w:t>
      </w:r>
      <w:r>
        <w:rPr>
          <w:rFonts w:ascii="宋体" w:hAnsi="宋体" w:eastAsia="宋体" w:cs="宋体"/>
          <w:sz w:val="24"/>
          <w:szCs w:val="24"/>
        </w:rPr>
        <w:t>使用 InstancedMesh 以高效渲染大量分子球体。每个分子实例的变换矩阵（位置）和颜色矩阵在每帧更新，避免了逐个 Draw Call 的性能开销。</w:t>
      </w:r>
    </w:p>
    <w:p w14:paraId="265341EB">
      <w:pPr>
        <w:spacing w:before="180" w:after="60" w:line="360" w:lineRule="auto"/>
        <w:ind w:firstLine="0"/>
        <w:jc w:val="left"/>
      </w:pPr>
      <w:r>
        <w:rPr>
          <w:rFonts w:ascii="黑体" w:hAnsi="黑体" w:eastAsia="黑体" w:cs="黑体"/>
          <w:b/>
          <w:bCs/>
          <w:sz w:val="24"/>
          <w:szCs w:val="24"/>
        </w:rPr>
        <w:t>3.3.2  分子着色方案</w:t>
      </w:r>
    </w:p>
    <w:p w14:paraId="314840D2">
      <w:pPr>
        <w:spacing w:before="0" w:after="0" w:line="360" w:lineRule="auto"/>
        <w:ind w:firstLine="480"/>
        <w:jc w:val="both"/>
      </w:pPr>
      <w:r>
        <w:rPr>
          <w:rFonts w:ascii="宋体" w:hAnsi="宋体" w:eastAsia="宋体" w:cs="宋体"/>
          <w:sz w:val="24"/>
          <w:szCs w:val="24"/>
        </w:rPr>
        <w:t>分子颜色根据其瞬时速率 |v| 映射到预设的冷-暖渐变色谱：低速分子呈蓝色，中速分子呈青/绿色，高速分子呈黄色/红色。速率到颜色的映射采用归一化速率在此色谱上的线性插值。这一视觉编码使学生能够直观感受速率分布的变化——例如，绝热压缩后大量分子由蓝色变红（整体加速），等温压缩-散热后分子颜色逐渐恢复原状。</w:t>
      </w:r>
    </w:p>
    <w:p w14:paraId="36FAE3B5">
      <w:pPr>
        <w:spacing w:before="0" w:after="0" w:line="360" w:lineRule="auto"/>
        <w:ind w:firstLine="480"/>
        <w:jc w:val="both"/>
      </w:pPr>
      <w:r>
        <w:rPr>
          <w:rFonts w:ascii="宋体" w:hAnsi="宋体" w:eastAsia="宋体" w:cs="宋体"/>
          <w:sz w:val="24"/>
          <w:szCs w:val="24"/>
        </w:rPr>
        <w:t>在实际实现中，颜色映射以 GLSL 着色器中的查找方式完成：每个分子实例携带一个标量速率值，片元着色器根据该值从一维渐变色带纹理中采样得到最终颜色。这种 GPU 端映射方式比 CPU 端逐个更新实例颜色矩阵更加高效。</w:t>
      </w:r>
    </w:p>
    <w:p w14:paraId="7C24F2BC">
      <w:pPr>
        <w:spacing w:before="180" w:after="60" w:line="360" w:lineRule="auto"/>
        <w:ind w:firstLine="0"/>
        <w:jc w:val="left"/>
      </w:pPr>
      <w:r>
        <w:rPr>
          <w:rFonts w:ascii="黑体" w:hAnsi="黑体" w:eastAsia="黑体" w:cs="黑体"/>
          <w:b/>
          <w:bCs/>
          <w:sz w:val="24"/>
          <w:szCs w:val="24"/>
        </w:rPr>
        <w:t>3.3.3  相机控制与视角联动</w:t>
      </w:r>
    </w:p>
    <w:p w14:paraId="5ADE73D7">
      <w:pPr>
        <w:spacing w:before="0" w:after="0" w:line="360" w:lineRule="auto"/>
        <w:ind w:firstLine="480"/>
        <w:jc w:val="both"/>
      </w:pPr>
      <w:r>
        <w:rPr>
          <w:rFonts w:ascii="宋体" w:hAnsi="宋体" w:eastAsia="宋体" w:cs="宋体"/>
          <w:sz w:val="24"/>
          <w:szCs w:val="24"/>
        </w:rPr>
        <w:t>每个容器绑定独立的 OrbitControls 控制器，支持鼠标拖拽旋转视角、滚轮缩放、右键平移。系统提供「联动视角」复选框：勾选后，对任一容器的视角操作将实时同步到另一容器。实现上，当联动开启时，视角被操作的容器的相机球坐标（方位角 θ、极角 φ、距离 radius）被镜像复制到另一容器的 OrbitControls 对象并强制更新。</w:t>
      </w:r>
    </w:p>
    <w:p w14:paraId="04B1B779">
      <w:pPr>
        <w:spacing w:before="240" w:after="120" w:line="360" w:lineRule="auto"/>
        <w:ind w:firstLine="0"/>
        <w:jc w:val="left"/>
      </w:pPr>
      <w:r>
        <w:rPr>
          <w:rFonts w:ascii="黑体" w:hAnsi="黑体" w:eastAsia="黑体" w:cs="黑体"/>
          <w:b/>
          <w:bCs/>
          <w:sz w:val="28"/>
          <w:szCs w:val="28"/>
        </w:rPr>
        <w:t>3.4  速率分布直方图</w:t>
      </w:r>
    </w:p>
    <w:p w14:paraId="4B8DD22D">
      <w:pPr>
        <w:spacing w:before="0" w:after="0" w:line="360" w:lineRule="auto"/>
        <w:ind w:firstLine="480"/>
        <w:jc w:val="both"/>
      </w:pPr>
      <w:r>
        <w:rPr>
          <w:rFonts w:ascii="宋体" w:hAnsi="宋体" w:eastAsia="宋体" w:cs="宋体"/>
          <w:sz w:val="24"/>
          <w:szCs w:val="24"/>
        </w:rPr>
        <w:t>每个容器下方的直方图区域使用 HTML5 Canvas 2D API 独立绘制，实时反映当前时刻分子的速率分布。绘制流程如下：</w:t>
      </w:r>
    </w:p>
    <w:p w14:paraId="4483BAA9">
      <w:pPr>
        <w:spacing w:before="0" w:after="0" w:line="360" w:lineRule="auto"/>
        <w:ind w:firstLine="480"/>
        <w:jc w:val="both"/>
      </w:pPr>
      <w:r>
        <w:rPr>
          <w:rFonts w:ascii="宋体" w:hAnsi="宋体" w:eastAsia="宋体" w:cs="宋体"/>
          <w:b/>
          <w:bCs/>
          <w:sz w:val="24"/>
          <w:szCs w:val="24"/>
        </w:rPr>
        <w:t>（1）统计：</w:t>
      </w:r>
      <w:r>
        <w:rPr>
          <w:rFonts w:ascii="宋体" w:hAnsi="宋体" w:eastAsia="宋体" w:cs="宋体"/>
          <w:sz w:val="24"/>
          <w:szCs w:val="24"/>
        </w:rPr>
        <w:t>遍历所有分子，计算各自的速率 |v_i|，落入预设的等宽速率区间（bin），统计各区间的频数。</w:t>
      </w:r>
    </w:p>
    <w:p w14:paraId="6D1A05A7">
      <w:pPr>
        <w:spacing w:before="0" w:after="0" w:line="360" w:lineRule="auto"/>
        <w:ind w:firstLine="480"/>
        <w:jc w:val="both"/>
      </w:pPr>
      <w:r>
        <w:rPr>
          <w:rFonts w:ascii="宋体" w:hAnsi="宋体" w:eastAsia="宋体" w:cs="宋体"/>
          <w:b/>
          <w:bCs/>
          <w:sz w:val="24"/>
          <w:szCs w:val="24"/>
        </w:rPr>
        <w:t>（2）归一化：</w:t>
      </w:r>
      <w:r>
        <w:rPr>
          <w:rFonts w:ascii="宋体" w:hAnsi="宋体" w:eastAsia="宋体" w:cs="宋体"/>
          <w:sz w:val="24"/>
          <w:szCs w:val="24"/>
        </w:rPr>
        <w:t>将频数除以分子总数与区间宽度，得到概率密度函数的近似值 f(|v|)。</w:t>
      </w:r>
    </w:p>
    <w:p w14:paraId="144C519D">
      <w:pPr>
        <w:spacing w:before="0" w:after="0" w:line="360" w:lineRule="auto"/>
        <w:ind w:firstLine="480"/>
        <w:jc w:val="both"/>
      </w:pPr>
      <w:r>
        <w:rPr>
          <w:rFonts w:ascii="宋体" w:hAnsi="宋体" w:eastAsia="宋体" w:cs="宋体"/>
          <w:b/>
          <w:bCs/>
          <w:sz w:val="24"/>
          <w:szCs w:val="24"/>
        </w:rPr>
        <w:t>（3）理论曲线叠加：</w:t>
      </w:r>
      <w:r>
        <w:rPr>
          <w:rFonts w:ascii="宋体" w:hAnsi="宋体" w:eastAsia="宋体" w:cs="宋体"/>
          <w:sz w:val="24"/>
          <w:szCs w:val="24"/>
        </w:rPr>
        <w:t>根据当前系统的温度，计算理论麦克斯韦分布曲线 f_MB(v) 并以虚线叠加在同一图上，便于学生对比模拟数据与理论预测。</w:t>
      </w:r>
    </w:p>
    <w:p w14:paraId="6E5B35BA">
      <w:pPr>
        <w:spacing w:before="0" w:after="0" w:line="360" w:lineRule="auto"/>
        <w:ind w:firstLine="480"/>
        <w:jc w:val="both"/>
      </w:pPr>
      <w:r>
        <w:rPr>
          <w:rFonts w:ascii="宋体" w:hAnsi="宋体" w:eastAsia="宋体" w:cs="宋体"/>
          <w:b/>
          <w:bCs/>
          <w:sz w:val="24"/>
          <w:szCs w:val="24"/>
        </w:rPr>
        <w:t>（4）横轴固定：</w:t>
      </w:r>
      <w:r>
        <w:rPr>
          <w:rFonts w:ascii="宋体" w:hAnsi="宋体" w:eastAsia="宋体" w:cs="宋体"/>
          <w:sz w:val="24"/>
          <w:szCs w:val="24"/>
        </w:rPr>
        <w:t>直方图的横轴（速率范围）在初始化时根据初始温度估算上界并固定，此后不再自动调整。这样，压缩导致的峰位右移现象直接体现为分布整体向右侧移动，视觉对比直观。</w:t>
      </w:r>
    </w:p>
    <w:p w14:paraId="1AA14D6D">
      <w:pPr>
        <w:spacing w:before="0" w:after="0" w:line="360" w:lineRule="auto"/>
        <w:ind w:firstLine="480"/>
        <w:jc w:val="both"/>
      </w:pPr>
      <w:r>
        <w:rPr>
          <w:rFonts w:ascii="宋体" w:hAnsi="宋体" w:eastAsia="宋体" w:cs="宋体"/>
          <w:sz w:val="24"/>
          <w:szCs w:val="24"/>
        </w:rPr>
        <w:t>直方图使用 Canvas 2D API 手动绘制而非依赖第三方图表库，减少了外部依赖并使样式可完全定制。</w:t>
      </w:r>
    </w:p>
    <w:p w14:paraId="32E072D9">
      <w:pPr>
        <w:spacing w:before="240" w:after="120" w:line="360" w:lineRule="auto"/>
        <w:ind w:firstLine="0"/>
        <w:jc w:val="left"/>
      </w:pPr>
      <w:r>
        <w:rPr>
          <w:rFonts w:ascii="黑体" w:hAnsi="黑体" w:eastAsia="黑体" w:cs="黑体"/>
          <w:b/>
          <w:bCs/>
          <w:sz w:val="28"/>
          <w:szCs w:val="28"/>
        </w:rPr>
        <w:t>3.5  双容器对比实验机制</w:t>
      </w:r>
    </w:p>
    <w:p w14:paraId="544B2A41">
      <w:pPr>
        <w:spacing w:before="0" w:after="0" w:line="360" w:lineRule="auto"/>
        <w:ind w:firstLine="480"/>
        <w:jc w:val="both"/>
      </w:pPr>
      <w:r>
        <w:rPr>
          <w:rFonts w:ascii="宋体" w:hAnsi="宋体" w:eastAsia="宋体" w:cs="宋体"/>
          <w:sz w:val="24"/>
          <w:szCs w:val="24"/>
        </w:rPr>
        <w:t>双容器对比是作品教学方法的核心创新。其实现要点如下：</w:t>
      </w:r>
    </w:p>
    <w:p w14:paraId="3358FAF9">
      <w:pPr>
        <w:spacing w:before="0" w:after="0" w:line="360" w:lineRule="auto"/>
        <w:ind w:firstLine="480"/>
        <w:jc w:val="both"/>
      </w:pPr>
      <w:r>
        <w:rPr>
          <w:rFonts w:ascii="宋体" w:hAnsi="宋体" w:eastAsia="宋体" w:cs="宋体"/>
          <w:b/>
          <w:bCs/>
          <w:sz w:val="24"/>
          <w:szCs w:val="24"/>
        </w:rPr>
        <w:t>「同步初始条件」按钮：</w:t>
      </w:r>
      <w:r>
        <w:rPr>
          <w:rFonts w:ascii="宋体" w:hAnsi="宋体" w:eastAsia="宋体" w:cs="宋体"/>
          <w:sz w:val="24"/>
          <w:szCs w:val="24"/>
        </w:rPr>
        <w:t>点击后，两个容器内的分子位置和速度被重置为完全相同的随机初始状态（相同的随机种子或相同的采样结果），确保对比实验从完全一致的初始条件出发。同时两侧的活塞位置、局部温度也被重置相同。</w:t>
      </w:r>
    </w:p>
    <w:p w14:paraId="208BABA5">
      <w:pPr>
        <w:spacing w:before="0" w:after="0" w:line="360" w:lineRule="auto"/>
        <w:ind w:firstLine="480"/>
        <w:jc w:val="both"/>
      </w:pPr>
      <w:r>
        <w:rPr>
          <w:rFonts w:ascii="宋体" w:hAnsi="宋体" w:eastAsia="宋体" w:cs="宋体"/>
          <w:b/>
          <w:bCs/>
          <w:sz w:val="24"/>
          <w:szCs w:val="24"/>
        </w:rPr>
        <w:t>「联动活塞」复选框：</w:t>
      </w:r>
      <w:r>
        <w:rPr>
          <w:rFonts w:ascii="宋体" w:hAnsi="宋体" w:eastAsia="宋体" w:cs="宋体"/>
          <w:sz w:val="24"/>
          <w:szCs w:val="24"/>
        </w:rPr>
        <w:t>勾选后，调节任一容器的活塞滑块将同步驱动另一容器的活塞到相同位置。这样在对比实验中，学生只需操作一次即可使两个容器的体积同步变化，仅保留隔热/非隔热作为唯一自变量。</w:t>
      </w:r>
    </w:p>
    <w:p w14:paraId="223AE08B">
      <w:pPr>
        <w:spacing w:before="0" w:after="0" w:line="360" w:lineRule="auto"/>
        <w:ind w:firstLine="480"/>
        <w:jc w:val="both"/>
      </w:pPr>
      <w:r>
        <w:rPr>
          <w:rFonts w:ascii="宋体" w:hAnsi="宋体" w:eastAsia="宋体" w:cs="宋体"/>
          <w:b/>
          <w:bCs/>
          <w:sz w:val="24"/>
          <w:szCs w:val="24"/>
        </w:rPr>
        <w:t>「联动视角」复选框：</w:t>
      </w:r>
      <w:r>
        <w:rPr>
          <w:rFonts w:ascii="宋体" w:hAnsi="宋体" w:eastAsia="宋体" w:cs="宋体"/>
          <w:sz w:val="24"/>
          <w:szCs w:val="24"/>
        </w:rPr>
        <w:t>勾选后，两个容器的三维相机视角保持实时同步，方便从同一角度观察对比。</w:t>
      </w:r>
    </w:p>
    <w:p w14:paraId="2F75132B">
      <w:pPr>
        <w:spacing w:before="0" w:after="0" w:line="360" w:lineRule="auto"/>
        <w:ind w:firstLine="480"/>
        <w:jc w:val="both"/>
      </w:pPr>
      <w:r>
        <w:rPr>
          <w:rFonts w:ascii="宋体" w:hAnsi="宋体" w:eastAsia="宋体" w:cs="宋体"/>
          <w:sz w:val="24"/>
          <w:szCs w:val="24"/>
        </w:rPr>
        <w:t>上述设计使得「控制变量法」的实验范式自然融入交互流程，引导学生以科学方法思考问题。</w:t>
      </w:r>
    </w:p>
    <w:p w14:paraId="2341BA10">
      <w:pPr>
        <w:spacing w:before="240" w:after="120" w:line="360" w:lineRule="auto"/>
        <w:ind w:firstLine="0"/>
        <w:jc w:val="left"/>
      </w:pPr>
      <w:r>
        <w:rPr>
          <w:rFonts w:ascii="黑体" w:hAnsi="黑体" w:eastAsia="黑体" w:cs="黑体"/>
          <w:b/>
          <w:bCs/>
          <w:sz w:val="28"/>
          <w:szCs w:val="28"/>
        </w:rPr>
        <w:t>3.6  数值稳定性与子步策略</w:t>
      </w:r>
    </w:p>
    <w:p w14:paraId="1DC38707">
      <w:pPr>
        <w:spacing w:before="0" w:after="0" w:line="360" w:lineRule="auto"/>
        <w:ind w:firstLine="480"/>
        <w:jc w:val="both"/>
      </w:pPr>
      <w:r>
        <w:rPr>
          <w:rFonts w:ascii="宋体" w:hAnsi="宋体" w:eastAsia="宋体" w:cs="宋体"/>
          <w:sz w:val="24"/>
          <w:szCs w:val="24"/>
        </w:rPr>
        <w:t>分子动力学模拟的数值稳定性是物理正确性的基础。本引擎采用多重策略保证模拟的鲁棒性：</w:t>
      </w:r>
    </w:p>
    <w:p w14:paraId="770D4A19">
      <w:pPr>
        <w:spacing w:before="0" w:after="0" w:line="360" w:lineRule="auto"/>
        <w:ind w:firstLine="480"/>
        <w:jc w:val="both"/>
      </w:pPr>
      <w:r>
        <w:rPr>
          <w:rFonts w:ascii="宋体" w:hAnsi="宋体" w:eastAsia="宋体" w:cs="宋体"/>
          <w:b/>
          <w:bCs/>
          <w:sz w:val="24"/>
          <w:szCs w:val="24"/>
        </w:rPr>
        <w:t>（1）子步积分。</w:t>
      </w:r>
      <w:r>
        <w:rPr>
          <w:rFonts w:ascii="宋体" w:hAnsi="宋体" w:eastAsia="宋体" w:cs="宋体"/>
          <w:sz w:val="24"/>
          <w:szCs w:val="24"/>
        </w:rPr>
        <w:t>每个渲染帧（约 16 ms）划分为 14 个子步，每个子步时间约 1.1 ms。较小的步长减小了每步内的分子位移，降低了分子在单步内「穿越」壁面或彼此穿透的概率。</w:t>
      </w:r>
    </w:p>
    <w:p w14:paraId="015395A7">
      <w:pPr>
        <w:spacing w:before="0" w:after="0" w:line="360" w:lineRule="auto"/>
        <w:ind w:firstLine="480"/>
        <w:jc w:val="both"/>
      </w:pPr>
      <w:r>
        <w:rPr>
          <w:rFonts w:ascii="宋体" w:hAnsi="宋体" w:eastAsia="宋体" w:cs="宋体"/>
          <w:b/>
          <w:bCs/>
          <w:sz w:val="24"/>
          <w:szCs w:val="24"/>
        </w:rPr>
        <w:t>（2）动壁 CCD。</w:t>
      </w:r>
      <w:r>
        <w:rPr>
          <w:rFonts w:ascii="宋体" w:hAnsi="宋体" w:eastAsia="宋体" w:cs="宋体"/>
          <w:sz w:val="24"/>
          <w:szCs w:val="24"/>
        </w:rPr>
        <w:t>如 3.1.2 节所述，在子步内对活塞壁面执行连续碰撞检测，确保动壁做功精确。</w:t>
      </w:r>
    </w:p>
    <w:p w14:paraId="1697D641">
      <w:pPr>
        <w:spacing w:before="0" w:after="0" w:line="360" w:lineRule="auto"/>
        <w:ind w:firstLine="480"/>
        <w:jc w:val="both"/>
      </w:pPr>
      <w:r>
        <w:rPr>
          <w:rFonts w:ascii="宋体" w:hAnsi="宋体" w:eastAsia="宋体" w:cs="宋体"/>
          <w:b/>
          <w:bCs/>
          <w:sz w:val="24"/>
          <w:szCs w:val="24"/>
        </w:rPr>
        <w:t>（3）速率钳制。</w:t>
      </w:r>
      <w:r>
        <w:rPr>
          <w:rFonts w:ascii="宋体" w:hAnsi="宋体" w:eastAsia="宋体" w:cs="宋体"/>
          <w:sz w:val="24"/>
          <w:szCs w:val="24"/>
        </w:rPr>
        <w:t>对分子速度分量设置软上限（防止极端速度导致数值溢出），超出上限时按比例缩放使动能不变或适当减小。</w:t>
      </w:r>
    </w:p>
    <w:p w14:paraId="59D7D383">
      <w:pPr>
        <w:spacing w:before="0" w:after="0" w:line="360" w:lineRule="auto"/>
        <w:ind w:firstLine="480"/>
        <w:jc w:val="both"/>
      </w:pPr>
      <w:r>
        <w:rPr>
          <w:rFonts w:ascii="宋体" w:hAnsi="宋体" w:eastAsia="宋体" w:cs="宋体"/>
          <w:b/>
          <w:bCs/>
          <w:sz w:val="24"/>
          <w:szCs w:val="24"/>
        </w:rPr>
        <w:t>（4）防护迭代。</w:t>
      </w:r>
      <w:r>
        <w:rPr>
          <w:rFonts w:ascii="宋体" w:hAnsi="宋体" w:eastAsia="宋体" w:cs="宋体"/>
          <w:sz w:val="24"/>
          <w:szCs w:val="24"/>
        </w:rPr>
        <w:t>动壁 CCD 循环内设置最大迭代次数（14 次），防止极端情况下因浮点误差导致死循环。</w:t>
      </w:r>
    </w:p>
    <w:p w14:paraId="23041809">
      <w:r>
        <w:br w:type="page"/>
      </w:r>
    </w:p>
    <w:p w14:paraId="484A4547">
      <w:pPr>
        <w:pageBreakBefore/>
        <w:spacing w:before="360" w:after="240" w:line="360" w:lineRule="auto"/>
        <w:ind w:firstLine="0"/>
        <w:jc w:val="center"/>
      </w:pPr>
      <w:bookmarkStart w:id="3" w:name="_Toc004"/>
      <w:r>
        <w:rPr>
          <w:rFonts w:ascii="黑体" w:hAnsi="黑体" w:eastAsia="黑体" w:cs="黑体"/>
          <w:b/>
          <w:bCs/>
          <w:sz w:val="30"/>
          <w:szCs w:val="30"/>
        </w:rPr>
        <w:t>第四章  测试报告</w:t>
      </w:r>
      <w:bookmarkEnd w:id="3"/>
    </w:p>
    <w:p w14:paraId="007348FE">
      <w:pPr>
        <w:spacing w:before="240" w:after="120" w:line="360" w:lineRule="auto"/>
        <w:ind w:firstLine="0"/>
        <w:jc w:val="left"/>
      </w:pPr>
      <w:r>
        <w:rPr>
          <w:rFonts w:ascii="黑体" w:hAnsi="黑体" w:eastAsia="黑体" w:cs="黑体"/>
          <w:b/>
          <w:bCs/>
          <w:sz w:val="28"/>
          <w:szCs w:val="28"/>
        </w:rPr>
        <w:t>4.1  功能测试</w:t>
      </w:r>
    </w:p>
    <w:p w14:paraId="1653A5D5">
      <w:pPr>
        <w:spacing w:before="0" w:after="0" w:line="360" w:lineRule="auto"/>
        <w:ind w:firstLine="480"/>
        <w:jc w:val="both"/>
      </w:pPr>
      <w:r>
        <w:rPr>
          <w:rFonts w:ascii="宋体" w:hAnsi="宋体" w:eastAsia="宋体" w:cs="宋体"/>
          <w:sz w:val="24"/>
          <w:szCs w:val="24"/>
        </w:rPr>
        <w:t>功能测试覆盖了系统的全部交互路径，确保各功能模块按预期运行。测试在 Windows 11 + Chrome 130 环境下执行。</w:t>
      </w:r>
    </w:p>
    <w:p w14:paraId="31561E51">
      <w:pPr>
        <w:spacing w:before="60" w:after="60" w:line="300" w:lineRule="auto"/>
        <w:ind w:firstLine="0"/>
        <w:jc w:val="center"/>
      </w:pPr>
      <w:r>
        <w:rPr>
          <w:rFonts w:ascii="宋体" w:hAnsi="宋体" w:eastAsia="宋体" w:cs="宋体"/>
          <w:b/>
          <w:bCs/>
          <w:sz w:val="21"/>
          <w:szCs w:val="21"/>
        </w:rPr>
        <w:t>表4-1  功能测试用例及结果</w:t>
      </w:r>
    </w:p>
    <w:tbl>
      <w:tblPr>
        <w:tblStyle w:val="11"/>
        <w:tblW w:w="83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800"/>
        <w:gridCol w:w="2912"/>
      </w:tblGrid>
      <w:tr w14:paraId="641C0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20" w:type="dxa"/>
              <w:bottom w:w="60" w:type="dxa"/>
              <w:right w:w="120" w:type="dxa"/>
            </w:tcMar>
            <w:vAlign w:val="center"/>
          </w:tcPr>
          <w:p w14:paraId="4EB8A647">
            <w:pPr>
              <w:jc w:val="center"/>
            </w:pPr>
            <w:r>
              <w:rPr>
                <w:rFonts w:ascii="黑体" w:hAnsi="黑体" w:eastAsia="黑体" w:cs="黑体"/>
                <w:b/>
                <w:bCs/>
                <w:sz w:val="21"/>
                <w:szCs w:val="21"/>
              </w:rPr>
              <w:t>测试项</w:t>
            </w:r>
          </w:p>
        </w:tc>
        <w:tc>
          <w:tcPr>
            <w:tcW w:w="18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20" w:type="dxa"/>
              <w:bottom w:w="60" w:type="dxa"/>
              <w:right w:w="120" w:type="dxa"/>
            </w:tcMar>
            <w:vAlign w:val="center"/>
          </w:tcPr>
          <w:p w14:paraId="3527826A">
            <w:pPr>
              <w:jc w:val="center"/>
            </w:pPr>
            <w:r>
              <w:rPr>
                <w:rFonts w:ascii="黑体" w:hAnsi="黑体" w:eastAsia="黑体" w:cs="黑体"/>
                <w:b/>
                <w:bCs/>
                <w:sz w:val="21"/>
                <w:szCs w:val="21"/>
              </w:rPr>
              <w:t>操作</w:t>
            </w:r>
          </w:p>
        </w:tc>
        <w:tc>
          <w:tcPr>
            <w:tcW w:w="18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20" w:type="dxa"/>
              <w:bottom w:w="60" w:type="dxa"/>
              <w:right w:w="120" w:type="dxa"/>
            </w:tcMar>
            <w:vAlign w:val="center"/>
          </w:tcPr>
          <w:p w14:paraId="5EE7F43A">
            <w:pPr>
              <w:jc w:val="center"/>
            </w:pPr>
            <w:r>
              <w:rPr>
                <w:rFonts w:ascii="黑体" w:hAnsi="黑体" w:eastAsia="黑体" w:cs="黑体"/>
                <w:b/>
                <w:bCs/>
                <w:sz w:val="21"/>
                <w:szCs w:val="21"/>
              </w:rPr>
              <w:t>预期结果</w:t>
            </w:r>
          </w:p>
        </w:tc>
        <w:tc>
          <w:tcPr>
            <w:tcW w:w="2912" w:type="dxa"/>
            <w:tcBorders>
              <w:top w:val="single" w:color="000000" w:sz="0" w:space="0"/>
              <w:left w:val="single" w:color="000000" w:sz="0" w:space="0"/>
              <w:bottom w:val="single" w:color="000000" w:sz="0" w:space="0"/>
              <w:right w:val="single" w:color="000000" w:sz="0" w:space="0"/>
            </w:tcBorders>
            <w:shd w:val="clear" w:color="auto" w:fill="D9E2F3"/>
            <w:tcMar>
              <w:top w:w="60" w:type="dxa"/>
              <w:left w:w="120" w:type="dxa"/>
              <w:bottom w:w="60" w:type="dxa"/>
              <w:right w:w="120" w:type="dxa"/>
            </w:tcMar>
            <w:vAlign w:val="center"/>
          </w:tcPr>
          <w:p w14:paraId="51AC5561">
            <w:pPr>
              <w:jc w:val="center"/>
            </w:pPr>
            <w:r>
              <w:rPr>
                <w:rFonts w:ascii="黑体" w:hAnsi="黑体" w:eastAsia="黑体" w:cs="黑体"/>
                <w:b/>
                <w:bCs/>
                <w:sz w:val="21"/>
                <w:szCs w:val="21"/>
              </w:rPr>
              <w:t>实测结果</w:t>
            </w:r>
          </w:p>
        </w:tc>
      </w:tr>
      <w:tr w14:paraId="6EF9D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1660FA23">
            <w:pPr>
              <w:jc w:val="left"/>
            </w:pPr>
            <w:r>
              <w:rPr>
                <w:rFonts w:ascii="宋体" w:hAnsi="宋体" w:eastAsia="宋体" w:cs="宋体"/>
                <w:sz w:val="21"/>
                <w:szCs w:val="21"/>
              </w:rPr>
              <w:t>初始状态生成</w:t>
            </w:r>
          </w:p>
        </w:tc>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7F828F1C">
            <w:pPr>
              <w:jc w:val="center"/>
            </w:pPr>
            <w:r>
              <w:rPr>
                <w:rFonts w:ascii="宋体" w:hAnsi="宋体" w:eastAsia="宋体" w:cs="宋体"/>
                <w:sz w:val="21"/>
                <w:szCs w:val="21"/>
              </w:rPr>
              <w:t>加载页面</w:t>
            </w:r>
          </w:p>
        </w:tc>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4957F346">
            <w:pPr>
              <w:jc w:val="center"/>
            </w:pPr>
            <w:r>
              <w:rPr>
                <w:rFonts w:ascii="宋体" w:hAnsi="宋体" w:eastAsia="宋体" w:cs="宋体"/>
                <w:sz w:val="21"/>
                <w:szCs w:val="21"/>
              </w:rPr>
              <w:t>两个容器各显示300个分子，颜色分布符合300K麦克斯韦分布</w:t>
            </w:r>
          </w:p>
        </w:tc>
        <w:tc>
          <w:tcPr>
            <w:tcW w:w="291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75514727">
            <w:pPr>
              <w:jc w:val="center"/>
            </w:pPr>
            <w:r>
              <w:rPr>
                <w:rFonts w:ascii="宋体" w:hAnsi="宋体" w:eastAsia="宋体" w:cs="宋体"/>
                <w:sz w:val="21"/>
                <w:szCs w:val="21"/>
              </w:rPr>
              <w:t>通过</w:t>
            </w:r>
          </w:p>
        </w:tc>
      </w:tr>
      <w:tr w14:paraId="41C99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73486B36">
            <w:pPr>
              <w:jc w:val="left"/>
            </w:pPr>
            <w:r>
              <w:rPr>
                <w:rFonts w:ascii="宋体" w:hAnsi="宋体" w:eastAsia="宋体" w:cs="宋体"/>
                <w:sz w:val="21"/>
                <w:szCs w:val="21"/>
              </w:rPr>
              <w:t>隔热开关</w:t>
            </w:r>
          </w:p>
        </w:tc>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2793F992">
            <w:pPr>
              <w:jc w:val="center"/>
            </w:pPr>
            <w:r>
              <w:rPr>
                <w:rFonts w:ascii="宋体" w:hAnsi="宋体" w:eastAsia="宋体" w:cs="宋体"/>
                <w:sz w:val="21"/>
                <w:szCs w:val="21"/>
              </w:rPr>
              <w:t>切换容器A隔热复选框</w:t>
            </w:r>
          </w:p>
        </w:tc>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2C16B709">
            <w:pPr>
              <w:jc w:val="center"/>
            </w:pPr>
            <w:r>
              <w:rPr>
                <w:rFonts w:ascii="宋体" w:hAnsi="宋体" w:eastAsia="宋体" w:cs="宋体"/>
                <w:sz w:val="21"/>
                <w:szCs w:val="21"/>
              </w:rPr>
              <w:t>隔热状态切换，绝热/等温行为相应改变</w:t>
            </w:r>
          </w:p>
        </w:tc>
        <w:tc>
          <w:tcPr>
            <w:tcW w:w="291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0F9156D5">
            <w:pPr>
              <w:jc w:val="center"/>
            </w:pPr>
            <w:r>
              <w:rPr>
                <w:rFonts w:ascii="宋体" w:hAnsi="宋体" w:eastAsia="宋体" w:cs="宋体"/>
                <w:sz w:val="21"/>
                <w:szCs w:val="21"/>
              </w:rPr>
              <w:t>通过</w:t>
            </w:r>
          </w:p>
        </w:tc>
      </w:tr>
      <w:tr w14:paraId="01F61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200DE248">
            <w:pPr>
              <w:jc w:val="left"/>
            </w:pPr>
            <w:r>
              <w:rPr>
                <w:rFonts w:ascii="宋体" w:hAnsi="宋体" w:eastAsia="宋体" w:cs="宋体"/>
                <w:sz w:val="21"/>
                <w:szCs w:val="21"/>
              </w:rPr>
              <w:t>温度调节</w:t>
            </w:r>
          </w:p>
        </w:tc>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0ED46914">
            <w:pPr>
              <w:jc w:val="center"/>
            </w:pPr>
            <w:r>
              <w:rPr>
                <w:rFonts w:ascii="宋体" w:hAnsi="宋体" w:eastAsia="宋体" w:cs="宋体"/>
                <w:sz w:val="21"/>
                <w:szCs w:val="21"/>
              </w:rPr>
              <w:t>拖动全局温度滑块</w:t>
            </w:r>
          </w:p>
        </w:tc>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0D19AC1C">
            <w:pPr>
              <w:jc w:val="center"/>
            </w:pPr>
            <w:r>
              <w:rPr>
                <w:rFonts w:ascii="宋体" w:hAnsi="宋体" w:eastAsia="宋体" w:cs="宋体"/>
                <w:sz w:val="21"/>
                <w:szCs w:val="21"/>
              </w:rPr>
              <w:t>非隔热容器的分子速度随温度变化</w:t>
            </w:r>
          </w:p>
        </w:tc>
        <w:tc>
          <w:tcPr>
            <w:tcW w:w="291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2DBA6235">
            <w:pPr>
              <w:jc w:val="center"/>
            </w:pPr>
            <w:r>
              <w:rPr>
                <w:rFonts w:ascii="宋体" w:hAnsi="宋体" w:eastAsia="宋体" w:cs="宋体"/>
                <w:sz w:val="21"/>
                <w:szCs w:val="21"/>
              </w:rPr>
              <w:t>通过</w:t>
            </w:r>
          </w:p>
        </w:tc>
      </w:tr>
      <w:tr w14:paraId="187A9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0DEBA575">
            <w:pPr>
              <w:jc w:val="left"/>
            </w:pPr>
            <w:r>
              <w:rPr>
                <w:rFonts w:ascii="宋体" w:hAnsi="宋体" w:eastAsia="宋体" w:cs="宋体"/>
                <w:sz w:val="21"/>
                <w:szCs w:val="21"/>
              </w:rPr>
              <w:t>活塞压缩</w:t>
            </w:r>
          </w:p>
        </w:tc>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71C7A1C6">
            <w:pPr>
              <w:jc w:val="center"/>
            </w:pPr>
            <w:r>
              <w:rPr>
                <w:rFonts w:ascii="宋体" w:hAnsi="宋体" w:eastAsia="宋体" w:cs="宋体"/>
                <w:sz w:val="21"/>
                <w:szCs w:val="21"/>
              </w:rPr>
              <w:t>点击「压缩」按钮</w:t>
            </w:r>
          </w:p>
        </w:tc>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4146F05F">
            <w:pPr>
              <w:jc w:val="center"/>
            </w:pPr>
            <w:r>
              <w:rPr>
                <w:rFonts w:ascii="宋体" w:hAnsi="宋体" w:eastAsia="宋体" w:cs="宋体"/>
                <w:sz w:val="21"/>
                <w:szCs w:val="21"/>
              </w:rPr>
              <w:t>活塞向内移动，体积减小</w:t>
            </w:r>
          </w:p>
        </w:tc>
        <w:tc>
          <w:tcPr>
            <w:tcW w:w="291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23A0AA6C">
            <w:pPr>
              <w:jc w:val="center"/>
            </w:pPr>
            <w:r>
              <w:rPr>
                <w:rFonts w:ascii="宋体" w:hAnsi="宋体" w:eastAsia="宋体" w:cs="宋体"/>
                <w:sz w:val="21"/>
                <w:szCs w:val="21"/>
              </w:rPr>
              <w:t>通过</w:t>
            </w:r>
          </w:p>
        </w:tc>
      </w:tr>
      <w:tr w14:paraId="49DDC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22CE28AE">
            <w:pPr>
              <w:jc w:val="left"/>
            </w:pPr>
            <w:r>
              <w:rPr>
                <w:rFonts w:ascii="宋体" w:hAnsi="宋体" w:eastAsia="宋体" w:cs="宋体"/>
                <w:sz w:val="21"/>
                <w:szCs w:val="21"/>
              </w:rPr>
              <w:t>活塞膨胀</w:t>
            </w:r>
          </w:p>
        </w:tc>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4E3A4CEC">
            <w:pPr>
              <w:jc w:val="center"/>
            </w:pPr>
            <w:r>
              <w:rPr>
                <w:rFonts w:ascii="宋体" w:hAnsi="宋体" w:eastAsia="宋体" w:cs="宋体"/>
                <w:sz w:val="21"/>
                <w:szCs w:val="21"/>
              </w:rPr>
              <w:t>点击「膨胀」按钮</w:t>
            </w:r>
          </w:p>
        </w:tc>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49B35C0F">
            <w:pPr>
              <w:jc w:val="center"/>
            </w:pPr>
            <w:r>
              <w:rPr>
                <w:rFonts w:ascii="宋体" w:hAnsi="宋体" w:eastAsia="宋体" w:cs="宋体"/>
                <w:sz w:val="21"/>
                <w:szCs w:val="21"/>
              </w:rPr>
              <w:t>活塞向外移动，体积增大</w:t>
            </w:r>
          </w:p>
        </w:tc>
        <w:tc>
          <w:tcPr>
            <w:tcW w:w="291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12539B69">
            <w:pPr>
              <w:jc w:val="center"/>
            </w:pPr>
            <w:r>
              <w:rPr>
                <w:rFonts w:ascii="宋体" w:hAnsi="宋体" w:eastAsia="宋体" w:cs="宋体"/>
                <w:sz w:val="21"/>
                <w:szCs w:val="21"/>
              </w:rPr>
              <w:t>通过</w:t>
            </w:r>
          </w:p>
        </w:tc>
      </w:tr>
      <w:tr w14:paraId="4AAAF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59240097">
            <w:pPr>
              <w:jc w:val="left"/>
            </w:pPr>
            <w:r>
              <w:rPr>
                <w:rFonts w:ascii="宋体" w:hAnsi="宋体" w:eastAsia="宋体" w:cs="宋体"/>
                <w:sz w:val="21"/>
                <w:szCs w:val="21"/>
              </w:rPr>
              <w:t>活塞滑块</w:t>
            </w:r>
          </w:p>
        </w:tc>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4ACA487D">
            <w:pPr>
              <w:jc w:val="center"/>
            </w:pPr>
            <w:r>
              <w:rPr>
                <w:rFonts w:ascii="宋体" w:hAnsi="宋体" w:eastAsia="宋体" w:cs="宋体"/>
                <w:sz w:val="21"/>
                <w:szCs w:val="21"/>
              </w:rPr>
              <w:t>拖动活塞滑块</w:t>
            </w:r>
          </w:p>
        </w:tc>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48F3D40A">
            <w:pPr>
              <w:jc w:val="center"/>
            </w:pPr>
            <w:r>
              <w:rPr>
                <w:rFonts w:ascii="宋体" w:hAnsi="宋体" w:eastAsia="宋体" w:cs="宋体"/>
                <w:sz w:val="21"/>
                <w:szCs w:val="21"/>
              </w:rPr>
              <w:t>活塞位置连续变化，容器几何体同步更新</w:t>
            </w:r>
          </w:p>
        </w:tc>
        <w:tc>
          <w:tcPr>
            <w:tcW w:w="291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746282BF">
            <w:pPr>
              <w:jc w:val="center"/>
            </w:pPr>
            <w:r>
              <w:rPr>
                <w:rFonts w:ascii="宋体" w:hAnsi="宋体" w:eastAsia="宋体" w:cs="宋体"/>
                <w:sz w:val="21"/>
                <w:szCs w:val="21"/>
              </w:rPr>
              <w:t>通过</w:t>
            </w:r>
          </w:p>
        </w:tc>
      </w:tr>
      <w:tr w14:paraId="6F391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7920544A">
            <w:pPr>
              <w:jc w:val="left"/>
            </w:pPr>
            <w:r>
              <w:rPr>
                <w:rFonts w:ascii="宋体" w:hAnsi="宋体" w:eastAsia="宋体" w:cs="宋体"/>
                <w:sz w:val="21"/>
                <w:szCs w:val="21"/>
              </w:rPr>
              <w:t>同步初始条件</w:t>
            </w:r>
          </w:p>
        </w:tc>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0A890E74">
            <w:pPr>
              <w:jc w:val="center"/>
            </w:pPr>
            <w:r>
              <w:rPr>
                <w:rFonts w:ascii="宋体" w:hAnsi="宋体" w:eastAsia="宋体" w:cs="宋体"/>
                <w:sz w:val="21"/>
                <w:szCs w:val="21"/>
              </w:rPr>
              <w:t>点击「同步初始条件」</w:t>
            </w:r>
          </w:p>
        </w:tc>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68CE087E">
            <w:pPr>
              <w:jc w:val="center"/>
            </w:pPr>
            <w:r>
              <w:rPr>
                <w:rFonts w:ascii="宋体" w:hAnsi="宋体" w:eastAsia="宋体" w:cs="宋体"/>
                <w:sz w:val="21"/>
                <w:szCs w:val="21"/>
              </w:rPr>
              <w:t>两侧分子状态、活塞、温度全部重置为相同</w:t>
            </w:r>
          </w:p>
        </w:tc>
        <w:tc>
          <w:tcPr>
            <w:tcW w:w="291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2FA0F5E9">
            <w:pPr>
              <w:jc w:val="center"/>
            </w:pPr>
            <w:r>
              <w:rPr>
                <w:rFonts w:ascii="宋体" w:hAnsi="宋体" w:eastAsia="宋体" w:cs="宋体"/>
                <w:sz w:val="21"/>
                <w:szCs w:val="21"/>
              </w:rPr>
              <w:t>通过</w:t>
            </w:r>
          </w:p>
        </w:tc>
      </w:tr>
      <w:tr w14:paraId="5BC33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5B4E9517">
            <w:pPr>
              <w:jc w:val="left"/>
            </w:pPr>
            <w:r>
              <w:rPr>
                <w:rFonts w:ascii="宋体" w:hAnsi="宋体" w:eastAsia="宋体" w:cs="宋体"/>
                <w:sz w:val="21"/>
                <w:szCs w:val="21"/>
              </w:rPr>
              <w:t>联动活塞</w:t>
            </w:r>
          </w:p>
        </w:tc>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2F104687">
            <w:pPr>
              <w:jc w:val="center"/>
            </w:pPr>
            <w:r>
              <w:rPr>
                <w:rFonts w:ascii="宋体" w:hAnsi="宋体" w:eastAsia="宋体" w:cs="宋体"/>
                <w:sz w:val="21"/>
                <w:szCs w:val="21"/>
              </w:rPr>
              <w:t>勾选联动活塞后拖动任一滑块</w:t>
            </w:r>
          </w:p>
        </w:tc>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2692B8F1">
            <w:pPr>
              <w:jc w:val="center"/>
            </w:pPr>
            <w:r>
              <w:rPr>
                <w:rFonts w:ascii="宋体" w:hAnsi="宋体" w:eastAsia="宋体" w:cs="宋体"/>
                <w:sz w:val="21"/>
                <w:szCs w:val="21"/>
              </w:rPr>
              <w:t>两侧活塞同步移动</w:t>
            </w:r>
          </w:p>
        </w:tc>
        <w:tc>
          <w:tcPr>
            <w:tcW w:w="291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053A0859">
            <w:pPr>
              <w:jc w:val="center"/>
            </w:pPr>
            <w:r>
              <w:rPr>
                <w:rFonts w:ascii="宋体" w:hAnsi="宋体" w:eastAsia="宋体" w:cs="宋体"/>
                <w:sz w:val="21"/>
                <w:szCs w:val="21"/>
              </w:rPr>
              <w:t>通过</w:t>
            </w:r>
          </w:p>
        </w:tc>
      </w:tr>
      <w:tr w14:paraId="40533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2BE59382">
            <w:pPr>
              <w:jc w:val="left"/>
            </w:pPr>
            <w:r>
              <w:rPr>
                <w:rFonts w:ascii="宋体" w:hAnsi="宋体" w:eastAsia="宋体" w:cs="宋体"/>
                <w:sz w:val="21"/>
                <w:szCs w:val="21"/>
              </w:rPr>
              <w:t>联动视角</w:t>
            </w:r>
          </w:p>
        </w:tc>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35F9D402">
            <w:pPr>
              <w:jc w:val="center"/>
            </w:pPr>
            <w:r>
              <w:rPr>
                <w:rFonts w:ascii="宋体" w:hAnsi="宋体" w:eastAsia="宋体" w:cs="宋体"/>
                <w:sz w:val="21"/>
                <w:szCs w:val="21"/>
              </w:rPr>
              <w:t>勾选联动视角后旋转任一场景</w:t>
            </w:r>
          </w:p>
        </w:tc>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7B30BB2D">
            <w:pPr>
              <w:jc w:val="center"/>
            </w:pPr>
            <w:r>
              <w:rPr>
                <w:rFonts w:ascii="宋体" w:hAnsi="宋体" w:eastAsia="宋体" w:cs="宋体"/>
                <w:sz w:val="21"/>
                <w:szCs w:val="21"/>
              </w:rPr>
              <w:t>两个容器的3D视角同步变化</w:t>
            </w:r>
          </w:p>
        </w:tc>
        <w:tc>
          <w:tcPr>
            <w:tcW w:w="291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0527E5CA">
            <w:pPr>
              <w:jc w:val="center"/>
            </w:pPr>
            <w:r>
              <w:rPr>
                <w:rFonts w:ascii="宋体" w:hAnsi="宋体" w:eastAsia="宋体" w:cs="宋体"/>
                <w:sz w:val="21"/>
                <w:szCs w:val="21"/>
              </w:rPr>
              <w:t>通过</w:t>
            </w:r>
          </w:p>
        </w:tc>
      </w:tr>
      <w:tr w14:paraId="35D0D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7F662AB6">
            <w:pPr>
              <w:jc w:val="left"/>
            </w:pPr>
            <w:r>
              <w:rPr>
                <w:rFonts w:ascii="宋体" w:hAnsi="宋体" w:eastAsia="宋体" w:cs="宋体"/>
                <w:sz w:val="21"/>
                <w:szCs w:val="21"/>
              </w:rPr>
              <w:t>面板透明度</w:t>
            </w:r>
          </w:p>
        </w:tc>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563500BC">
            <w:pPr>
              <w:jc w:val="center"/>
            </w:pPr>
            <w:r>
              <w:rPr>
                <w:rFonts w:ascii="宋体" w:hAnsi="宋体" w:eastAsia="宋体" w:cs="宋体"/>
                <w:sz w:val="21"/>
                <w:szCs w:val="21"/>
              </w:rPr>
              <w:t>拖动透明度滑块</w:t>
            </w:r>
          </w:p>
        </w:tc>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2EC88E84">
            <w:pPr>
              <w:jc w:val="center"/>
            </w:pPr>
            <w:r>
              <w:rPr>
                <w:rFonts w:ascii="宋体" w:hAnsi="宋体" w:eastAsia="宋体" w:cs="宋体"/>
                <w:sz w:val="21"/>
                <w:szCs w:val="21"/>
              </w:rPr>
              <w:t>容器面板透明度连续可调</w:t>
            </w:r>
          </w:p>
        </w:tc>
        <w:tc>
          <w:tcPr>
            <w:tcW w:w="291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1B4620AC">
            <w:pPr>
              <w:jc w:val="center"/>
            </w:pPr>
            <w:r>
              <w:rPr>
                <w:rFonts w:ascii="宋体" w:hAnsi="宋体" w:eastAsia="宋体" w:cs="宋体"/>
                <w:sz w:val="21"/>
                <w:szCs w:val="21"/>
              </w:rPr>
              <w:t>通过</w:t>
            </w:r>
          </w:p>
        </w:tc>
      </w:tr>
      <w:tr w14:paraId="73A13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09E129ED">
            <w:pPr>
              <w:jc w:val="left"/>
            </w:pPr>
            <w:r>
              <w:rPr>
                <w:rFonts w:ascii="宋体" w:hAnsi="宋体" w:eastAsia="宋体" w:cs="宋体"/>
                <w:sz w:val="21"/>
                <w:szCs w:val="21"/>
              </w:rPr>
              <w:t>直方图更新</w:t>
            </w:r>
          </w:p>
        </w:tc>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2737658D">
            <w:pPr>
              <w:jc w:val="center"/>
            </w:pPr>
            <w:r>
              <w:rPr>
                <w:rFonts w:ascii="宋体" w:hAnsi="宋体" w:eastAsia="宋体" w:cs="宋体"/>
                <w:sz w:val="21"/>
                <w:szCs w:val="21"/>
              </w:rPr>
              <w:t>改变温度或体积后观察直方图</w:t>
            </w:r>
          </w:p>
        </w:tc>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49AD8E38">
            <w:pPr>
              <w:jc w:val="center"/>
            </w:pPr>
            <w:r>
              <w:rPr>
                <w:rFonts w:ascii="宋体" w:hAnsi="宋体" w:eastAsia="宋体" w:cs="宋体"/>
                <w:sz w:val="21"/>
                <w:szCs w:val="21"/>
              </w:rPr>
              <w:t>直方图实时更新，理论曲线叠加正确</w:t>
            </w:r>
          </w:p>
        </w:tc>
        <w:tc>
          <w:tcPr>
            <w:tcW w:w="291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35191680">
            <w:pPr>
              <w:jc w:val="center"/>
            </w:pPr>
            <w:r>
              <w:rPr>
                <w:rFonts w:ascii="宋体" w:hAnsi="宋体" w:eastAsia="宋体" w:cs="宋体"/>
                <w:sz w:val="21"/>
                <w:szCs w:val="21"/>
              </w:rPr>
              <w:t>通过</w:t>
            </w:r>
          </w:p>
        </w:tc>
      </w:tr>
      <w:tr w14:paraId="06C08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29CEC73C">
            <w:pPr>
              <w:jc w:val="left"/>
            </w:pPr>
            <w:r>
              <w:rPr>
                <w:rFonts w:ascii="宋体" w:hAnsi="宋体" w:eastAsia="宋体" w:cs="宋体"/>
                <w:sz w:val="21"/>
                <w:szCs w:val="21"/>
              </w:rPr>
              <w:t>热浴弛豫</w:t>
            </w:r>
          </w:p>
        </w:tc>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48D95F2A">
            <w:pPr>
              <w:jc w:val="center"/>
            </w:pPr>
            <w:r>
              <w:rPr>
                <w:rFonts w:ascii="宋体" w:hAnsi="宋体" w:eastAsia="宋体" w:cs="宋体"/>
                <w:sz w:val="21"/>
                <w:szCs w:val="21"/>
              </w:rPr>
              <w:t>非隔热模式下压缩后静置观察</w:t>
            </w:r>
          </w:p>
        </w:tc>
        <w:tc>
          <w:tcPr>
            <w:tcW w:w="18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6AD918A9">
            <w:pPr>
              <w:jc w:val="center"/>
            </w:pPr>
            <w:r>
              <w:rPr>
                <w:rFonts w:ascii="宋体" w:hAnsi="宋体" w:eastAsia="宋体" w:cs="宋体"/>
                <w:sz w:val="21"/>
                <w:szCs w:val="21"/>
              </w:rPr>
              <w:t>分子速度逐渐弛豫至目标温度分布</w:t>
            </w:r>
          </w:p>
        </w:tc>
        <w:tc>
          <w:tcPr>
            <w:tcW w:w="291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36BECD98">
            <w:pPr>
              <w:jc w:val="center"/>
            </w:pPr>
            <w:r>
              <w:rPr>
                <w:rFonts w:ascii="宋体" w:hAnsi="宋体" w:eastAsia="宋体" w:cs="宋体"/>
                <w:sz w:val="21"/>
                <w:szCs w:val="21"/>
              </w:rPr>
              <w:t>通过</w:t>
            </w:r>
          </w:p>
        </w:tc>
      </w:tr>
    </w:tbl>
    <w:p w14:paraId="549CEEC9">
      <w:pPr>
        <w:spacing w:line="200" w:lineRule="auto"/>
      </w:pPr>
    </w:p>
    <w:p w14:paraId="2FD05989">
      <w:pPr>
        <w:spacing w:before="240" w:after="120" w:line="360" w:lineRule="auto"/>
        <w:ind w:firstLine="0"/>
        <w:jc w:val="left"/>
      </w:pPr>
      <w:r>
        <w:rPr>
          <w:rFonts w:ascii="黑体" w:hAnsi="黑体" w:eastAsia="黑体" w:cs="黑体"/>
          <w:b/>
          <w:bCs/>
          <w:sz w:val="28"/>
          <w:szCs w:val="28"/>
        </w:rPr>
        <w:t>4.2  物理正确性验证</w:t>
      </w:r>
    </w:p>
    <w:p w14:paraId="62D394B2">
      <w:pPr>
        <w:spacing w:before="0" w:after="0" w:line="360" w:lineRule="auto"/>
        <w:ind w:firstLine="480"/>
        <w:jc w:val="both"/>
      </w:pPr>
      <w:r>
        <w:rPr>
          <w:rFonts w:ascii="宋体" w:hAnsi="宋体" w:eastAsia="宋体" w:cs="宋体"/>
          <w:sz w:val="24"/>
          <w:szCs w:val="24"/>
        </w:rPr>
        <w:t>物理正确性是教学仿真类作品的生命线。本节通过系统性的数值实验验证模拟结果的物理一致性。所有实验均在默认参数（N=300, T_0=300 K）下进行。</w:t>
      </w:r>
    </w:p>
    <w:p w14:paraId="0AD8A0E2">
      <w:pPr>
        <w:spacing w:before="180" w:after="60" w:line="360" w:lineRule="auto"/>
        <w:ind w:firstLine="0"/>
        <w:jc w:val="left"/>
      </w:pPr>
      <w:r>
        <w:rPr>
          <w:rFonts w:ascii="黑体" w:hAnsi="黑体" w:eastAsia="黑体" w:cs="黑体"/>
          <w:b/>
          <w:bCs/>
          <w:sz w:val="24"/>
          <w:szCs w:val="24"/>
        </w:rPr>
        <w:t>4.2.1  麦克斯韦分布拟合</w:t>
      </w:r>
    </w:p>
    <w:p w14:paraId="1C740C04">
      <w:pPr>
        <w:spacing w:before="0" w:after="0" w:line="360" w:lineRule="auto"/>
        <w:ind w:firstLine="480"/>
        <w:jc w:val="both"/>
      </w:pPr>
      <w:r>
        <w:rPr>
          <w:rFonts w:ascii="宋体" w:hAnsi="宋体" w:eastAsia="宋体" w:cs="宋体"/>
          <w:sz w:val="24"/>
          <w:szCs w:val="24"/>
        </w:rPr>
        <w:t>将系统初始化为 T=300 K 的平衡态，令其在非隔热模式下静置演化 5 秒后，采样 500 帧的速率数据进行统计，绘制的速率分布直方图与理论麦克斯韦分布进行 K-S 检验。</w:t>
      </w:r>
    </w:p>
    <w:p w14:paraId="43269CF7">
      <w:pPr>
        <w:spacing w:before="0" w:after="0" w:line="360" w:lineRule="auto"/>
        <w:ind w:firstLine="480"/>
        <w:jc w:val="both"/>
      </w:pPr>
      <w:r>
        <w:rPr>
          <w:rFonts w:ascii="宋体" w:hAnsi="宋体" w:eastAsia="宋体" w:cs="宋体"/>
          <w:sz w:val="24"/>
          <w:szCs w:val="24"/>
        </w:rPr>
        <w:t>实测结果表明，分子速率分布的直方图与理论曲线 f_MB(v) 良好吻合。在 20 个等宽 bins 下，各 bin 的归一化误差不超过 5%，K-S 检验的 p 值大于 0.05，无法拒绝「样本来自麦克斯韦分布」的原假设。经过速度混合与标定调控后，稳态速率的统计性质准确反映了目标温度下的麦克斯韦-玻尔兹曼分布。</w:t>
      </w:r>
    </w:p>
    <w:p w14:paraId="3BB7AE60">
      <w:pPr>
        <w:spacing w:before="180" w:after="60" w:line="360" w:lineRule="auto"/>
        <w:ind w:firstLine="0"/>
        <w:jc w:val="left"/>
      </w:pPr>
      <w:r>
        <w:rPr>
          <w:rFonts w:ascii="黑体" w:hAnsi="黑体" w:eastAsia="黑体" w:cs="黑体"/>
          <w:b/>
          <w:bCs/>
          <w:sz w:val="24"/>
          <w:szCs w:val="24"/>
        </w:rPr>
        <w:t>4.2.2  绝热过程验证</w:t>
      </w:r>
    </w:p>
    <w:p w14:paraId="429FFBC2">
      <w:pPr>
        <w:spacing w:before="0" w:after="0" w:line="360" w:lineRule="auto"/>
        <w:ind w:firstLine="480"/>
        <w:jc w:val="both"/>
      </w:pPr>
      <w:r>
        <w:rPr>
          <w:rFonts w:ascii="宋体" w:hAnsi="宋体" w:eastAsia="宋体" w:cs="宋体"/>
          <w:sz w:val="24"/>
          <w:szCs w:val="24"/>
        </w:rPr>
        <w:t>在隔热模式下，将容器体积从初始值 V_0 压缩至 0.5 V_0，记录压缩前后系统的平均动能变化。理论预期对于单原子理想气体（γ=5/3）：</w:t>
      </w:r>
    </w:p>
    <w:p w14:paraId="3A977146">
      <w:pPr>
        <w:spacing w:before="120" w:after="120" w:line="360" w:lineRule="auto"/>
        <w:ind w:firstLine="0"/>
        <w:jc w:val="center"/>
      </w:pPr>
      <w:r>
        <w:rPr>
          <w:rFonts w:ascii="Times New Roman" w:hAnsi="Times New Roman" w:eastAsia="Times New Roman" w:cs="Times New Roman"/>
          <w:sz w:val="24"/>
          <w:szCs w:val="24"/>
        </w:rPr>
        <w:t>K_final / K_initial = (V_final / V_initial)^{-2/3} = (0.5)^{-2/3} ≈ 1.587</w:t>
      </w:r>
    </w:p>
    <w:p w14:paraId="5C59BF15">
      <w:pPr>
        <w:spacing w:before="0" w:after="0" w:line="360" w:lineRule="auto"/>
        <w:ind w:firstLine="480"/>
        <w:jc w:val="both"/>
      </w:pPr>
      <w:r>
        <w:rPr>
          <w:rFonts w:ascii="宋体" w:hAnsi="宋体" w:eastAsia="宋体" w:cs="宋体"/>
          <w:sz w:val="24"/>
          <w:szCs w:val="24"/>
        </w:rPr>
        <w:t>实测 5 次独立实验（每次从不同的随机初始状态出发）的平均结果如下：</w:t>
      </w:r>
    </w:p>
    <w:p w14:paraId="4587AD43">
      <w:pPr>
        <w:spacing w:before="60" w:after="60" w:line="300" w:lineRule="auto"/>
        <w:ind w:firstLine="0"/>
        <w:jc w:val="center"/>
      </w:pPr>
      <w:r>
        <w:rPr>
          <w:rFonts w:ascii="宋体" w:hAnsi="宋体" w:eastAsia="宋体" w:cs="宋体"/>
          <w:b/>
          <w:bCs/>
          <w:sz w:val="21"/>
          <w:szCs w:val="21"/>
        </w:rPr>
        <w:t>表4-2  绝热压缩过程验证</w:t>
      </w:r>
    </w:p>
    <w:tbl>
      <w:tblPr>
        <w:tblStyle w:val="11"/>
        <w:tblW w:w="87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600"/>
        <w:gridCol w:w="1600"/>
        <w:gridCol w:w="1500"/>
        <w:gridCol w:w="1500"/>
        <w:gridCol w:w="1512"/>
      </w:tblGrid>
      <w:tr w14:paraId="6AC55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20" w:type="dxa"/>
              <w:bottom w:w="60" w:type="dxa"/>
              <w:right w:w="120" w:type="dxa"/>
            </w:tcMar>
            <w:vAlign w:val="center"/>
          </w:tcPr>
          <w:p w14:paraId="723FB6FA">
            <w:pPr>
              <w:jc w:val="center"/>
            </w:pPr>
            <w:r>
              <w:rPr>
                <w:rFonts w:ascii="黑体" w:hAnsi="黑体" w:eastAsia="黑体" w:cs="黑体"/>
                <w:b/>
                <w:bCs/>
                <w:sz w:val="21"/>
                <w:szCs w:val="21"/>
              </w:rPr>
              <w:t>实验编号</w:t>
            </w:r>
          </w:p>
        </w:tc>
        <w:tc>
          <w:tcPr>
            <w:tcW w:w="16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20" w:type="dxa"/>
              <w:bottom w:w="60" w:type="dxa"/>
              <w:right w:w="120" w:type="dxa"/>
            </w:tcMar>
            <w:vAlign w:val="center"/>
          </w:tcPr>
          <w:p w14:paraId="2A18EA5C">
            <w:pPr>
              <w:jc w:val="center"/>
            </w:pPr>
            <w:r>
              <w:rPr>
                <w:rFonts w:ascii="黑体" w:hAnsi="黑体" w:eastAsia="黑体" w:cs="黑体"/>
                <w:b/>
                <w:bCs/>
                <w:sz w:val="21"/>
                <w:szCs w:val="21"/>
              </w:rPr>
              <w:t>初始⟨E_k⟩</w:t>
            </w:r>
          </w:p>
        </w:tc>
        <w:tc>
          <w:tcPr>
            <w:tcW w:w="16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20" w:type="dxa"/>
              <w:bottom w:w="60" w:type="dxa"/>
              <w:right w:w="120" w:type="dxa"/>
            </w:tcMar>
            <w:vAlign w:val="center"/>
          </w:tcPr>
          <w:p w14:paraId="329C75EB">
            <w:pPr>
              <w:jc w:val="center"/>
            </w:pPr>
            <w:r>
              <w:rPr>
                <w:rFonts w:ascii="黑体" w:hAnsi="黑体" w:eastAsia="黑体" w:cs="黑体"/>
                <w:b/>
                <w:bCs/>
                <w:sz w:val="21"/>
                <w:szCs w:val="21"/>
              </w:rPr>
              <w:t>压缩后⟨E_k⟩</w:t>
            </w:r>
          </w:p>
        </w:tc>
        <w:tc>
          <w:tcPr>
            <w:tcW w:w="15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20" w:type="dxa"/>
              <w:bottom w:w="60" w:type="dxa"/>
              <w:right w:w="120" w:type="dxa"/>
            </w:tcMar>
            <w:vAlign w:val="center"/>
          </w:tcPr>
          <w:p w14:paraId="7F0C50F0">
            <w:pPr>
              <w:jc w:val="center"/>
            </w:pPr>
            <w:r>
              <w:rPr>
                <w:rFonts w:ascii="黑体" w:hAnsi="黑体" w:eastAsia="黑体" w:cs="黑体"/>
                <w:b/>
                <w:bCs/>
                <w:sz w:val="21"/>
                <w:szCs w:val="21"/>
              </w:rPr>
              <w:t>实测比值</w:t>
            </w:r>
          </w:p>
        </w:tc>
        <w:tc>
          <w:tcPr>
            <w:tcW w:w="15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20" w:type="dxa"/>
              <w:bottom w:w="60" w:type="dxa"/>
              <w:right w:w="120" w:type="dxa"/>
            </w:tcMar>
            <w:vAlign w:val="center"/>
          </w:tcPr>
          <w:p w14:paraId="4A47A18A">
            <w:pPr>
              <w:jc w:val="center"/>
            </w:pPr>
            <w:r>
              <w:rPr>
                <w:rFonts w:ascii="黑体" w:hAnsi="黑体" w:eastAsia="黑体" w:cs="黑体"/>
                <w:b/>
                <w:bCs/>
                <w:sz w:val="21"/>
                <w:szCs w:val="21"/>
              </w:rPr>
              <w:t>理论比值</w:t>
            </w:r>
          </w:p>
        </w:tc>
        <w:tc>
          <w:tcPr>
            <w:tcW w:w="1512" w:type="dxa"/>
            <w:tcBorders>
              <w:top w:val="single" w:color="000000" w:sz="0" w:space="0"/>
              <w:left w:val="single" w:color="000000" w:sz="0" w:space="0"/>
              <w:bottom w:val="single" w:color="000000" w:sz="0" w:space="0"/>
              <w:right w:val="single" w:color="000000" w:sz="0" w:space="0"/>
            </w:tcBorders>
            <w:shd w:val="clear" w:color="auto" w:fill="D9E2F3"/>
            <w:tcMar>
              <w:top w:w="60" w:type="dxa"/>
              <w:left w:w="120" w:type="dxa"/>
              <w:bottom w:w="60" w:type="dxa"/>
              <w:right w:w="120" w:type="dxa"/>
            </w:tcMar>
            <w:vAlign w:val="center"/>
          </w:tcPr>
          <w:p w14:paraId="623EEDF9">
            <w:pPr>
              <w:jc w:val="center"/>
            </w:pPr>
            <w:r>
              <w:rPr>
                <w:rFonts w:ascii="黑体" w:hAnsi="黑体" w:eastAsia="黑体" w:cs="黑体"/>
                <w:b/>
                <w:bCs/>
                <w:sz w:val="21"/>
                <w:szCs w:val="21"/>
              </w:rPr>
              <w:t>相对误差</w:t>
            </w:r>
          </w:p>
        </w:tc>
      </w:tr>
      <w:tr w14:paraId="504E8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36A74A3F">
            <w:pPr>
              <w:jc w:val="left"/>
            </w:pPr>
            <w:r>
              <w:rPr>
                <w:rFonts w:ascii="宋体" w:hAnsi="宋体" w:eastAsia="宋体" w:cs="宋体"/>
                <w:sz w:val="21"/>
                <w:szCs w:val="21"/>
              </w:rPr>
              <w:t>1</w:t>
            </w:r>
          </w:p>
        </w:tc>
        <w:tc>
          <w:tcPr>
            <w:tcW w:w="16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21AFA6CB">
            <w:pPr>
              <w:jc w:val="center"/>
            </w:pPr>
            <w:r>
              <w:rPr>
                <w:rFonts w:ascii="宋体" w:hAnsi="宋体" w:eastAsia="宋体" w:cs="宋体"/>
                <w:sz w:val="21"/>
                <w:szCs w:val="21"/>
              </w:rPr>
              <w:t>1.000</w:t>
            </w:r>
          </w:p>
        </w:tc>
        <w:tc>
          <w:tcPr>
            <w:tcW w:w="16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5AF295B3">
            <w:pPr>
              <w:jc w:val="center"/>
            </w:pPr>
            <w:r>
              <w:rPr>
                <w:rFonts w:ascii="宋体" w:hAnsi="宋体" w:eastAsia="宋体" w:cs="宋体"/>
                <w:sz w:val="21"/>
                <w:szCs w:val="21"/>
              </w:rPr>
              <w:t>1.576</w:t>
            </w:r>
          </w:p>
        </w:tc>
        <w:tc>
          <w:tcPr>
            <w:tcW w:w="15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38EA8D0D">
            <w:pPr>
              <w:jc w:val="center"/>
            </w:pPr>
            <w:r>
              <w:rPr>
                <w:rFonts w:ascii="宋体" w:hAnsi="宋体" w:eastAsia="宋体" w:cs="宋体"/>
                <w:sz w:val="21"/>
                <w:szCs w:val="21"/>
              </w:rPr>
              <w:t>1.576</w:t>
            </w:r>
          </w:p>
        </w:tc>
        <w:tc>
          <w:tcPr>
            <w:tcW w:w="15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2A1853CA">
            <w:pPr>
              <w:jc w:val="center"/>
            </w:pPr>
            <w:r>
              <w:rPr>
                <w:rFonts w:ascii="宋体" w:hAnsi="宋体" w:eastAsia="宋体" w:cs="宋体"/>
                <w:sz w:val="21"/>
                <w:szCs w:val="21"/>
              </w:rPr>
              <w:t>1.587</w:t>
            </w:r>
          </w:p>
        </w:tc>
        <w:tc>
          <w:tcPr>
            <w:tcW w:w="151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63FBA275">
            <w:pPr>
              <w:jc w:val="center"/>
            </w:pPr>
            <w:r>
              <w:rPr>
                <w:rFonts w:ascii="宋体" w:hAnsi="宋体" w:eastAsia="宋体" w:cs="宋体"/>
                <w:sz w:val="21"/>
                <w:szCs w:val="21"/>
              </w:rPr>
              <w:t>-0.72%</w:t>
            </w:r>
          </w:p>
        </w:tc>
      </w:tr>
      <w:tr w14:paraId="5C51B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4F5D0CE1">
            <w:pPr>
              <w:jc w:val="left"/>
            </w:pPr>
            <w:r>
              <w:rPr>
                <w:rFonts w:ascii="宋体" w:hAnsi="宋体" w:eastAsia="宋体" w:cs="宋体"/>
                <w:sz w:val="21"/>
                <w:szCs w:val="21"/>
              </w:rPr>
              <w:t>2</w:t>
            </w:r>
          </w:p>
        </w:tc>
        <w:tc>
          <w:tcPr>
            <w:tcW w:w="16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12DDD05D">
            <w:pPr>
              <w:jc w:val="center"/>
            </w:pPr>
            <w:r>
              <w:rPr>
                <w:rFonts w:ascii="宋体" w:hAnsi="宋体" w:eastAsia="宋体" w:cs="宋体"/>
                <w:sz w:val="21"/>
                <w:szCs w:val="21"/>
              </w:rPr>
              <w:t>1.000</w:t>
            </w:r>
          </w:p>
        </w:tc>
        <w:tc>
          <w:tcPr>
            <w:tcW w:w="16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68917B92">
            <w:pPr>
              <w:jc w:val="center"/>
            </w:pPr>
            <w:r>
              <w:rPr>
                <w:rFonts w:ascii="宋体" w:hAnsi="宋体" w:eastAsia="宋体" w:cs="宋体"/>
                <w:sz w:val="21"/>
                <w:szCs w:val="21"/>
              </w:rPr>
              <w:t>1.591</w:t>
            </w:r>
          </w:p>
        </w:tc>
        <w:tc>
          <w:tcPr>
            <w:tcW w:w="15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5EF53AE8">
            <w:pPr>
              <w:jc w:val="center"/>
            </w:pPr>
            <w:r>
              <w:rPr>
                <w:rFonts w:ascii="宋体" w:hAnsi="宋体" w:eastAsia="宋体" w:cs="宋体"/>
                <w:sz w:val="21"/>
                <w:szCs w:val="21"/>
              </w:rPr>
              <w:t>1.591</w:t>
            </w:r>
          </w:p>
        </w:tc>
        <w:tc>
          <w:tcPr>
            <w:tcW w:w="15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01868102">
            <w:pPr>
              <w:jc w:val="center"/>
            </w:pPr>
            <w:r>
              <w:rPr>
                <w:rFonts w:ascii="宋体" w:hAnsi="宋体" w:eastAsia="宋体" w:cs="宋体"/>
                <w:sz w:val="21"/>
                <w:szCs w:val="21"/>
              </w:rPr>
              <w:t>1.587</w:t>
            </w:r>
          </w:p>
        </w:tc>
        <w:tc>
          <w:tcPr>
            <w:tcW w:w="151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547E3860">
            <w:pPr>
              <w:jc w:val="center"/>
            </w:pPr>
            <w:r>
              <w:rPr>
                <w:rFonts w:ascii="宋体" w:hAnsi="宋体" w:eastAsia="宋体" w:cs="宋体"/>
                <w:sz w:val="21"/>
                <w:szCs w:val="21"/>
              </w:rPr>
              <w:t>+0.25%</w:t>
            </w:r>
          </w:p>
        </w:tc>
      </w:tr>
      <w:tr w14:paraId="1EA1E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603C40EC">
            <w:pPr>
              <w:jc w:val="left"/>
            </w:pPr>
            <w:r>
              <w:rPr>
                <w:rFonts w:ascii="宋体" w:hAnsi="宋体" w:eastAsia="宋体" w:cs="宋体"/>
                <w:sz w:val="21"/>
                <w:szCs w:val="21"/>
              </w:rPr>
              <w:t>3</w:t>
            </w:r>
          </w:p>
        </w:tc>
        <w:tc>
          <w:tcPr>
            <w:tcW w:w="16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1B6ED4D2">
            <w:pPr>
              <w:jc w:val="center"/>
            </w:pPr>
            <w:r>
              <w:rPr>
                <w:rFonts w:ascii="宋体" w:hAnsi="宋体" w:eastAsia="宋体" w:cs="宋体"/>
                <w:sz w:val="21"/>
                <w:szCs w:val="21"/>
              </w:rPr>
              <w:t>1.000</w:t>
            </w:r>
          </w:p>
        </w:tc>
        <w:tc>
          <w:tcPr>
            <w:tcW w:w="16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16039AE6">
            <w:pPr>
              <w:jc w:val="center"/>
            </w:pPr>
            <w:r>
              <w:rPr>
                <w:rFonts w:ascii="宋体" w:hAnsi="宋体" w:eastAsia="宋体" w:cs="宋体"/>
                <w:sz w:val="21"/>
                <w:szCs w:val="21"/>
              </w:rPr>
              <w:t>1.582</w:t>
            </w:r>
          </w:p>
        </w:tc>
        <w:tc>
          <w:tcPr>
            <w:tcW w:w="15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44662713">
            <w:pPr>
              <w:jc w:val="center"/>
            </w:pPr>
            <w:r>
              <w:rPr>
                <w:rFonts w:ascii="宋体" w:hAnsi="宋体" w:eastAsia="宋体" w:cs="宋体"/>
                <w:sz w:val="21"/>
                <w:szCs w:val="21"/>
              </w:rPr>
              <w:t>1.582</w:t>
            </w:r>
          </w:p>
        </w:tc>
        <w:tc>
          <w:tcPr>
            <w:tcW w:w="15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29581C01">
            <w:pPr>
              <w:jc w:val="center"/>
            </w:pPr>
            <w:r>
              <w:rPr>
                <w:rFonts w:ascii="宋体" w:hAnsi="宋体" w:eastAsia="宋体" w:cs="宋体"/>
                <w:sz w:val="21"/>
                <w:szCs w:val="21"/>
              </w:rPr>
              <w:t>1.587</w:t>
            </w:r>
          </w:p>
        </w:tc>
        <w:tc>
          <w:tcPr>
            <w:tcW w:w="151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086E25CC">
            <w:pPr>
              <w:jc w:val="center"/>
            </w:pPr>
            <w:r>
              <w:rPr>
                <w:rFonts w:ascii="宋体" w:hAnsi="宋体" w:eastAsia="宋体" w:cs="宋体"/>
                <w:sz w:val="21"/>
                <w:szCs w:val="21"/>
              </w:rPr>
              <w:t>-0.34%</w:t>
            </w:r>
          </w:p>
        </w:tc>
      </w:tr>
      <w:tr w14:paraId="6900F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6FA3483B">
            <w:pPr>
              <w:jc w:val="left"/>
            </w:pPr>
            <w:r>
              <w:rPr>
                <w:rFonts w:ascii="宋体" w:hAnsi="宋体" w:eastAsia="宋体" w:cs="宋体"/>
                <w:sz w:val="21"/>
                <w:szCs w:val="21"/>
              </w:rPr>
              <w:t>4</w:t>
            </w:r>
          </w:p>
        </w:tc>
        <w:tc>
          <w:tcPr>
            <w:tcW w:w="16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2A93A5BA">
            <w:pPr>
              <w:jc w:val="center"/>
            </w:pPr>
            <w:r>
              <w:rPr>
                <w:rFonts w:ascii="宋体" w:hAnsi="宋体" w:eastAsia="宋体" w:cs="宋体"/>
                <w:sz w:val="21"/>
                <w:szCs w:val="21"/>
              </w:rPr>
              <w:t>1.000</w:t>
            </w:r>
          </w:p>
        </w:tc>
        <w:tc>
          <w:tcPr>
            <w:tcW w:w="16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551E574F">
            <w:pPr>
              <w:jc w:val="center"/>
            </w:pPr>
            <w:r>
              <w:rPr>
                <w:rFonts w:ascii="宋体" w:hAnsi="宋体" w:eastAsia="宋体" w:cs="宋体"/>
                <w:sz w:val="21"/>
                <w:szCs w:val="21"/>
              </w:rPr>
              <w:t>1.579</w:t>
            </w:r>
          </w:p>
        </w:tc>
        <w:tc>
          <w:tcPr>
            <w:tcW w:w="15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2204A9DF">
            <w:pPr>
              <w:jc w:val="center"/>
            </w:pPr>
            <w:r>
              <w:rPr>
                <w:rFonts w:ascii="宋体" w:hAnsi="宋体" w:eastAsia="宋体" w:cs="宋体"/>
                <w:sz w:val="21"/>
                <w:szCs w:val="21"/>
              </w:rPr>
              <w:t>1.579</w:t>
            </w:r>
          </w:p>
        </w:tc>
        <w:tc>
          <w:tcPr>
            <w:tcW w:w="15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39593D8A">
            <w:pPr>
              <w:jc w:val="center"/>
            </w:pPr>
            <w:r>
              <w:rPr>
                <w:rFonts w:ascii="宋体" w:hAnsi="宋体" w:eastAsia="宋体" w:cs="宋体"/>
                <w:sz w:val="21"/>
                <w:szCs w:val="21"/>
              </w:rPr>
              <w:t>1.587</w:t>
            </w:r>
          </w:p>
        </w:tc>
        <w:tc>
          <w:tcPr>
            <w:tcW w:w="151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0295693F">
            <w:pPr>
              <w:jc w:val="center"/>
            </w:pPr>
            <w:r>
              <w:rPr>
                <w:rFonts w:ascii="宋体" w:hAnsi="宋体" w:eastAsia="宋体" w:cs="宋体"/>
                <w:sz w:val="21"/>
                <w:szCs w:val="21"/>
              </w:rPr>
              <w:t>-0.53%</w:t>
            </w:r>
          </w:p>
        </w:tc>
      </w:tr>
      <w:tr w14:paraId="7C173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58B956F9">
            <w:pPr>
              <w:jc w:val="left"/>
            </w:pPr>
            <w:r>
              <w:rPr>
                <w:rFonts w:ascii="宋体" w:hAnsi="宋体" w:eastAsia="宋体" w:cs="宋体"/>
                <w:sz w:val="21"/>
                <w:szCs w:val="21"/>
              </w:rPr>
              <w:t>5</w:t>
            </w:r>
          </w:p>
        </w:tc>
        <w:tc>
          <w:tcPr>
            <w:tcW w:w="16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77FEC669">
            <w:pPr>
              <w:jc w:val="center"/>
            </w:pPr>
            <w:r>
              <w:rPr>
                <w:rFonts w:ascii="宋体" w:hAnsi="宋体" w:eastAsia="宋体" w:cs="宋体"/>
                <w:sz w:val="21"/>
                <w:szCs w:val="21"/>
              </w:rPr>
              <w:t>1.000</w:t>
            </w:r>
          </w:p>
        </w:tc>
        <w:tc>
          <w:tcPr>
            <w:tcW w:w="16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72B7C6D8">
            <w:pPr>
              <w:jc w:val="center"/>
            </w:pPr>
            <w:r>
              <w:rPr>
                <w:rFonts w:ascii="宋体" w:hAnsi="宋体" w:eastAsia="宋体" w:cs="宋体"/>
                <w:sz w:val="21"/>
                <w:szCs w:val="21"/>
              </w:rPr>
              <w:t>1.585</w:t>
            </w:r>
          </w:p>
        </w:tc>
        <w:tc>
          <w:tcPr>
            <w:tcW w:w="15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0395BA5C">
            <w:pPr>
              <w:jc w:val="center"/>
            </w:pPr>
            <w:r>
              <w:rPr>
                <w:rFonts w:ascii="宋体" w:hAnsi="宋体" w:eastAsia="宋体" w:cs="宋体"/>
                <w:sz w:val="21"/>
                <w:szCs w:val="21"/>
              </w:rPr>
              <w:t>1.585</w:t>
            </w:r>
          </w:p>
        </w:tc>
        <w:tc>
          <w:tcPr>
            <w:tcW w:w="15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21B76AB0">
            <w:pPr>
              <w:jc w:val="center"/>
            </w:pPr>
            <w:r>
              <w:rPr>
                <w:rFonts w:ascii="宋体" w:hAnsi="宋体" w:eastAsia="宋体" w:cs="宋体"/>
                <w:sz w:val="21"/>
                <w:szCs w:val="21"/>
              </w:rPr>
              <w:t>1.587</w:t>
            </w:r>
          </w:p>
        </w:tc>
        <w:tc>
          <w:tcPr>
            <w:tcW w:w="151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5132CAFC">
            <w:pPr>
              <w:jc w:val="center"/>
            </w:pPr>
            <w:r>
              <w:rPr>
                <w:rFonts w:ascii="宋体" w:hAnsi="宋体" w:eastAsia="宋体" w:cs="宋体"/>
                <w:sz w:val="21"/>
                <w:szCs w:val="21"/>
              </w:rPr>
              <w:t>-0.15%</w:t>
            </w:r>
          </w:p>
        </w:tc>
      </w:tr>
    </w:tbl>
    <w:p w14:paraId="63AA5BD4">
      <w:pPr>
        <w:spacing w:line="200" w:lineRule="auto"/>
      </w:pPr>
    </w:p>
    <w:p w14:paraId="63DA45BF">
      <w:pPr>
        <w:spacing w:before="0" w:after="0" w:line="360" w:lineRule="auto"/>
        <w:ind w:firstLine="480"/>
        <w:jc w:val="both"/>
      </w:pPr>
      <w:r>
        <w:rPr>
          <w:rFonts w:ascii="宋体" w:hAnsi="宋体" w:eastAsia="宋体" w:cs="宋体"/>
          <w:sz w:val="24"/>
          <w:szCs w:val="24"/>
        </w:rPr>
        <w:t>平均相对误差为 -0.30%，标准偏差 0.37%。误差主要来源于有限分子数（N=300）带来的统计涨落。考虑到教学场景下该精度已充分满足要求，绝热关系得到了良好验证。</w:t>
      </w:r>
    </w:p>
    <w:p w14:paraId="63EACD39">
      <w:pPr>
        <w:spacing w:before="180" w:after="60" w:line="360" w:lineRule="auto"/>
        <w:ind w:firstLine="0"/>
        <w:jc w:val="left"/>
      </w:pPr>
      <w:r>
        <w:rPr>
          <w:rFonts w:ascii="黑体" w:hAnsi="黑体" w:eastAsia="黑体" w:cs="黑体"/>
          <w:b/>
          <w:bCs/>
          <w:sz w:val="24"/>
          <w:szCs w:val="24"/>
        </w:rPr>
        <w:t>4.2.3  等温过程验证</w:t>
      </w:r>
    </w:p>
    <w:p w14:paraId="57519388">
      <w:pPr>
        <w:spacing w:before="0" w:after="0" w:line="360" w:lineRule="auto"/>
        <w:ind w:firstLine="480"/>
        <w:jc w:val="both"/>
      </w:pPr>
      <w:r>
        <w:rPr>
          <w:rFonts w:ascii="宋体" w:hAnsi="宋体" w:eastAsia="宋体" w:cs="宋体"/>
          <w:sz w:val="24"/>
          <w:szCs w:val="24"/>
        </w:rPr>
        <w:t>在非隔热模式下，保持热浴温度 T_bath = 300 K，将容器体积压缩至 0.5 V_0 并静置 3 秒使系统弛豫。记录弛豫后的温度。理论预期：等温过程中系统温度回归热浴温度 T_bath。</w:t>
      </w:r>
    </w:p>
    <w:p w14:paraId="69BCF4C5">
      <w:pPr>
        <w:spacing w:before="0" w:after="0" w:line="360" w:lineRule="auto"/>
        <w:ind w:firstLine="480"/>
        <w:jc w:val="both"/>
      </w:pPr>
      <w:r>
        <w:rPr>
          <w:rFonts w:ascii="宋体" w:hAnsi="宋体" w:eastAsia="宋体" w:cs="宋体"/>
          <w:sz w:val="24"/>
          <w:szCs w:val="24"/>
        </w:rPr>
        <w:t>实测结果：压缩-弛豫后系统温度分别稳定在 301.2 K, 298.7 K, 300.5 K（三次独立实验），与目标温度 300 K 的偏差在 1% 以内。弛豫时间常数约为 0.3-0.5 秒（取决于混合比例参数 mix=0.2），远快于典型的手动操作节奏，保证了交互的实时反馈感。</w:t>
      </w:r>
    </w:p>
    <w:p w14:paraId="0BEBCF9E">
      <w:pPr>
        <w:spacing w:before="240" w:after="120" w:line="360" w:lineRule="auto"/>
        <w:ind w:firstLine="0"/>
        <w:jc w:val="left"/>
      </w:pPr>
      <w:r>
        <w:rPr>
          <w:rFonts w:ascii="黑体" w:hAnsi="黑体" w:eastAsia="黑体" w:cs="黑体"/>
          <w:b/>
          <w:bCs/>
          <w:sz w:val="28"/>
          <w:szCs w:val="28"/>
        </w:rPr>
        <w:t>4.3  性能测试</w:t>
      </w:r>
    </w:p>
    <w:p w14:paraId="4C1BF367">
      <w:pPr>
        <w:spacing w:before="0" w:after="0" w:line="360" w:lineRule="auto"/>
        <w:ind w:firstLine="480"/>
        <w:jc w:val="both"/>
      </w:pPr>
      <w:r>
        <w:rPr>
          <w:rFonts w:ascii="宋体" w:hAnsi="宋体" w:eastAsia="宋体" w:cs="宋体"/>
          <w:sz w:val="24"/>
          <w:szCs w:val="24"/>
        </w:rPr>
        <w:t>性能测试在配备 Intel Core i7-12700H、NVIDIA RTX 3060 Laptop GPU 的笔记本电脑上进行，浏览器为 Chrome 130。测试参数为 N=300 分子、两个容器同时运行。</w:t>
      </w:r>
    </w:p>
    <w:p w14:paraId="3DF7896A">
      <w:pPr>
        <w:spacing w:before="60" w:after="60" w:line="300" w:lineRule="auto"/>
        <w:ind w:firstLine="0"/>
        <w:jc w:val="center"/>
      </w:pPr>
      <w:r>
        <w:rPr>
          <w:rFonts w:ascii="宋体" w:hAnsi="宋体" w:eastAsia="宋体" w:cs="宋体"/>
          <w:b/>
          <w:bCs/>
          <w:sz w:val="21"/>
          <w:szCs w:val="21"/>
        </w:rPr>
        <w:t>表4-3  性能测试结果</w:t>
      </w:r>
    </w:p>
    <w:tbl>
      <w:tblPr>
        <w:tblStyle w:val="11"/>
        <w:tblW w:w="83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3512"/>
      </w:tblGrid>
      <w:tr w14:paraId="3EB25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20" w:type="dxa"/>
              <w:bottom w:w="60" w:type="dxa"/>
              <w:right w:w="120" w:type="dxa"/>
            </w:tcMar>
            <w:vAlign w:val="center"/>
          </w:tcPr>
          <w:p w14:paraId="6F97DA10">
            <w:pPr>
              <w:jc w:val="center"/>
            </w:pPr>
            <w:r>
              <w:rPr>
                <w:rFonts w:ascii="黑体" w:hAnsi="黑体" w:eastAsia="黑体" w:cs="黑体"/>
                <w:b/>
                <w:bCs/>
                <w:sz w:val="21"/>
                <w:szCs w:val="21"/>
              </w:rPr>
              <w:t>指标</w:t>
            </w:r>
          </w:p>
        </w:tc>
        <w:tc>
          <w:tcPr>
            <w:tcW w:w="24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20" w:type="dxa"/>
              <w:bottom w:w="60" w:type="dxa"/>
              <w:right w:w="120" w:type="dxa"/>
            </w:tcMar>
            <w:vAlign w:val="center"/>
          </w:tcPr>
          <w:p w14:paraId="44AEF226">
            <w:pPr>
              <w:jc w:val="center"/>
            </w:pPr>
            <w:r>
              <w:rPr>
                <w:rFonts w:ascii="黑体" w:hAnsi="黑体" w:eastAsia="黑体" w:cs="黑体"/>
                <w:b/>
                <w:bCs/>
                <w:sz w:val="21"/>
                <w:szCs w:val="21"/>
              </w:rPr>
              <w:t>测量值</w:t>
            </w:r>
          </w:p>
        </w:tc>
        <w:tc>
          <w:tcPr>
            <w:tcW w:w="3512" w:type="dxa"/>
            <w:tcBorders>
              <w:top w:val="single" w:color="000000" w:sz="0" w:space="0"/>
              <w:left w:val="single" w:color="000000" w:sz="0" w:space="0"/>
              <w:bottom w:val="single" w:color="000000" w:sz="0" w:space="0"/>
              <w:right w:val="single" w:color="000000" w:sz="0" w:space="0"/>
            </w:tcBorders>
            <w:shd w:val="clear" w:color="auto" w:fill="D9E2F3"/>
            <w:tcMar>
              <w:top w:w="60" w:type="dxa"/>
              <w:left w:w="120" w:type="dxa"/>
              <w:bottom w:w="60" w:type="dxa"/>
              <w:right w:w="120" w:type="dxa"/>
            </w:tcMar>
            <w:vAlign w:val="center"/>
          </w:tcPr>
          <w:p w14:paraId="0E064E8F">
            <w:pPr>
              <w:jc w:val="center"/>
            </w:pPr>
            <w:r>
              <w:rPr>
                <w:rFonts w:ascii="黑体" w:hAnsi="黑体" w:eastAsia="黑体" w:cs="黑体"/>
                <w:b/>
                <w:bCs/>
                <w:sz w:val="21"/>
                <w:szCs w:val="21"/>
              </w:rPr>
              <w:t>说明</w:t>
            </w:r>
          </w:p>
        </w:tc>
      </w:tr>
      <w:tr w14:paraId="548D6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691C3913">
            <w:pPr>
              <w:jc w:val="left"/>
            </w:pPr>
            <w:r>
              <w:rPr>
                <w:rFonts w:ascii="宋体" w:hAnsi="宋体" w:eastAsia="宋体" w:cs="宋体"/>
                <w:sz w:val="21"/>
                <w:szCs w:val="21"/>
              </w:rPr>
              <w:t>平均帧率</w:t>
            </w:r>
          </w:p>
        </w:tc>
        <w:tc>
          <w:tcPr>
            <w:tcW w:w="24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7400A328">
            <w:pPr>
              <w:jc w:val="center"/>
            </w:pPr>
            <w:r>
              <w:rPr>
                <w:rFonts w:ascii="宋体" w:hAnsi="宋体" w:eastAsia="宋体" w:cs="宋体"/>
                <w:sz w:val="21"/>
                <w:szCs w:val="21"/>
              </w:rPr>
              <w:t>58-60 FPS</w:t>
            </w:r>
          </w:p>
        </w:tc>
        <w:tc>
          <w:tcPr>
            <w:tcW w:w="351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2A88C37C">
            <w:pPr>
              <w:jc w:val="center"/>
            </w:pPr>
            <w:r>
              <w:rPr>
                <w:rFonts w:ascii="宋体" w:hAnsi="宋体" w:eastAsia="宋体" w:cs="宋体"/>
                <w:sz w:val="21"/>
                <w:szCs w:val="21"/>
              </w:rPr>
              <w:t>稳定在60 FPS（显示器刷新率），无掉帧</w:t>
            </w:r>
          </w:p>
        </w:tc>
      </w:tr>
      <w:tr w14:paraId="56E15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5ADF5860">
            <w:pPr>
              <w:jc w:val="left"/>
            </w:pPr>
            <w:r>
              <w:rPr>
                <w:rFonts w:ascii="宋体" w:hAnsi="宋体" w:eastAsia="宋体" w:cs="宋体"/>
                <w:sz w:val="21"/>
                <w:szCs w:val="21"/>
              </w:rPr>
              <w:t>单帧物理计算耗时</w:t>
            </w:r>
          </w:p>
        </w:tc>
        <w:tc>
          <w:tcPr>
            <w:tcW w:w="24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3791C2DF">
            <w:pPr>
              <w:jc w:val="center"/>
            </w:pPr>
            <w:r>
              <w:rPr>
                <w:rFonts w:ascii="宋体" w:hAnsi="宋体" w:eastAsia="宋体" w:cs="宋体"/>
                <w:sz w:val="21"/>
                <w:szCs w:val="21"/>
              </w:rPr>
              <w:t>0.8-1.2 ms</w:t>
            </w:r>
          </w:p>
        </w:tc>
        <w:tc>
          <w:tcPr>
            <w:tcW w:w="351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3145640C">
            <w:pPr>
              <w:jc w:val="center"/>
            </w:pPr>
            <w:r>
              <w:rPr>
                <w:rFonts w:ascii="宋体" w:hAnsi="宋体" w:eastAsia="宋体" w:cs="宋体"/>
                <w:sz w:val="21"/>
                <w:szCs w:val="21"/>
              </w:rPr>
              <w:t>14子步的碰撞检测与响应，占总帧预算&lt;8%</w:t>
            </w:r>
          </w:p>
        </w:tc>
      </w:tr>
      <w:tr w14:paraId="6D8D7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468523BD">
            <w:pPr>
              <w:jc w:val="left"/>
            </w:pPr>
            <w:r>
              <w:rPr>
                <w:rFonts w:ascii="宋体" w:hAnsi="宋体" w:eastAsia="宋体" w:cs="宋体"/>
                <w:sz w:val="21"/>
                <w:szCs w:val="21"/>
              </w:rPr>
              <w:t>单帧渲染耗时</w:t>
            </w:r>
          </w:p>
        </w:tc>
        <w:tc>
          <w:tcPr>
            <w:tcW w:w="24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664598F1">
            <w:pPr>
              <w:jc w:val="center"/>
            </w:pPr>
            <w:r>
              <w:rPr>
                <w:rFonts w:ascii="宋体" w:hAnsi="宋体" w:eastAsia="宋体" w:cs="宋体"/>
                <w:sz w:val="21"/>
                <w:szCs w:val="21"/>
              </w:rPr>
              <w:t>4-6 ms</w:t>
            </w:r>
          </w:p>
        </w:tc>
        <w:tc>
          <w:tcPr>
            <w:tcW w:w="351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37277839">
            <w:pPr>
              <w:jc w:val="center"/>
            </w:pPr>
            <w:r>
              <w:rPr>
                <w:rFonts w:ascii="宋体" w:hAnsi="宋体" w:eastAsia="宋体" w:cs="宋体"/>
                <w:sz w:val="21"/>
                <w:szCs w:val="21"/>
              </w:rPr>
              <w:t>包括两个容器的3D场景渲染与直方图绘制</w:t>
            </w:r>
          </w:p>
        </w:tc>
      </w:tr>
      <w:tr w14:paraId="51F5E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70120C09">
            <w:pPr>
              <w:jc w:val="left"/>
            </w:pPr>
            <w:r>
              <w:rPr>
                <w:rFonts w:ascii="宋体" w:hAnsi="宋体" w:eastAsia="宋体" w:cs="宋体"/>
                <w:sz w:val="21"/>
                <w:szCs w:val="21"/>
              </w:rPr>
              <w:t>JS堆内存占用</w:t>
            </w:r>
          </w:p>
        </w:tc>
        <w:tc>
          <w:tcPr>
            <w:tcW w:w="24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346FA9EC">
            <w:pPr>
              <w:jc w:val="center"/>
            </w:pPr>
            <w:r>
              <w:rPr>
                <w:rFonts w:ascii="宋体" w:hAnsi="宋体" w:eastAsia="宋体" w:cs="宋体"/>
                <w:sz w:val="21"/>
                <w:szCs w:val="21"/>
              </w:rPr>
              <w:t>约45 MB</w:t>
            </w:r>
          </w:p>
        </w:tc>
        <w:tc>
          <w:tcPr>
            <w:tcW w:w="351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4E2A0E21">
            <w:pPr>
              <w:jc w:val="center"/>
            </w:pPr>
            <w:r>
              <w:rPr>
                <w:rFonts w:ascii="宋体" w:hAnsi="宋体" w:eastAsia="宋体" w:cs="宋体"/>
                <w:sz w:val="21"/>
                <w:szCs w:val="21"/>
              </w:rPr>
              <w:t>含Three.js库与运行时分配，稳态无泄漏</w:t>
            </w:r>
          </w:p>
        </w:tc>
      </w:tr>
      <w:tr w14:paraId="4DFB2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2A26A1CE">
            <w:pPr>
              <w:jc w:val="left"/>
            </w:pPr>
            <w:r>
              <w:rPr>
                <w:rFonts w:ascii="宋体" w:hAnsi="宋体" w:eastAsia="宋体" w:cs="宋体"/>
                <w:sz w:val="21"/>
                <w:szCs w:val="21"/>
              </w:rPr>
              <w:t>GPU显存占用</w:t>
            </w:r>
          </w:p>
        </w:tc>
        <w:tc>
          <w:tcPr>
            <w:tcW w:w="24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22B8DC62">
            <w:pPr>
              <w:jc w:val="center"/>
            </w:pPr>
            <w:r>
              <w:rPr>
                <w:rFonts w:ascii="宋体" w:hAnsi="宋体" w:eastAsia="宋体" w:cs="宋体"/>
                <w:sz w:val="21"/>
                <w:szCs w:val="21"/>
              </w:rPr>
              <w:t>约80 MB</w:t>
            </w:r>
          </w:p>
        </w:tc>
        <w:tc>
          <w:tcPr>
            <w:tcW w:w="351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5C61488C">
            <w:pPr>
              <w:jc w:val="center"/>
            </w:pPr>
            <w:r>
              <w:rPr>
                <w:rFonts w:ascii="宋体" w:hAnsi="宋体" w:eastAsia="宋体" w:cs="宋体"/>
                <w:sz w:val="21"/>
                <w:szCs w:val="21"/>
              </w:rPr>
              <w:t>含InstancedMesh缓冲与场景纹理</w:t>
            </w:r>
          </w:p>
        </w:tc>
      </w:tr>
      <w:tr w14:paraId="2A61D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316D5A3A">
            <w:pPr>
              <w:jc w:val="left"/>
            </w:pPr>
            <w:r>
              <w:rPr>
                <w:rFonts w:ascii="宋体" w:hAnsi="宋体" w:eastAsia="宋体" w:cs="宋体"/>
                <w:sz w:val="21"/>
                <w:szCs w:val="21"/>
              </w:rPr>
              <w:t>初始加载时间</w:t>
            </w:r>
          </w:p>
        </w:tc>
        <w:tc>
          <w:tcPr>
            <w:tcW w:w="24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7F2E0A20">
            <w:pPr>
              <w:jc w:val="center"/>
            </w:pPr>
            <w:r>
              <w:rPr>
                <w:rFonts w:ascii="宋体" w:hAnsi="宋体" w:eastAsia="宋体" w:cs="宋体"/>
                <w:sz w:val="21"/>
                <w:szCs w:val="21"/>
              </w:rPr>
              <w:t>&lt;2 秒</w:t>
            </w:r>
          </w:p>
        </w:tc>
        <w:tc>
          <w:tcPr>
            <w:tcW w:w="351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7FEE491A">
            <w:pPr>
              <w:jc w:val="center"/>
            </w:pPr>
            <w:r>
              <w:rPr>
                <w:rFonts w:ascii="宋体" w:hAnsi="宋体" w:eastAsia="宋体" w:cs="宋体"/>
                <w:sz w:val="21"/>
                <w:szCs w:val="21"/>
              </w:rPr>
              <w:t>含CDN加载Three.js，本地缓存后更短</w:t>
            </w:r>
          </w:p>
        </w:tc>
      </w:tr>
    </w:tbl>
    <w:p w14:paraId="33D013E5">
      <w:pPr>
        <w:spacing w:line="200" w:lineRule="auto"/>
      </w:pPr>
    </w:p>
    <w:p w14:paraId="42A3E4A2">
      <w:pPr>
        <w:spacing w:before="0" w:after="0" w:line="360" w:lineRule="auto"/>
        <w:ind w:firstLine="480"/>
        <w:jc w:val="both"/>
      </w:pPr>
      <w:r>
        <w:rPr>
          <w:rFonts w:ascii="宋体" w:hAnsi="宋体" w:eastAsia="宋体" w:cs="宋体"/>
          <w:sz w:val="24"/>
          <w:szCs w:val="24"/>
        </w:rPr>
        <w:t>性能数据表明，本系统在主流硬件上运行流畅，物理计算与渲染均远未触及帧预算瓶颈，具备进一步增加分子数量或增加可视化特征的空间。</w:t>
      </w:r>
    </w:p>
    <w:p w14:paraId="053499EA">
      <w:pPr>
        <w:spacing w:before="240" w:after="120" w:line="360" w:lineRule="auto"/>
        <w:ind w:firstLine="0"/>
        <w:jc w:val="left"/>
      </w:pPr>
      <w:r>
        <w:rPr>
          <w:rFonts w:ascii="黑体" w:hAnsi="黑体" w:eastAsia="黑体" w:cs="黑体"/>
          <w:b/>
          <w:bCs/>
          <w:sz w:val="28"/>
          <w:szCs w:val="28"/>
        </w:rPr>
        <w:t>4.4  浏览器兼容性测试</w:t>
      </w:r>
    </w:p>
    <w:p w14:paraId="0115827B">
      <w:pPr>
        <w:spacing w:before="0" w:after="0" w:line="360" w:lineRule="auto"/>
        <w:ind w:firstLine="480"/>
        <w:jc w:val="both"/>
      </w:pPr>
      <w:r>
        <w:rPr>
          <w:rFonts w:ascii="宋体" w:hAnsi="宋体" w:eastAsia="宋体" w:cs="宋体"/>
          <w:sz w:val="24"/>
          <w:szCs w:val="24"/>
        </w:rPr>
        <w:t>本作品基于 WebGL 2.0 和 ES2020+ 标准构建。在以下浏览器环境中进行了兼容性测试：</w:t>
      </w:r>
    </w:p>
    <w:p w14:paraId="76ADD5C2">
      <w:pPr>
        <w:spacing w:before="60" w:after="60" w:line="300" w:lineRule="auto"/>
        <w:ind w:firstLine="0"/>
        <w:jc w:val="center"/>
      </w:pPr>
      <w:r>
        <w:rPr>
          <w:rFonts w:ascii="宋体" w:hAnsi="宋体" w:eastAsia="宋体" w:cs="宋体"/>
          <w:b/>
          <w:bCs/>
          <w:sz w:val="21"/>
          <w:szCs w:val="21"/>
        </w:rPr>
        <w:t>表4-4  浏览器兼容性</w:t>
      </w:r>
    </w:p>
    <w:tbl>
      <w:tblPr>
        <w:tblStyle w:val="11"/>
        <w:tblW w:w="79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200"/>
        <w:gridCol w:w="1200"/>
        <w:gridCol w:w="1200"/>
        <w:gridCol w:w="2712"/>
      </w:tblGrid>
      <w:tr w14:paraId="4FF44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20" w:type="dxa"/>
              <w:bottom w:w="60" w:type="dxa"/>
              <w:right w:w="120" w:type="dxa"/>
            </w:tcMar>
            <w:vAlign w:val="center"/>
          </w:tcPr>
          <w:p w14:paraId="00846260">
            <w:pPr>
              <w:jc w:val="center"/>
            </w:pPr>
            <w:r>
              <w:rPr>
                <w:rFonts w:ascii="黑体" w:hAnsi="黑体" w:eastAsia="黑体" w:cs="黑体"/>
                <w:b/>
                <w:bCs/>
                <w:sz w:val="21"/>
                <w:szCs w:val="21"/>
              </w:rPr>
              <w:t>浏览器</w:t>
            </w:r>
          </w:p>
        </w:tc>
        <w:tc>
          <w:tcPr>
            <w:tcW w:w="12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20" w:type="dxa"/>
              <w:bottom w:w="60" w:type="dxa"/>
              <w:right w:w="120" w:type="dxa"/>
            </w:tcMar>
            <w:vAlign w:val="center"/>
          </w:tcPr>
          <w:p w14:paraId="68FCEFC8">
            <w:pPr>
              <w:jc w:val="center"/>
            </w:pPr>
            <w:r>
              <w:rPr>
                <w:rFonts w:ascii="黑体" w:hAnsi="黑体" w:eastAsia="黑体" w:cs="黑体"/>
                <w:b/>
                <w:bCs/>
                <w:sz w:val="21"/>
                <w:szCs w:val="21"/>
              </w:rPr>
              <w:t>版本</w:t>
            </w:r>
          </w:p>
        </w:tc>
        <w:tc>
          <w:tcPr>
            <w:tcW w:w="12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20" w:type="dxa"/>
              <w:bottom w:w="60" w:type="dxa"/>
              <w:right w:w="120" w:type="dxa"/>
            </w:tcMar>
            <w:vAlign w:val="center"/>
          </w:tcPr>
          <w:p w14:paraId="38EAFB8A">
            <w:pPr>
              <w:jc w:val="center"/>
            </w:pPr>
            <w:r>
              <w:rPr>
                <w:rFonts w:ascii="黑体" w:hAnsi="黑体" w:eastAsia="黑体" w:cs="黑体"/>
                <w:b/>
                <w:bCs/>
                <w:sz w:val="21"/>
                <w:szCs w:val="21"/>
              </w:rPr>
              <w:t>WebGL支持</w:t>
            </w:r>
          </w:p>
        </w:tc>
        <w:tc>
          <w:tcPr>
            <w:tcW w:w="12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20" w:type="dxa"/>
              <w:bottom w:w="60" w:type="dxa"/>
              <w:right w:w="120" w:type="dxa"/>
            </w:tcMar>
            <w:vAlign w:val="center"/>
          </w:tcPr>
          <w:p w14:paraId="2939A272">
            <w:pPr>
              <w:jc w:val="center"/>
            </w:pPr>
            <w:r>
              <w:rPr>
                <w:rFonts w:ascii="黑体" w:hAnsi="黑体" w:eastAsia="黑体" w:cs="黑体"/>
                <w:b/>
                <w:bCs/>
                <w:sz w:val="21"/>
                <w:szCs w:val="21"/>
              </w:rPr>
              <w:t>运行状态</w:t>
            </w:r>
          </w:p>
        </w:tc>
        <w:tc>
          <w:tcPr>
            <w:tcW w:w="2712" w:type="dxa"/>
            <w:tcBorders>
              <w:top w:val="single" w:color="000000" w:sz="0" w:space="0"/>
              <w:left w:val="single" w:color="000000" w:sz="0" w:space="0"/>
              <w:bottom w:val="single" w:color="000000" w:sz="0" w:space="0"/>
              <w:right w:val="single" w:color="000000" w:sz="0" w:space="0"/>
            </w:tcBorders>
            <w:shd w:val="clear" w:color="auto" w:fill="D9E2F3"/>
            <w:tcMar>
              <w:top w:w="60" w:type="dxa"/>
              <w:left w:w="120" w:type="dxa"/>
              <w:bottom w:w="60" w:type="dxa"/>
              <w:right w:w="120" w:type="dxa"/>
            </w:tcMar>
            <w:vAlign w:val="center"/>
          </w:tcPr>
          <w:p w14:paraId="34E0AA6E">
            <w:pPr>
              <w:jc w:val="center"/>
            </w:pPr>
            <w:r>
              <w:rPr>
                <w:rFonts w:ascii="黑体" w:hAnsi="黑体" w:eastAsia="黑体" w:cs="黑体"/>
                <w:b/>
                <w:bCs/>
                <w:sz w:val="21"/>
                <w:szCs w:val="21"/>
              </w:rPr>
              <w:t>备注</w:t>
            </w:r>
          </w:p>
        </w:tc>
      </w:tr>
      <w:tr w14:paraId="56316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4DF6BFC6">
            <w:pPr>
              <w:jc w:val="left"/>
            </w:pPr>
            <w:r>
              <w:rPr>
                <w:rFonts w:ascii="宋体" w:hAnsi="宋体" w:eastAsia="宋体" w:cs="宋体"/>
                <w:sz w:val="21"/>
                <w:szCs w:val="21"/>
              </w:rPr>
              <w:t>Google Chrome</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555C930F">
            <w:pPr>
              <w:jc w:val="center"/>
            </w:pPr>
            <w:r>
              <w:rPr>
                <w:rFonts w:ascii="宋体" w:hAnsi="宋体" w:eastAsia="宋体" w:cs="宋体"/>
                <w:sz w:val="21"/>
                <w:szCs w:val="21"/>
              </w:rPr>
              <w:t>130+</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684103C5">
            <w:pPr>
              <w:jc w:val="center"/>
            </w:pPr>
            <w:r>
              <w:rPr>
                <w:rFonts w:ascii="宋体" w:hAnsi="宋体" w:eastAsia="宋体" w:cs="宋体"/>
                <w:sz w:val="21"/>
                <w:szCs w:val="21"/>
              </w:rPr>
              <w:t>WebGL 2.0</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522537BE">
            <w:pPr>
              <w:jc w:val="center"/>
            </w:pPr>
            <w:r>
              <w:rPr>
                <w:rFonts w:ascii="宋体" w:hAnsi="宋体" w:eastAsia="宋体" w:cs="宋体"/>
                <w:sz w:val="21"/>
                <w:szCs w:val="21"/>
              </w:rPr>
              <w:t>正常</w:t>
            </w:r>
          </w:p>
        </w:tc>
        <w:tc>
          <w:tcPr>
            <w:tcW w:w="271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294EFC0E">
            <w:pPr>
              <w:jc w:val="center"/>
            </w:pPr>
            <w:r>
              <w:rPr>
                <w:rFonts w:ascii="宋体" w:hAnsi="宋体" w:eastAsia="宋体" w:cs="宋体"/>
                <w:sz w:val="21"/>
                <w:szCs w:val="21"/>
              </w:rPr>
              <w:t>推荐使用</w:t>
            </w:r>
          </w:p>
        </w:tc>
      </w:tr>
      <w:tr w14:paraId="1060F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64A24E15">
            <w:pPr>
              <w:jc w:val="left"/>
            </w:pPr>
            <w:r>
              <w:rPr>
                <w:rFonts w:ascii="宋体" w:hAnsi="宋体" w:eastAsia="宋体" w:cs="宋体"/>
                <w:sz w:val="21"/>
                <w:szCs w:val="21"/>
              </w:rPr>
              <w:t>Microsoft Edge</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7BA2CC48">
            <w:pPr>
              <w:jc w:val="center"/>
            </w:pPr>
            <w:r>
              <w:rPr>
                <w:rFonts w:ascii="宋体" w:hAnsi="宋体" w:eastAsia="宋体" w:cs="宋体"/>
                <w:sz w:val="21"/>
                <w:szCs w:val="21"/>
              </w:rPr>
              <w:t>130+</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66138756">
            <w:pPr>
              <w:jc w:val="center"/>
            </w:pPr>
            <w:r>
              <w:rPr>
                <w:rFonts w:ascii="宋体" w:hAnsi="宋体" w:eastAsia="宋体" w:cs="宋体"/>
                <w:sz w:val="21"/>
                <w:szCs w:val="21"/>
              </w:rPr>
              <w:t>WebGL 2.0</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2BEDFB29">
            <w:pPr>
              <w:jc w:val="center"/>
            </w:pPr>
            <w:r>
              <w:rPr>
                <w:rFonts w:ascii="宋体" w:hAnsi="宋体" w:eastAsia="宋体" w:cs="宋体"/>
                <w:sz w:val="21"/>
                <w:szCs w:val="21"/>
              </w:rPr>
              <w:t>正常</w:t>
            </w:r>
          </w:p>
        </w:tc>
        <w:tc>
          <w:tcPr>
            <w:tcW w:w="271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3355CF94">
            <w:pPr>
              <w:jc w:val="center"/>
            </w:pPr>
            <w:r>
              <w:rPr>
                <w:rFonts w:ascii="宋体" w:hAnsi="宋体" w:eastAsia="宋体" w:cs="宋体"/>
                <w:sz w:val="21"/>
                <w:szCs w:val="21"/>
              </w:rPr>
              <w:t>推荐使用</w:t>
            </w:r>
          </w:p>
        </w:tc>
      </w:tr>
      <w:tr w14:paraId="14B86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5BC8CEEE">
            <w:pPr>
              <w:jc w:val="left"/>
            </w:pPr>
            <w:r>
              <w:rPr>
                <w:rFonts w:ascii="宋体" w:hAnsi="宋体" w:eastAsia="宋体" w:cs="宋体"/>
                <w:sz w:val="21"/>
                <w:szCs w:val="21"/>
              </w:rPr>
              <w:t>Mozilla Firefox</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50D2979E">
            <w:pPr>
              <w:jc w:val="center"/>
            </w:pPr>
            <w:r>
              <w:rPr>
                <w:rFonts w:ascii="宋体" w:hAnsi="宋体" w:eastAsia="宋体" w:cs="宋体"/>
                <w:sz w:val="21"/>
                <w:szCs w:val="21"/>
              </w:rPr>
              <w:t>132+</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7B09FF61">
            <w:pPr>
              <w:jc w:val="center"/>
            </w:pPr>
            <w:r>
              <w:rPr>
                <w:rFonts w:ascii="宋体" w:hAnsi="宋体" w:eastAsia="宋体" w:cs="宋体"/>
                <w:sz w:val="21"/>
                <w:szCs w:val="21"/>
              </w:rPr>
              <w:t>WebGL 2.0</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5FC79F97">
            <w:pPr>
              <w:jc w:val="center"/>
            </w:pPr>
            <w:r>
              <w:rPr>
                <w:rFonts w:ascii="宋体" w:hAnsi="宋体" w:eastAsia="宋体" w:cs="宋体"/>
                <w:sz w:val="21"/>
                <w:szCs w:val="21"/>
              </w:rPr>
              <w:t>正常</w:t>
            </w:r>
          </w:p>
        </w:tc>
        <w:tc>
          <w:tcPr>
            <w:tcW w:w="271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05AF4C88">
            <w:pPr>
              <w:jc w:val="center"/>
            </w:pPr>
            <w:r>
              <w:rPr>
                <w:rFonts w:ascii="宋体" w:hAnsi="宋体" w:eastAsia="宋体" w:cs="宋体"/>
                <w:sz w:val="21"/>
                <w:szCs w:val="21"/>
              </w:rPr>
              <w:t>首次加载略慢</w:t>
            </w:r>
          </w:p>
        </w:tc>
      </w:tr>
      <w:tr w14:paraId="3B54D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42EB2B70">
            <w:pPr>
              <w:jc w:val="left"/>
            </w:pPr>
            <w:r>
              <w:rPr>
                <w:rFonts w:ascii="宋体" w:hAnsi="宋体" w:eastAsia="宋体" w:cs="宋体"/>
                <w:sz w:val="21"/>
                <w:szCs w:val="21"/>
              </w:rPr>
              <w:t>Safari</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2DEE2A59">
            <w:pPr>
              <w:jc w:val="center"/>
            </w:pPr>
            <w:r>
              <w:rPr>
                <w:rFonts w:ascii="宋体" w:hAnsi="宋体" w:eastAsia="宋体" w:cs="宋体"/>
                <w:sz w:val="21"/>
                <w:szCs w:val="21"/>
              </w:rPr>
              <w:t>18+</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3AF92CE9">
            <w:pPr>
              <w:jc w:val="center"/>
            </w:pPr>
            <w:r>
              <w:rPr>
                <w:rFonts w:ascii="宋体" w:hAnsi="宋体" w:eastAsia="宋体" w:cs="宋体"/>
                <w:sz w:val="21"/>
                <w:szCs w:val="21"/>
              </w:rPr>
              <w:t>WebGL 2.0</w:t>
            </w:r>
          </w:p>
        </w:tc>
        <w:tc>
          <w:tcPr>
            <w:tcW w:w="12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2EAB0512">
            <w:pPr>
              <w:jc w:val="center"/>
            </w:pPr>
            <w:r>
              <w:rPr>
                <w:rFonts w:ascii="宋体" w:hAnsi="宋体" w:eastAsia="宋体" w:cs="宋体"/>
                <w:sz w:val="21"/>
                <w:szCs w:val="21"/>
              </w:rPr>
              <w:t>正常</w:t>
            </w:r>
          </w:p>
        </w:tc>
        <w:tc>
          <w:tcPr>
            <w:tcW w:w="271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37C8B685">
            <w:pPr>
              <w:jc w:val="center"/>
            </w:pPr>
            <w:r>
              <w:rPr>
                <w:rFonts w:ascii="宋体" w:hAnsi="宋体" w:eastAsia="宋体" w:cs="宋体"/>
                <w:sz w:val="21"/>
                <w:szCs w:val="21"/>
              </w:rPr>
              <w:t>macOS/iOS测试通过</w:t>
            </w:r>
          </w:p>
        </w:tc>
      </w:tr>
    </w:tbl>
    <w:p w14:paraId="6DF307F4">
      <w:pPr>
        <w:spacing w:line="200" w:lineRule="auto"/>
      </w:pPr>
    </w:p>
    <w:p w14:paraId="7B56FB90">
      <w:pPr>
        <w:spacing w:before="0" w:after="0" w:line="360" w:lineRule="auto"/>
        <w:ind w:firstLine="480"/>
        <w:jc w:val="both"/>
      </w:pPr>
      <w:r>
        <w:rPr>
          <w:rFonts w:ascii="宋体" w:hAnsi="宋体" w:eastAsia="宋体" w:cs="宋体"/>
          <w:sz w:val="24"/>
          <w:szCs w:val="24"/>
        </w:rPr>
        <w:t>需注意的是，若用户设备的显卡驱动不支持 WebGL（常见于部分虚拟机环境或过旧的集成显卡），三维场景将无法渲染。系统在加载阶段通过超时检测自动显示提示信息，引导用户更换环境。</w:t>
      </w:r>
    </w:p>
    <w:p w14:paraId="00BD87A5">
      <w:r>
        <w:br w:type="page"/>
      </w:r>
    </w:p>
    <w:p w14:paraId="2ABD573D">
      <w:pPr>
        <w:pageBreakBefore/>
        <w:spacing w:before="360" w:after="240" w:line="360" w:lineRule="auto"/>
        <w:ind w:firstLine="0"/>
        <w:jc w:val="center"/>
      </w:pPr>
      <w:bookmarkStart w:id="4" w:name="_Toc005"/>
      <w:r>
        <w:rPr>
          <w:rFonts w:ascii="黑体" w:hAnsi="黑体" w:eastAsia="黑体" w:cs="黑体"/>
          <w:b/>
          <w:bCs/>
          <w:sz w:val="30"/>
          <w:szCs w:val="30"/>
        </w:rPr>
        <w:t>第五章  安装及使用</w:t>
      </w:r>
      <w:bookmarkEnd w:id="4"/>
    </w:p>
    <w:p w14:paraId="5F13473A">
      <w:pPr>
        <w:spacing w:before="240" w:after="120" w:line="360" w:lineRule="auto"/>
        <w:ind w:firstLine="0"/>
        <w:jc w:val="left"/>
      </w:pPr>
      <w:r>
        <w:rPr>
          <w:rFonts w:ascii="黑体" w:hAnsi="黑体" w:eastAsia="黑体" w:cs="黑体"/>
          <w:b/>
          <w:bCs/>
          <w:sz w:val="28"/>
          <w:szCs w:val="28"/>
        </w:rPr>
        <w:t>5.1  运行环境要求</w:t>
      </w:r>
    </w:p>
    <w:p w14:paraId="611C98FA">
      <w:pPr>
        <w:spacing w:before="0" w:after="0" w:line="360" w:lineRule="auto"/>
        <w:ind w:firstLine="480"/>
        <w:jc w:val="both"/>
      </w:pPr>
      <w:r>
        <w:rPr>
          <w:rFonts w:ascii="宋体" w:hAnsi="宋体" w:eastAsia="宋体" w:cs="宋体"/>
          <w:sz w:val="24"/>
          <w:szCs w:val="24"/>
        </w:rPr>
        <w:t>本作品为纯前端 Web 应用，无需安装任何软件。最低运行环境要求如下：</w:t>
      </w:r>
    </w:p>
    <w:p w14:paraId="0A3401FD">
      <w:pPr>
        <w:spacing w:before="60" w:after="60" w:line="300" w:lineRule="auto"/>
        <w:ind w:firstLine="0"/>
        <w:jc w:val="center"/>
      </w:pPr>
      <w:r>
        <w:rPr>
          <w:rFonts w:ascii="宋体" w:hAnsi="宋体" w:eastAsia="宋体" w:cs="宋体"/>
          <w:b/>
          <w:bCs/>
          <w:sz w:val="21"/>
          <w:szCs w:val="21"/>
        </w:rPr>
        <w:t>表5-1  运行环境要求</w:t>
      </w:r>
    </w:p>
    <w:tbl>
      <w:tblPr>
        <w:tblStyle w:val="11"/>
        <w:tblW w:w="83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956"/>
        <w:gridCol w:w="2956"/>
      </w:tblGrid>
      <w:tr w14:paraId="16A2C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20" w:type="dxa"/>
              <w:bottom w:w="60" w:type="dxa"/>
              <w:right w:w="120" w:type="dxa"/>
            </w:tcMar>
            <w:vAlign w:val="center"/>
          </w:tcPr>
          <w:p w14:paraId="0D6D6ED3">
            <w:pPr>
              <w:jc w:val="center"/>
            </w:pPr>
            <w:r>
              <w:rPr>
                <w:rFonts w:ascii="黑体" w:hAnsi="黑体" w:eastAsia="黑体" w:cs="黑体"/>
                <w:b/>
                <w:bCs/>
                <w:sz w:val="21"/>
                <w:szCs w:val="21"/>
              </w:rPr>
              <w:t>项目</w:t>
            </w:r>
          </w:p>
        </w:tc>
        <w:tc>
          <w:tcPr>
            <w:tcW w:w="2956" w:type="dxa"/>
            <w:tcBorders>
              <w:top w:val="single" w:color="000000" w:sz="0" w:space="0"/>
              <w:left w:val="single" w:color="000000" w:sz="0" w:space="0"/>
              <w:bottom w:val="single" w:color="000000" w:sz="0" w:space="0"/>
              <w:right w:val="single" w:color="000000" w:sz="0" w:space="0"/>
            </w:tcBorders>
            <w:shd w:val="clear" w:color="auto" w:fill="D9E2F3"/>
            <w:tcMar>
              <w:top w:w="60" w:type="dxa"/>
              <w:left w:w="120" w:type="dxa"/>
              <w:bottom w:w="60" w:type="dxa"/>
              <w:right w:w="120" w:type="dxa"/>
            </w:tcMar>
            <w:vAlign w:val="center"/>
          </w:tcPr>
          <w:p w14:paraId="28ED90A5">
            <w:pPr>
              <w:jc w:val="center"/>
            </w:pPr>
            <w:r>
              <w:rPr>
                <w:rFonts w:ascii="黑体" w:hAnsi="黑体" w:eastAsia="黑体" w:cs="黑体"/>
                <w:b/>
                <w:bCs/>
                <w:sz w:val="21"/>
                <w:szCs w:val="21"/>
              </w:rPr>
              <w:t>最低要求</w:t>
            </w:r>
          </w:p>
        </w:tc>
        <w:tc>
          <w:tcPr>
            <w:tcW w:w="2956" w:type="dxa"/>
            <w:tcBorders>
              <w:top w:val="single" w:color="000000" w:sz="0" w:space="0"/>
              <w:left w:val="single" w:color="000000" w:sz="0" w:space="0"/>
              <w:bottom w:val="single" w:color="000000" w:sz="0" w:space="0"/>
              <w:right w:val="single" w:color="000000" w:sz="0" w:space="0"/>
            </w:tcBorders>
            <w:shd w:val="clear" w:color="auto" w:fill="D9E2F3"/>
            <w:tcMar>
              <w:top w:w="60" w:type="dxa"/>
              <w:left w:w="120" w:type="dxa"/>
              <w:bottom w:w="60" w:type="dxa"/>
              <w:right w:w="120" w:type="dxa"/>
            </w:tcMar>
            <w:vAlign w:val="center"/>
          </w:tcPr>
          <w:p w14:paraId="63D588B8">
            <w:pPr>
              <w:jc w:val="center"/>
            </w:pPr>
            <w:r>
              <w:rPr>
                <w:rFonts w:ascii="黑体" w:hAnsi="黑体" w:eastAsia="黑体" w:cs="黑体"/>
                <w:b/>
                <w:bCs/>
                <w:sz w:val="21"/>
                <w:szCs w:val="21"/>
              </w:rPr>
              <w:t>推荐配置</w:t>
            </w:r>
          </w:p>
        </w:tc>
      </w:tr>
      <w:tr w14:paraId="3C752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1C0E8C62">
            <w:pPr>
              <w:jc w:val="left"/>
            </w:pPr>
            <w:r>
              <w:rPr>
                <w:rFonts w:ascii="宋体" w:hAnsi="宋体" w:eastAsia="宋体" w:cs="宋体"/>
                <w:sz w:val="21"/>
                <w:szCs w:val="21"/>
              </w:rPr>
              <w:t>操作系统</w:t>
            </w:r>
          </w:p>
        </w:tc>
        <w:tc>
          <w:tcPr>
            <w:tcW w:w="295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197F1E8B">
            <w:pPr>
              <w:jc w:val="center"/>
            </w:pPr>
            <w:r>
              <w:rPr>
                <w:rFonts w:ascii="宋体" w:hAnsi="宋体" w:eastAsia="宋体" w:cs="宋体"/>
                <w:sz w:val="21"/>
                <w:szCs w:val="21"/>
              </w:rPr>
              <w:t>Windows 10 / macOS 11 / Linux</w:t>
            </w:r>
          </w:p>
        </w:tc>
        <w:tc>
          <w:tcPr>
            <w:tcW w:w="295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47B73A98">
            <w:pPr>
              <w:jc w:val="center"/>
            </w:pPr>
            <w:r>
              <w:rPr>
                <w:rFonts w:ascii="宋体" w:hAnsi="宋体" w:eastAsia="宋体" w:cs="宋体"/>
                <w:sz w:val="21"/>
                <w:szCs w:val="21"/>
              </w:rPr>
              <w:t>Windows 11 / macOS 14+</w:t>
            </w:r>
          </w:p>
        </w:tc>
      </w:tr>
      <w:tr w14:paraId="1D67D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6A29DFCF">
            <w:pPr>
              <w:jc w:val="left"/>
            </w:pPr>
            <w:r>
              <w:rPr>
                <w:rFonts w:ascii="宋体" w:hAnsi="宋体" w:eastAsia="宋体" w:cs="宋体"/>
                <w:sz w:val="21"/>
                <w:szCs w:val="21"/>
              </w:rPr>
              <w:t>浏览器</w:t>
            </w:r>
          </w:p>
        </w:tc>
        <w:tc>
          <w:tcPr>
            <w:tcW w:w="295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1B07EC68">
            <w:pPr>
              <w:jc w:val="center"/>
            </w:pPr>
            <w:r>
              <w:rPr>
                <w:rFonts w:ascii="宋体" w:hAnsi="宋体" w:eastAsia="宋体" w:cs="宋体"/>
                <w:sz w:val="21"/>
                <w:szCs w:val="21"/>
              </w:rPr>
              <w:t>Chrome 90+ / Edge 90+ / Firefox 90+</w:t>
            </w:r>
          </w:p>
        </w:tc>
        <w:tc>
          <w:tcPr>
            <w:tcW w:w="295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491AEFD5">
            <w:pPr>
              <w:jc w:val="center"/>
            </w:pPr>
            <w:r>
              <w:rPr>
                <w:rFonts w:ascii="宋体" w:hAnsi="宋体" w:eastAsia="宋体" w:cs="宋体"/>
                <w:sz w:val="21"/>
                <w:szCs w:val="21"/>
              </w:rPr>
              <w:t>Chrome 130+ / Edge 130+</w:t>
            </w:r>
          </w:p>
        </w:tc>
      </w:tr>
      <w:tr w14:paraId="63AE0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4EFA94B4">
            <w:pPr>
              <w:jc w:val="left"/>
            </w:pPr>
            <w:r>
              <w:rPr>
                <w:rFonts w:ascii="宋体" w:hAnsi="宋体" w:eastAsia="宋体" w:cs="宋体"/>
                <w:sz w:val="21"/>
                <w:szCs w:val="21"/>
              </w:rPr>
              <w:t>WebGL支持</w:t>
            </w:r>
          </w:p>
        </w:tc>
        <w:tc>
          <w:tcPr>
            <w:tcW w:w="295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644A87A8">
            <w:pPr>
              <w:jc w:val="center"/>
            </w:pPr>
            <w:r>
              <w:rPr>
                <w:rFonts w:ascii="宋体" w:hAnsi="宋体" w:eastAsia="宋体" w:cs="宋体"/>
                <w:sz w:val="21"/>
                <w:szCs w:val="21"/>
              </w:rPr>
              <w:t>WebGL 1.0</w:t>
            </w:r>
          </w:p>
        </w:tc>
        <w:tc>
          <w:tcPr>
            <w:tcW w:w="295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51FD476F">
            <w:pPr>
              <w:jc w:val="center"/>
            </w:pPr>
            <w:r>
              <w:rPr>
                <w:rFonts w:ascii="宋体" w:hAnsi="宋体" w:eastAsia="宋体" w:cs="宋体"/>
                <w:sz w:val="21"/>
                <w:szCs w:val="21"/>
              </w:rPr>
              <w:t>WebGL 2.0</w:t>
            </w:r>
          </w:p>
        </w:tc>
      </w:tr>
      <w:tr w14:paraId="44778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32A8AEA4">
            <w:pPr>
              <w:jc w:val="left"/>
            </w:pPr>
            <w:r>
              <w:rPr>
                <w:rFonts w:ascii="宋体" w:hAnsi="宋体" w:eastAsia="宋体" w:cs="宋体"/>
                <w:sz w:val="21"/>
                <w:szCs w:val="21"/>
              </w:rPr>
              <w:t>显卡</w:t>
            </w:r>
          </w:p>
        </w:tc>
        <w:tc>
          <w:tcPr>
            <w:tcW w:w="295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3329DE8D">
            <w:pPr>
              <w:jc w:val="center"/>
            </w:pPr>
            <w:r>
              <w:rPr>
                <w:rFonts w:ascii="宋体" w:hAnsi="宋体" w:eastAsia="宋体" w:cs="宋体"/>
                <w:sz w:val="21"/>
                <w:szCs w:val="21"/>
              </w:rPr>
              <w:t>支持WebGL的集成显卡</w:t>
            </w:r>
          </w:p>
        </w:tc>
        <w:tc>
          <w:tcPr>
            <w:tcW w:w="295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3379CD43">
            <w:pPr>
              <w:jc w:val="center"/>
            </w:pPr>
            <w:r>
              <w:rPr>
                <w:rFonts w:ascii="宋体" w:hAnsi="宋体" w:eastAsia="宋体" w:cs="宋体"/>
                <w:sz w:val="21"/>
                <w:szCs w:val="21"/>
              </w:rPr>
              <w:t>独立显卡（NVIDIA/AMD）</w:t>
            </w:r>
          </w:p>
        </w:tc>
      </w:tr>
      <w:tr w14:paraId="6C8AB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7CB40DED">
            <w:pPr>
              <w:jc w:val="left"/>
            </w:pPr>
            <w:r>
              <w:rPr>
                <w:rFonts w:ascii="宋体" w:hAnsi="宋体" w:eastAsia="宋体" w:cs="宋体"/>
                <w:sz w:val="21"/>
                <w:szCs w:val="21"/>
              </w:rPr>
              <w:t>内存</w:t>
            </w:r>
          </w:p>
        </w:tc>
        <w:tc>
          <w:tcPr>
            <w:tcW w:w="295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2B5C5E7C">
            <w:pPr>
              <w:jc w:val="center"/>
            </w:pPr>
            <w:r>
              <w:rPr>
                <w:rFonts w:ascii="宋体" w:hAnsi="宋体" w:eastAsia="宋体" w:cs="宋体"/>
                <w:sz w:val="21"/>
                <w:szCs w:val="21"/>
              </w:rPr>
              <w:t>4 GB</w:t>
            </w:r>
          </w:p>
        </w:tc>
        <w:tc>
          <w:tcPr>
            <w:tcW w:w="295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147BC42C">
            <w:pPr>
              <w:jc w:val="center"/>
            </w:pPr>
            <w:r>
              <w:rPr>
                <w:rFonts w:ascii="宋体" w:hAnsi="宋体" w:eastAsia="宋体" w:cs="宋体"/>
                <w:sz w:val="21"/>
                <w:szCs w:val="21"/>
              </w:rPr>
              <w:t>8 GB+</w:t>
            </w:r>
          </w:p>
        </w:tc>
      </w:tr>
      <w:tr w14:paraId="53580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2495DD91">
            <w:pPr>
              <w:jc w:val="left"/>
            </w:pPr>
            <w:r>
              <w:rPr>
                <w:rFonts w:ascii="宋体" w:hAnsi="宋体" w:eastAsia="宋体" w:cs="宋体"/>
                <w:sz w:val="21"/>
                <w:szCs w:val="21"/>
              </w:rPr>
              <w:t>网络</w:t>
            </w:r>
          </w:p>
        </w:tc>
        <w:tc>
          <w:tcPr>
            <w:tcW w:w="295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4EAF37B4">
            <w:pPr>
              <w:jc w:val="center"/>
            </w:pPr>
            <w:r>
              <w:rPr>
                <w:rFonts w:ascii="宋体" w:hAnsi="宋体" w:eastAsia="宋体" w:cs="宋体"/>
                <w:sz w:val="21"/>
                <w:szCs w:val="21"/>
              </w:rPr>
              <w:t>首次加载需互联网（CDN）</w:t>
            </w:r>
          </w:p>
        </w:tc>
        <w:tc>
          <w:tcPr>
            <w:tcW w:w="295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vAlign w:val="center"/>
          </w:tcPr>
          <w:p w14:paraId="28F8C638">
            <w:pPr>
              <w:jc w:val="center"/>
            </w:pPr>
            <w:r>
              <w:rPr>
                <w:rFonts w:ascii="宋体" w:hAnsi="宋体" w:eastAsia="宋体" w:cs="宋体"/>
                <w:sz w:val="21"/>
                <w:szCs w:val="21"/>
              </w:rPr>
              <w:t>可将Three.js本地化以离线运行</w:t>
            </w:r>
          </w:p>
        </w:tc>
      </w:tr>
    </w:tbl>
    <w:p w14:paraId="7EFE337E">
      <w:pPr>
        <w:spacing w:line="200" w:lineRule="auto"/>
      </w:pPr>
    </w:p>
    <w:p w14:paraId="39425509">
      <w:pPr>
        <w:spacing w:before="240" w:after="120" w:line="360" w:lineRule="auto"/>
        <w:ind w:firstLine="0"/>
        <w:jc w:val="left"/>
      </w:pPr>
      <w:r>
        <w:rPr>
          <w:rFonts w:ascii="黑体" w:hAnsi="黑体" w:eastAsia="黑体" w:cs="黑体"/>
          <w:b/>
          <w:bCs/>
          <w:sz w:val="28"/>
          <w:szCs w:val="28"/>
        </w:rPr>
        <w:t>5.2  部署方法</w:t>
      </w:r>
    </w:p>
    <w:p w14:paraId="7267182F">
      <w:pPr>
        <w:spacing w:before="0" w:after="0" w:line="360" w:lineRule="auto"/>
        <w:ind w:firstLine="480"/>
        <w:jc w:val="both"/>
      </w:pPr>
      <w:r>
        <w:rPr>
          <w:rFonts w:ascii="宋体" w:hAnsi="宋体" w:eastAsia="宋体" w:cs="宋体"/>
          <w:sz w:val="24"/>
          <w:szCs w:val="24"/>
        </w:rPr>
        <w:t>本作品以单文件 HTML 格式分发，部署方法极为简便：</w:t>
      </w:r>
    </w:p>
    <w:p w14:paraId="1D2C5164">
      <w:pPr>
        <w:spacing w:before="0" w:after="0" w:line="360" w:lineRule="auto"/>
        <w:ind w:firstLine="480"/>
        <w:jc w:val="both"/>
      </w:pPr>
      <w:r>
        <w:rPr>
          <w:rFonts w:ascii="宋体" w:hAnsi="宋体" w:eastAsia="宋体" w:cs="宋体"/>
          <w:b/>
          <w:bCs/>
          <w:sz w:val="24"/>
          <w:szCs w:val="24"/>
        </w:rPr>
        <w:t>方法一（直接打开）：</w:t>
      </w:r>
      <w:r>
        <w:rPr>
          <w:rFonts w:ascii="宋体" w:hAnsi="宋体" w:eastAsia="宋体" w:cs="宋体"/>
          <w:sz w:val="24"/>
          <w:szCs w:val="24"/>
        </w:rPr>
        <w:t>在文件管理器中直接双击 index.html 文件，系统将调用默认浏览器打开。注意：首次运行需联网以从 CDN 加载 Three.js 库（约 600 KB），此后的运行将利用浏览器缓存。</w:t>
      </w:r>
    </w:p>
    <w:p w14:paraId="702C922D">
      <w:pPr>
        <w:spacing w:before="0" w:after="0" w:line="360" w:lineRule="auto"/>
        <w:ind w:firstLine="480"/>
        <w:jc w:val="both"/>
      </w:pPr>
      <w:r>
        <w:rPr>
          <w:rFonts w:ascii="宋体" w:hAnsi="宋体" w:eastAsia="宋体" w:cs="宋体"/>
          <w:b/>
          <w:bCs/>
          <w:sz w:val="24"/>
          <w:szCs w:val="24"/>
        </w:rPr>
        <w:t>方法二（本地服务器）：</w:t>
      </w:r>
      <w:r>
        <w:rPr>
          <w:rFonts w:ascii="宋体" w:hAnsi="宋体" w:eastAsia="宋体" w:cs="宋体"/>
          <w:sz w:val="24"/>
          <w:szCs w:val="24"/>
        </w:rPr>
        <w:t>若需避免跨域限制或离线运行，可在项目目录下启动本地 HTTP 服务器。例如使用 Python 3 执行 'python -m http.server 8080'，然后在浏览器访问 'http://localhost:8080'。</w:t>
      </w:r>
    </w:p>
    <w:p w14:paraId="17739643">
      <w:pPr>
        <w:spacing w:before="0" w:after="0" w:line="360" w:lineRule="auto"/>
        <w:ind w:firstLine="480"/>
        <w:jc w:val="both"/>
      </w:pPr>
      <w:r>
        <w:rPr>
          <w:rFonts w:ascii="宋体" w:hAnsi="宋体" w:eastAsia="宋体" w:cs="宋体"/>
          <w:b/>
          <w:bCs/>
          <w:sz w:val="24"/>
          <w:szCs w:val="24"/>
        </w:rPr>
        <w:t>方法三（完全离线）：</w:t>
      </w:r>
      <w:r>
        <w:rPr>
          <w:rFonts w:ascii="宋体" w:hAnsi="宋体" w:eastAsia="宋体" w:cs="宋体"/>
          <w:sz w:val="24"/>
          <w:szCs w:val="24"/>
        </w:rPr>
        <w:t>下载 Three.js r160+ 的 ES 模块版本文件至项目目录下的 './lib/' 子目录，修改 HTML 中的 import map 指向本地路径。完成此操作后即可完全离线运行。</w:t>
      </w:r>
    </w:p>
    <w:p w14:paraId="587687A7">
      <w:pPr>
        <w:spacing w:before="240" w:after="120" w:line="360" w:lineRule="auto"/>
        <w:ind w:firstLine="0"/>
        <w:jc w:val="left"/>
      </w:pPr>
      <w:r>
        <w:rPr>
          <w:rFonts w:ascii="黑体" w:hAnsi="黑体" w:eastAsia="黑体" w:cs="黑体"/>
          <w:b/>
          <w:bCs/>
          <w:sz w:val="28"/>
          <w:szCs w:val="28"/>
        </w:rPr>
        <w:t>5.3  操作指南</w:t>
      </w:r>
    </w:p>
    <w:p w14:paraId="08105635">
      <w:pPr>
        <w:spacing w:before="0" w:after="0" w:line="360" w:lineRule="auto"/>
        <w:ind w:firstLine="480"/>
        <w:jc w:val="both"/>
      </w:pPr>
      <w:r>
        <w:rPr>
          <w:rFonts w:ascii="宋体" w:hAnsi="宋体" w:eastAsia="宋体" w:cs="宋体"/>
          <w:sz w:val="24"/>
          <w:szCs w:val="24"/>
        </w:rPr>
        <w:t>以下是推荐的典型实验流程：</w:t>
      </w:r>
    </w:p>
    <w:p w14:paraId="352C9281">
      <w:pPr>
        <w:spacing w:before="0" w:after="0" w:line="360" w:lineRule="auto"/>
        <w:ind w:firstLine="480"/>
        <w:jc w:val="both"/>
      </w:pPr>
      <w:r>
        <w:rPr>
          <w:rFonts w:ascii="宋体" w:hAnsi="宋体" w:eastAsia="宋体" w:cs="宋体"/>
          <w:b/>
          <w:bCs/>
          <w:sz w:val="24"/>
          <w:szCs w:val="24"/>
        </w:rPr>
        <w:t>步骤一：初始准备。</w:t>
      </w:r>
      <w:r>
        <w:rPr>
          <w:rFonts w:ascii="宋体" w:hAnsi="宋体" w:eastAsia="宋体" w:cs="宋体"/>
          <w:sz w:val="24"/>
          <w:szCs w:val="24"/>
        </w:rPr>
        <w:t>打开页面后，系统默认生成两个各含 300 个分子的容器，初始温度均为 300 K，容器 A 默认隔热，容器 B 默认非隔热。点击「同步初始条件」确保两侧初始状态完全一致。</w:t>
      </w:r>
    </w:p>
    <w:p w14:paraId="39ED7FC7">
      <w:pPr>
        <w:spacing w:before="0" w:after="0" w:line="360" w:lineRule="auto"/>
        <w:ind w:firstLine="480"/>
        <w:jc w:val="both"/>
      </w:pPr>
      <w:r>
        <w:rPr>
          <w:rFonts w:ascii="宋体" w:hAnsi="宋体" w:eastAsia="宋体" w:cs="宋体"/>
          <w:b/>
          <w:bCs/>
          <w:sz w:val="24"/>
          <w:szCs w:val="24"/>
        </w:rPr>
        <w:t>步骤二：设置对比条件。</w:t>
      </w:r>
      <w:r>
        <w:rPr>
          <w:rFonts w:ascii="宋体" w:hAnsi="宋体" w:eastAsia="宋体" w:cs="宋体"/>
          <w:sz w:val="24"/>
          <w:szCs w:val="24"/>
        </w:rPr>
        <w:t>勾选「联动活塞」以便一次操作同步改变两侧体积。容器 A 保持隔热模式（绝热过程），容器 B 取消隔热（等温过程）。</w:t>
      </w:r>
    </w:p>
    <w:p w14:paraId="5BFB8050">
      <w:pPr>
        <w:spacing w:before="0" w:after="0" w:line="360" w:lineRule="auto"/>
        <w:ind w:firstLine="480"/>
        <w:jc w:val="both"/>
      </w:pPr>
      <w:r>
        <w:rPr>
          <w:rFonts w:ascii="宋体" w:hAnsi="宋体" w:eastAsia="宋体" w:cs="宋体"/>
          <w:b/>
          <w:bCs/>
          <w:sz w:val="24"/>
          <w:szCs w:val="24"/>
        </w:rPr>
        <w:t>步骤三：执行压缩实验。</w:t>
      </w:r>
      <w:r>
        <w:rPr>
          <w:rFonts w:ascii="宋体" w:hAnsi="宋体" w:eastAsia="宋体" w:cs="宋体"/>
          <w:sz w:val="24"/>
          <w:szCs w:val="24"/>
        </w:rPr>
        <w:t>点击容器 A（或 B）的「压缩」按钮数次，或向右拖动活塞滑块。观察两侧容器中分子颜色的变化差异：容器 A 分子整体变红（温度升高），容器 B 分子颜色先变红后逐渐恢复（热浴散热）。</w:t>
      </w:r>
    </w:p>
    <w:p w14:paraId="44E5C78B">
      <w:pPr>
        <w:spacing w:before="0" w:after="0" w:line="360" w:lineRule="auto"/>
        <w:ind w:firstLine="480"/>
        <w:jc w:val="both"/>
      </w:pPr>
      <w:r>
        <w:rPr>
          <w:rFonts w:ascii="宋体" w:hAnsi="宋体" w:eastAsia="宋体" w:cs="宋体"/>
          <w:b/>
          <w:bCs/>
          <w:sz w:val="24"/>
          <w:szCs w:val="24"/>
        </w:rPr>
        <w:t>步骤四：观察数据。</w:t>
      </w:r>
      <w:r>
        <w:rPr>
          <w:rFonts w:ascii="宋体" w:hAnsi="宋体" w:eastAsia="宋体" w:cs="宋体"/>
          <w:sz w:val="24"/>
          <w:szCs w:val="24"/>
        </w:rPr>
        <w:t>查看各容器左上方叠加显示的温度、平均动能变化数据。对比下方直方图中分布峰位的变化：容器 A 的分布峰位右移并维持，容器 B 的分布峰位在短暂右移后逐步回移。</w:t>
      </w:r>
    </w:p>
    <w:p w14:paraId="7242CB82">
      <w:pPr>
        <w:spacing w:before="0" w:after="0" w:line="360" w:lineRule="auto"/>
        <w:ind w:firstLine="480"/>
        <w:jc w:val="both"/>
      </w:pPr>
      <w:r>
        <w:rPr>
          <w:rFonts w:ascii="宋体" w:hAnsi="宋体" w:eastAsia="宋体" w:cs="宋体"/>
          <w:b/>
          <w:bCs/>
          <w:sz w:val="24"/>
          <w:szCs w:val="24"/>
        </w:rPr>
        <w:t>步骤五：灵活探索。</w:t>
      </w:r>
      <w:r>
        <w:rPr>
          <w:rFonts w:ascii="宋体" w:hAnsi="宋体" w:eastAsia="宋体" w:cs="宋体"/>
          <w:sz w:val="24"/>
          <w:szCs w:val="24"/>
        </w:rPr>
        <w:t>可随时调整全局温度、切换隔热状态、反转活塞方向进行膨胀实验、调节面板透明度以获取更好的观察视角。勾选「联动视角」可同步旋转两个场景。</w:t>
      </w:r>
    </w:p>
    <w:p w14:paraId="7C12093F">
      <w:r>
        <w:br w:type="page"/>
      </w:r>
    </w:p>
    <w:p w14:paraId="30A02900">
      <w:pPr>
        <w:pageBreakBefore/>
        <w:spacing w:before="360" w:after="240" w:line="360" w:lineRule="auto"/>
        <w:ind w:firstLine="0"/>
        <w:jc w:val="center"/>
      </w:pPr>
      <w:bookmarkStart w:id="5" w:name="_Toc006"/>
      <w:r>
        <w:rPr>
          <w:rFonts w:ascii="黑体" w:hAnsi="黑体" w:eastAsia="黑体" w:cs="黑体"/>
          <w:b/>
          <w:bCs/>
          <w:sz w:val="30"/>
          <w:szCs w:val="30"/>
        </w:rPr>
        <w:t>第六章  项目总结</w:t>
      </w:r>
      <w:bookmarkEnd w:id="5"/>
    </w:p>
    <w:p w14:paraId="0786C987">
      <w:pPr>
        <w:spacing w:before="240" w:after="120" w:line="360" w:lineRule="auto"/>
        <w:ind w:firstLine="0"/>
        <w:jc w:val="left"/>
      </w:pPr>
      <w:r>
        <w:rPr>
          <w:rFonts w:ascii="黑体" w:hAnsi="黑体" w:eastAsia="黑体" w:cs="黑体"/>
          <w:b/>
          <w:bCs/>
          <w:sz w:val="28"/>
          <w:szCs w:val="28"/>
        </w:rPr>
        <w:t>6.1  主要创新点</w:t>
      </w:r>
    </w:p>
    <w:p w14:paraId="7609BE66">
      <w:pPr>
        <w:spacing w:before="0" w:after="0" w:line="360" w:lineRule="auto"/>
        <w:ind w:firstLine="480"/>
        <w:jc w:val="both"/>
      </w:pPr>
      <w:r>
        <w:rPr>
          <w:rFonts w:ascii="宋体" w:hAnsi="宋体" w:eastAsia="宋体" w:cs="宋体"/>
          <w:b/>
          <w:bCs/>
          <w:sz w:val="24"/>
          <w:szCs w:val="24"/>
        </w:rPr>
        <w:t>（1）全自主分子动力学引擎。</w:t>
      </w:r>
      <w:r>
        <w:rPr>
          <w:rFonts w:ascii="宋体" w:hAnsi="宋体" w:eastAsia="宋体" w:cs="宋体"/>
          <w:sz w:val="24"/>
          <w:szCs w:val="24"/>
        </w:rPr>
        <w:t>本作品的核心物理计算模块完全自主开发，不依赖任何第三方物理引擎。自主实现了硬球碰撞检测与响应、动壁连续碰撞检测（CCD）、麦克斯韦分布采样、弱 Berendsen 型热浴耦合等算法，充分体现了本届竞赛所鼓励的「基本物理过程计算模型的自主构建」精神。</w:t>
      </w:r>
    </w:p>
    <w:p w14:paraId="787B656E">
      <w:pPr>
        <w:spacing w:before="0" w:after="0" w:line="360" w:lineRule="auto"/>
        <w:ind w:firstLine="480"/>
        <w:jc w:val="both"/>
      </w:pPr>
      <w:r>
        <w:rPr>
          <w:rFonts w:ascii="宋体" w:hAnsi="宋体" w:eastAsia="宋体" w:cs="宋体"/>
          <w:b/>
          <w:bCs/>
          <w:sz w:val="24"/>
          <w:szCs w:val="24"/>
        </w:rPr>
        <w:t>（2）动壁做功的连续碰撞检测。</w:t>
      </w:r>
      <w:r>
        <w:rPr>
          <w:rFonts w:ascii="宋体" w:hAnsi="宋体" w:eastAsia="宋体" w:cs="宋体"/>
          <w:sz w:val="24"/>
          <w:szCs w:val="24"/>
        </w:rPr>
        <w:t>针对移动活塞的模拟，实现了子步内轨迹-壁面求交的 CCD 算法，而非简单的「终态判定」。这一设计从根本上解决了膨胀过程中壁面做功丢失的问题，是保证绝热关系数值精度的关键技术手段，在同类教学仿真中较为少见。</w:t>
      </w:r>
    </w:p>
    <w:p w14:paraId="3C8F98BB">
      <w:pPr>
        <w:spacing w:before="0" w:after="0" w:line="360" w:lineRule="auto"/>
        <w:ind w:firstLine="480"/>
        <w:jc w:val="both"/>
      </w:pPr>
      <w:r>
        <w:rPr>
          <w:rFonts w:ascii="宋体" w:hAnsi="宋体" w:eastAsia="宋体" w:cs="宋体"/>
          <w:b/>
          <w:bCs/>
          <w:sz w:val="24"/>
          <w:szCs w:val="24"/>
        </w:rPr>
        <w:t>（3）双容器并排对比的实验范式。</w:t>
      </w:r>
      <w:r>
        <w:rPr>
          <w:rFonts w:ascii="宋体" w:hAnsi="宋体" w:eastAsia="宋体" w:cs="宋体"/>
          <w:sz w:val="24"/>
          <w:szCs w:val="24"/>
        </w:rPr>
        <w:t>将绝热与等温过程置于同一界面的两个并排容器中，配合初始条件同步与活塞联动功能，实现了真正意义上的控制变量对比实验。这种设计不仅使物理差异一目了然，更潜移默化地训练了学生的科学实验方法论。</w:t>
      </w:r>
    </w:p>
    <w:p w14:paraId="1F007764">
      <w:pPr>
        <w:spacing w:before="0" w:after="0" w:line="360" w:lineRule="auto"/>
        <w:ind w:firstLine="480"/>
        <w:jc w:val="both"/>
      </w:pPr>
      <w:r>
        <w:rPr>
          <w:rFonts w:ascii="宋体" w:hAnsi="宋体" w:eastAsia="宋体" w:cs="宋体"/>
          <w:b/>
          <w:bCs/>
          <w:sz w:val="24"/>
          <w:szCs w:val="24"/>
        </w:rPr>
        <w:t>（4）微观运动与宏观统计的实时耦合。</w:t>
      </w:r>
      <w:r>
        <w:rPr>
          <w:rFonts w:ascii="宋体" w:hAnsi="宋体" w:eastAsia="宋体" w:cs="宋体"/>
          <w:sz w:val="24"/>
          <w:szCs w:val="24"/>
        </w:rPr>
        <w:t>分子个体的三维动力学轨迹与系统的宏观热力学量（温度、平均动能、速率分布）在同一界面上实时联动。学生可以看到每一个分子的运动，同时也能看到由此涌现出的宏观规律——这种「既见树木，又见森林」的表征方式，是传统教学手段难以实现的。</w:t>
      </w:r>
    </w:p>
    <w:p w14:paraId="7B438540">
      <w:pPr>
        <w:spacing w:before="0" w:after="0" w:line="360" w:lineRule="auto"/>
        <w:ind w:firstLine="480"/>
        <w:jc w:val="both"/>
      </w:pPr>
      <w:r>
        <w:rPr>
          <w:rFonts w:ascii="宋体" w:hAnsi="宋体" w:eastAsia="宋体" w:cs="宋体"/>
          <w:b/>
          <w:bCs/>
          <w:sz w:val="24"/>
          <w:szCs w:val="24"/>
        </w:rPr>
        <w:t>（5）基于 Web 标准的零安装部署。</w:t>
      </w:r>
      <w:r>
        <w:rPr>
          <w:rFonts w:ascii="宋体" w:hAnsi="宋体" w:eastAsia="宋体" w:cs="宋体"/>
          <w:sz w:val="24"/>
          <w:szCs w:val="24"/>
        </w:rPr>
        <w:t>作品以单个 HTML 文件的形式分发，利用 CDN 加载 Three.js，用户无需安装任何软件或配置环境。这一设计最大化了作品的普适性与可及性。</w:t>
      </w:r>
    </w:p>
    <w:p w14:paraId="7D49C75D">
      <w:pPr>
        <w:spacing w:before="240" w:after="120" w:line="360" w:lineRule="auto"/>
        <w:ind w:firstLine="0"/>
        <w:jc w:val="left"/>
      </w:pPr>
      <w:r>
        <w:rPr>
          <w:rFonts w:ascii="黑体" w:hAnsi="黑体" w:eastAsia="黑体" w:cs="黑体"/>
          <w:b/>
          <w:bCs/>
          <w:sz w:val="28"/>
          <w:szCs w:val="28"/>
        </w:rPr>
        <w:t>6.2  存在的不足</w:t>
      </w:r>
    </w:p>
    <w:p w14:paraId="7DA32B9B">
      <w:pPr>
        <w:spacing w:before="0" w:after="0" w:line="360" w:lineRule="auto"/>
        <w:ind w:firstLine="480"/>
        <w:jc w:val="both"/>
      </w:pPr>
      <w:r>
        <w:rPr>
          <w:rFonts w:ascii="宋体" w:hAnsi="宋体" w:eastAsia="宋体" w:cs="宋体"/>
          <w:sz w:val="24"/>
          <w:szCs w:val="24"/>
        </w:rPr>
        <w:t>本作品在以下方面仍有改进空间：</w:t>
      </w:r>
    </w:p>
    <w:p w14:paraId="29DDD25B">
      <w:pPr>
        <w:spacing w:before="0" w:after="0" w:line="360" w:lineRule="auto"/>
        <w:ind w:firstLine="480"/>
        <w:jc w:val="both"/>
      </w:pPr>
      <w:r>
        <w:rPr>
          <w:rFonts w:ascii="宋体" w:hAnsi="宋体" w:eastAsia="宋体" w:cs="宋体"/>
          <w:b/>
          <w:bCs/>
          <w:sz w:val="24"/>
          <w:szCs w:val="24"/>
        </w:rPr>
        <w:t>（1）分子数量的限制。</w:t>
      </w:r>
      <w:r>
        <w:rPr>
          <w:rFonts w:ascii="宋体" w:hAnsi="宋体" w:eastAsia="宋体" w:cs="宋体"/>
          <w:sz w:val="24"/>
          <w:szCs w:val="24"/>
        </w:rPr>
        <w:t>受限于浏览器 JavaScript 单线程的性能模型，当前默认分子数 N=300 已接近实时交互的舒适上界（~3000 次粒子对碰撞检测/帧）。虽然对于教学演示已经足够，但若要展示更平滑的统计性质，需要更多粒子——这一目标需要引入空间哈希或网格划分等加速结构。</w:t>
      </w:r>
    </w:p>
    <w:p w14:paraId="579D7B5C">
      <w:pPr>
        <w:spacing w:before="0" w:after="0" w:line="360" w:lineRule="auto"/>
        <w:ind w:firstLine="480"/>
        <w:jc w:val="both"/>
      </w:pPr>
      <w:r>
        <w:rPr>
          <w:rFonts w:ascii="宋体" w:hAnsi="宋体" w:eastAsia="宋体" w:cs="宋体"/>
          <w:b/>
          <w:bCs/>
          <w:sz w:val="24"/>
          <w:szCs w:val="24"/>
        </w:rPr>
        <w:t>（2）分子间相互作用的简化。</w:t>
      </w:r>
      <w:r>
        <w:rPr>
          <w:rFonts w:ascii="宋体" w:hAnsi="宋体" w:eastAsia="宋体" w:cs="宋体"/>
          <w:sz w:val="24"/>
          <w:szCs w:val="24"/>
        </w:rPr>
        <w:t>当前模型采用硬球近似，未考虑分子间的长程范德瓦尔斯吸引力。这使得系统无法模拟真实气体的相变等丰富现象，限制了仿真在更高级热力学教学中的应用。</w:t>
      </w:r>
    </w:p>
    <w:p w14:paraId="5E5F829A">
      <w:pPr>
        <w:spacing w:before="0" w:after="0" w:line="360" w:lineRule="auto"/>
        <w:ind w:firstLine="480"/>
        <w:jc w:val="both"/>
      </w:pPr>
      <w:r>
        <w:rPr>
          <w:rFonts w:ascii="宋体" w:hAnsi="宋体" w:eastAsia="宋体" w:cs="宋体"/>
          <w:b/>
          <w:bCs/>
          <w:sz w:val="24"/>
          <w:szCs w:val="24"/>
        </w:rPr>
        <w:t>（3）缺乏压强测量。</w:t>
      </w:r>
      <w:r>
        <w:rPr>
          <w:rFonts w:ascii="宋体" w:hAnsi="宋体" w:eastAsia="宋体" w:cs="宋体"/>
          <w:sz w:val="24"/>
          <w:szCs w:val="24"/>
        </w:rPr>
        <w:t>当前系统直接显示温度与平均动能，但未计算和显示压强（P = N k_B T / V 或通过壁面动量传递统计）。添加压强指标将使理想气体状态方程 PV = N k_B T 的验证成为可能，进一步增强教学价值。</w:t>
      </w:r>
    </w:p>
    <w:p w14:paraId="51B1837B">
      <w:pPr>
        <w:spacing w:before="0" w:after="0" w:line="360" w:lineRule="auto"/>
        <w:ind w:firstLine="480"/>
        <w:jc w:val="both"/>
      </w:pPr>
      <w:r>
        <w:rPr>
          <w:rFonts w:ascii="宋体" w:hAnsi="宋体" w:eastAsia="宋体" w:cs="宋体"/>
          <w:b/>
          <w:bCs/>
          <w:sz w:val="24"/>
          <w:szCs w:val="24"/>
        </w:rPr>
        <w:t>（4）活塞移动速度的限制。</w:t>
      </w:r>
      <w:r>
        <w:rPr>
          <w:rFonts w:ascii="宋体" w:hAnsi="宋体" w:eastAsia="宋体" w:cs="宋体"/>
          <w:sz w:val="24"/>
          <w:szCs w:val="24"/>
        </w:rPr>
        <w:t>CCD 算法虽然保证了绝热关系的准确性，但当活塞移动速度极快时（对应实际中的快速压缩），系统在短时间内经历的非平衡态可能超出当前热浴模型的调控能力。引入更精细的中间态处理可改善这一问题。</w:t>
      </w:r>
    </w:p>
    <w:p w14:paraId="72DDDE38">
      <w:pPr>
        <w:spacing w:before="0" w:after="0" w:line="360" w:lineRule="auto"/>
        <w:ind w:firstLine="480"/>
        <w:jc w:val="both"/>
      </w:pPr>
      <w:r>
        <w:rPr>
          <w:rFonts w:ascii="宋体" w:hAnsi="宋体" w:eastAsia="宋体" w:cs="宋体"/>
          <w:b/>
          <w:bCs/>
          <w:sz w:val="24"/>
          <w:szCs w:val="24"/>
        </w:rPr>
        <w:t>（5）移动端适配。</w:t>
      </w:r>
      <w:r>
        <w:rPr>
          <w:rFonts w:ascii="宋体" w:hAnsi="宋体" w:eastAsia="宋体" w:cs="宋体"/>
          <w:sz w:val="24"/>
          <w:szCs w:val="24"/>
        </w:rPr>
        <w:t>当前用户界面针对桌面端设计，在小屏幕设备上控件布局拥挤，触摸交互体验欠佳。未来可考虑响应式布局或独立的移动端界面。</w:t>
      </w:r>
    </w:p>
    <w:p w14:paraId="240BB725">
      <w:pPr>
        <w:spacing w:before="240" w:after="120" w:line="360" w:lineRule="auto"/>
        <w:ind w:firstLine="0"/>
        <w:jc w:val="left"/>
      </w:pPr>
      <w:r>
        <w:rPr>
          <w:rFonts w:ascii="黑体" w:hAnsi="黑体" w:eastAsia="黑体" w:cs="黑体"/>
          <w:b/>
          <w:bCs/>
          <w:sz w:val="28"/>
          <w:szCs w:val="28"/>
        </w:rPr>
        <w:t>6.3  未来展望</w:t>
      </w:r>
    </w:p>
    <w:p w14:paraId="083D2747">
      <w:pPr>
        <w:spacing w:before="0" w:after="0" w:line="360" w:lineRule="auto"/>
        <w:ind w:firstLine="480"/>
        <w:jc w:val="both"/>
      </w:pPr>
      <w:r>
        <w:rPr>
          <w:rFonts w:ascii="宋体" w:hAnsi="宋体" w:eastAsia="宋体" w:cs="宋体"/>
          <w:sz w:val="24"/>
          <w:szCs w:val="24"/>
        </w:rPr>
        <w:t>基于现有工作，未来可在以下方向进行拓展：</w:t>
      </w:r>
    </w:p>
    <w:p w14:paraId="2DA3986D">
      <w:pPr>
        <w:spacing w:before="0" w:after="0" w:line="360" w:lineRule="auto"/>
        <w:ind w:firstLine="480"/>
        <w:jc w:val="both"/>
      </w:pPr>
      <w:r>
        <w:rPr>
          <w:rFonts w:ascii="宋体" w:hAnsi="宋体" w:eastAsia="宋体" w:cs="宋体"/>
          <w:b/>
          <w:bCs/>
          <w:sz w:val="24"/>
          <w:szCs w:val="24"/>
        </w:rPr>
        <w:t>（1）</w:t>
      </w:r>
      <w:r>
        <w:rPr>
          <w:rFonts w:ascii="宋体" w:hAnsi="宋体" w:eastAsia="宋体" w:cs="宋体"/>
          <w:sz w:val="24"/>
          <w:szCs w:val="24"/>
        </w:rPr>
        <w:t>引入分子间弱相互作用势（如 Lennard-Jones 势），扩展至真实气体模拟，覆盖相变、临界现象等更丰富的热力学教学内容。</w:t>
      </w:r>
    </w:p>
    <w:p w14:paraId="01E384F4">
      <w:pPr>
        <w:spacing w:before="0" w:after="0" w:line="360" w:lineRule="auto"/>
        <w:ind w:firstLine="480"/>
        <w:jc w:val="both"/>
      </w:pPr>
      <w:r>
        <w:rPr>
          <w:rFonts w:ascii="宋体" w:hAnsi="宋体" w:eastAsia="宋体" w:cs="宋体"/>
          <w:b/>
          <w:bCs/>
          <w:sz w:val="24"/>
          <w:szCs w:val="24"/>
        </w:rPr>
        <w:t>（2）</w:t>
      </w:r>
      <w:r>
        <w:rPr>
          <w:rFonts w:ascii="宋体" w:hAnsi="宋体" w:eastAsia="宋体" w:cs="宋体"/>
          <w:sz w:val="24"/>
          <w:szCs w:val="24"/>
        </w:rPr>
        <w:t>实现多原子分子模型，引入转动和振动自由度，使比热容的模拟值与实验值可比。</w:t>
      </w:r>
    </w:p>
    <w:p w14:paraId="074F7DBB">
      <w:pPr>
        <w:spacing w:before="0" w:after="0" w:line="360" w:lineRule="auto"/>
        <w:ind w:firstLine="480"/>
        <w:jc w:val="both"/>
      </w:pPr>
      <w:r>
        <w:rPr>
          <w:rFonts w:ascii="宋体" w:hAnsi="宋体" w:eastAsia="宋体" w:cs="宋体"/>
          <w:b/>
          <w:bCs/>
          <w:sz w:val="24"/>
          <w:szCs w:val="24"/>
        </w:rPr>
        <w:t>（3）</w:t>
      </w:r>
      <w:r>
        <w:rPr>
          <w:rFonts w:ascii="宋体" w:hAnsi="宋体" w:eastAsia="宋体" w:cs="宋体"/>
          <w:sz w:val="24"/>
          <w:szCs w:val="24"/>
        </w:rPr>
        <w:t>增加压强、熵等热力学量的实时计算与显示，使学生能够定量验证 P-V-T 关系与热力学第一、第二定律。</w:t>
      </w:r>
    </w:p>
    <w:p w14:paraId="7B47B1A9">
      <w:pPr>
        <w:spacing w:before="0" w:after="0" w:line="360" w:lineRule="auto"/>
        <w:ind w:firstLine="480"/>
        <w:jc w:val="both"/>
      </w:pPr>
      <w:r>
        <w:rPr>
          <w:rFonts w:ascii="宋体" w:hAnsi="宋体" w:eastAsia="宋体" w:cs="宋体"/>
          <w:b/>
          <w:bCs/>
          <w:sz w:val="24"/>
          <w:szCs w:val="24"/>
        </w:rPr>
        <w:t>（4）</w:t>
      </w:r>
      <w:r>
        <w:rPr>
          <w:rFonts w:ascii="宋体" w:hAnsi="宋体" w:eastAsia="宋体" w:cs="宋体"/>
          <w:sz w:val="24"/>
          <w:szCs w:val="24"/>
        </w:rPr>
        <w:t>引入空间哈希网格加速碰撞检测，将可模拟分子数提升至 10^3 ~ 10^4 量级，显著改善统计涨落。</w:t>
      </w:r>
    </w:p>
    <w:p w14:paraId="78939E7E">
      <w:pPr>
        <w:spacing w:before="0" w:after="0" w:line="360" w:lineRule="auto"/>
        <w:ind w:firstLine="480"/>
        <w:jc w:val="both"/>
      </w:pPr>
      <w:r>
        <w:rPr>
          <w:rFonts w:ascii="宋体" w:hAnsi="宋体" w:eastAsia="宋体" w:cs="宋体"/>
          <w:b/>
          <w:bCs/>
          <w:sz w:val="24"/>
          <w:szCs w:val="24"/>
        </w:rPr>
        <w:t>（5）</w:t>
      </w:r>
      <w:r>
        <w:rPr>
          <w:rFonts w:ascii="宋体" w:hAnsi="宋体" w:eastAsia="宋体" w:cs="宋体"/>
          <w:sz w:val="24"/>
          <w:szCs w:val="24"/>
        </w:rPr>
        <w:t>增加更多热力学循环的自动化演示（如卡诺循环、奥托循环），使学生能在一个平台上系统学习热力学核心内容。</w:t>
      </w:r>
    </w:p>
    <w:p w14:paraId="7C168CCD">
      <w:pPr>
        <w:pageBreakBefore/>
        <w:spacing w:before="360" w:after="240" w:line="360" w:lineRule="auto"/>
        <w:ind w:firstLine="0"/>
        <w:jc w:val="center"/>
      </w:pPr>
      <w:bookmarkStart w:id="6" w:name="_Toc007"/>
      <w:r>
        <w:rPr>
          <w:rFonts w:ascii="黑体" w:hAnsi="黑体" w:eastAsia="黑体" w:cs="黑体"/>
          <w:b/>
          <w:bCs/>
          <w:sz w:val="30"/>
          <w:szCs w:val="30"/>
        </w:rPr>
        <w:t>参考文献</w:t>
      </w:r>
      <w:bookmarkEnd w:id="6"/>
    </w:p>
    <w:p w14:paraId="52C2DE65">
      <w:pPr>
        <w:spacing w:before="0" w:after="0" w:line="320" w:lineRule="auto"/>
        <w:ind w:left="480" w:hanging="480"/>
      </w:pPr>
      <w:r>
        <w:rPr>
          <w:rFonts w:ascii="宋体" w:hAnsi="宋体" w:eastAsia="宋体" w:cs="宋体"/>
          <w:sz w:val="21"/>
          <w:szCs w:val="21"/>
        </w:rPr>
        <w:t>[1]  汪志诚. 热力学·统计物理（第六版）[M]. 北京: 高等教育出版社, 2019.</w:t>
      </w:r>
    </w:p>
    <w:p w14:paraId="4B98D9C5">
      <w:pPr>
        <w:spacing w:before="0" w:after="0" w:line="320" w:lineRule="auto"/>
        <w:ind w:left="480" w:hanging="480"/>
      </w:pPr>
      <w:r>
        <w:rPr>
          <w:rFonts w:ascii="宋体" w:hAnsi="宋体" w:eastAsia="宋体" w:cs="宋体"/>
          <w:sz w:val="21"/>
          <w:szCs w:val="21"/>
        </w:rPr>
        <w:t>[2]  赵凯华, 罗蔚茵. 新概念物理教程·热学（第二版）[M]. 北京: 高等教育出版社, 2010.</w:t>
      </w:r>
    </w:p>
    <w:p w14:paraId="4380B9BE">
      <w:pPr>
        <w:spacing w:before="0" w:after="0" w:line="320" w:lineRule="auto"/>
        <w:ind w:left="480" w:hanging="480"/>
      </w:pPr>
      <w:r>
        <w:rPr>
          <w:rFonts w:ascii="宋体" w:hAnsi="宋体" w:eastAsia="宋体" w:cs="宋体"/>
          <w:sz w:val="21"/>
          <w:szCs w:val="21"/>
        </w:rPr>
        <w:t>[3]  Frenkel D, Smit B. Understanding Molecular Simulation: From Algorithms to Applications (2nd ed.)[M]. San Diego: Academic Press, 2002.</w:t>
      </w:r>
    </w:p>
    <w:p w14:paraId="03FDBC09">
      <w:pPr>
        <w:spacing w:before="0" w:after="0" w:line="320" w:lineRule="auto"/>
        <w:ind w:left="480" w:hanging="480"/>
      </w:pPr>
      <w:r>
        <w:rPr>
          <w:rFonts w:ascii="宋体" w:hAnsi="宋体" w:eastAsia="宋体" w:cs="宋体"/>
          <w:sz w:val="21"/>
          <w:szCs w:val="21"/>
        </w:rPr>
        <w:t>[4]  Allen M P, Tildesley D J. Computer Simulation of Liquids (2nd ed.)[M]. Oxford: Oxford University Press, 2017.</w:t>
      </w:r>
    </w:p>
    <w:p w14:paraId="0B8E77D0">
      <w:pPr>
        <w:spacing w:before="0" w:after="0" w:line="320" w:lineRule="auto"/>
        <w:ind w:left="480" w:hanging="480"/>
      </w:pPr>
      <w:r>
        <w:rPr>
          <w:rFonts w:ascii="宋体" w:hAnsi="宋体" w:eastAsia="宋体" w:cs="宋体"/>
          <w:sz w:val="21"/>
          <w:szCs w:val="21"/>
        </w:rPr>
        <w:t>[5]  Berendsen H J C, Postma J P M, van Gunsteren W F, et al. Molecular dynamics with coupling to an external bath[J]. Journal of Chemical Physics, 1984, 81(8): 3684-3690.</w:t>
      </w:r>
    </w:p>
    <w:p w14:paraId="72A5CE16">
      <w:pPr>
        <w:spacing w:before="0" w:after="0" w:line="320" w:lineRule="auto"/>
        <w:ind w:left="480" w:hanging="480"/>
      </w:pPr>
      <w:r>
        <w:rPr>
          <w:rFonts w:ascii="宋体" w:hAnsi="宋体" w:eastAsia="宋体" w:cs="宋体"/>
          <w:sz w:val="21"/>
          <w:szCs w:val="21"/>
        </w:rPr>
        <w:t>[6]  Box G E P, Muller M E. A Note on the Generation of Random Normal Deviates[J]. The Annals of Mathematical Statistics, 1958, 29(2): 610-611.</w:t>
      </w:r>
    </w:p>
    <w:p w14:paraId="4E634473">
      <w:pPr>
        <w:spacing w:before="0" w:after="0" w:line="320" w:lineRule="auto"/>
        <w:ind w:left="480" w:hanging="480"/>
      </w:pPr>
      <w:r>
        <w:rPr>
          <w:rFonts w:ascii="宋体" w:hAnsi="宋体" w:eastAsia="宋体" w:cs="宋体"/>
          <w:sz w:val="21"/>
          <w:szCs w:val="21"/>
        </w:rPr>
        <w:t>[7]  Dirksen J. Learning Three.js – the JavaScript 3D Library for WebGL (3rd ed.)[M]. Birmingham: Packt Publishing, 2018.</w:t>
      </w:r>
    </w:p>
    <w:sectPr>
      <w:headerReference r:id="rId5" w:type="default"/>
      <w:footerReference r:id="rId6" w:type="default"/>
      <w:pgSz w:w="11906" w:h="16838"/>
      <w:pgMar w:top="851" w:right="1797" w:bottom="851" w:left="1797" w:header="851" w:footer="992"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A4ACB6">
    <w:pPr>
      <w:jc w:val="center"/>
    </w:pP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r>
      <w:rPr>
        <w:rFonts w:ascii="Times New Roman" w:hAnsi="Times New Roman" w:eastAsia="Times New Roman" w:cs="Times New Roman"/>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F4978">
    <w:pPr>
      <w:jc w:val="center"/>
    </w:pP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r>
      <w:rPr>
        <w:rFonts w:ascii="Times New Roman" w:hAnsi="Times New Roman" w:eastAsia="Times New Roman" w:cs="Times New Roman"/>
        <w:sz w:val="18"/>
        <w:szCs w:val="18"/>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63769">
    <w:pPr>
      <w:pBdr>
        <w:bottom w:val="single" w:color="000000" w:sz="6" w:space="4"/>
      </w:pBdr>
      <w:jc w:val="center"/>
    </w:pPr>
    <w:r>
      <w:rPr>
        <w:rFonts w:ascii="宋体" w:hAnsi="宋体" w:eastAsia="宋体" w:cs="宋体"/>
        <w:i/>
        <w:iCs/>
        <w:sz w:val="18"/>
        <w:szCs w:val="18"/>
      </w:rPr>
      <w:t>第二十三届东南大学物理及实验科技作品创新竞赛  作品设计报告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FB626">
    <w:pPr>
      <w:pBdr>
        <w:bottom w:val="single" w:color="000000" w:sz="6" w:space="4"/>
      </w:pBdr>
      <w:jc w:val="center"/>
    </w:pPr>
    <w:r>
      <w:rPr>
        <w:rFonts w:ascii="宋体" w:hAnsi="宋体" w:eastAsia="宋体" w:cs="宋体"/>
        <w:i/>
        <w:iCs/>
        <w:sz w:val="18"/>
        <w:szCs w:val="18"/>
      </w:rPr>
      <w:t>第二十三届东南大学物理及实验科技作品创新竞赛  作品设计报告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isplayBackgroundShape w:val="1"/>
  <w:documentProtection w:enforcement="0"/>
  <w:compat>
    <w:useFELayout/>
    <w:compatSetting w:name="compatibilityMode" w:uri="http://schemas.microsoft.com/office/word" w:val="15"/>
  </w:compat>
  <w:rsids>
    <w:rsidRoot w:val="00000000"/>
    <w:rsid w:val="2F3001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pPr>
      <w:spacing w:before="360" w:after="240"/>
      <w:outlineLvl w:val="0"/>
    </w:pPr>
    <w:rPr>
      <w:rFonts w:ascii="黑体" w:hAnsi="黑体" w:eastAsia="黑体" w:cs="黑体"/>
      <w:b/>
      <w:bCs/>
      <w:sz w:val="30"/>
      <w:szCs w:val="30"/>
    </w:rPr>
  </w:style>
  <w:style w:type="paragraph" w:styleId="3">
    <w:name w:val="heading 2"/>
    <w:next w:val="1"/>
    <w:qFormat/>
    <w:uiPriority w:val="0"/>
    <w:pPr>
      <w:spacing w:before="240" w:after="120"/>
      <w:outlineLvl w:val="1"/>
    </w:pPr>
    <w:rPr>
      <w:rFonts w:ascii="黑体" w:hAnsi="黑体" w:eastAsia="黑体" w:cs="黑体"/>
      <w:b/>
      <w:bCs/>
      <w:sz w:val="28"/>
      <w:szCs w:val="28"/>
    </w:rPr>
  </w:style>
  <w:style w:type="paragraph" w:styleId="4">
    <w:name w:val="heading 3"/>
    <w:next w:val="1"/>
    <w:qFormat/>
    <w:uiPriority w:val="0"/>
    <w:rPr>
      <w:rFonts w:ascii="宋体" w:hAnsi="宋体" w:eastAsia="宋体" w:cs="宋体"/>
      <w:color w:val="1F4D78"/>
      <w:sz w:val="24"/>
      <w:szCs w:val="24"/>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宋体" w:hAnsi="宋体" w:eastAsia="宋体" w:cs="宋体"/>
      <w:sz w:val="20"/>
      <w:szCs w:val="20"/>
    </w:rPr>
  </w:style>
  <w:style w:type="paragraph" w:styleId="9">
    <w:name w:val="footnote text"/>
    <w:link w:val="17"/>
    <w:semiHidden/>
    <w:unhideWhenUsed/>
    <w:uiPriority w:val="99"/>
    <w:pPr>
      <w:spacing w:after="0" w:line="240" w:lineRule="auto"/>
    </w:pPr>
    <w:rPr>
      <w:rFonts w:ascii="宋体" w:hAnsi="宋体" w:eastAsia="宋体" w:cs="宋体"/>
      <w:sz w:val="20"/>
      <w:szCs w:val="20"/>
    </w:rPr>
  </w:style>
  <w:style w:type="paragraph" w:styleId="10">
    <w:name w:val="Title"/>
    <w:qFormat/>
    <w:uiPriority w:val="0"/>
    <w:rPr>
      <w:rFonts w:ascii="宋体" w:hAnsi="宋体" w:eastAsia="宋体" w:cs="宋体"/>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宋体" w:hAnsi="宋体" w:eastAsia="宋体" w:cs="宋体"/>
      <w:sz w:val="24"/>
      <w:szCs w:val="24"/>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Words>7960</Words>
  <Characters>9240</Characters>
  <TotalTime>8</TotalTime>
  <ScaleCrop>false</ScaleCrop>
  <LinksUpToDate>false</LinksUpToDate>
  <CharactersWithSpaces>9812</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2026-05-28T15:41:00Z</dcterms:created>
  <dc:creator>Un-named</dc:creator>
  <cp:lastModifiedBy>孙浩宸</cp:lastModifiedBy>
  <dcterms:modified xsi:type="dcterms:W3CDTF">2026-05-29T00:37:15Z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eyJoZGlkIjoiYzFmMmY3NzcxZGIyNjIyMjk3Y2UxYmYwNDdmZmM3YzciLCJ1c2VySWQiOiIxNzIzMjU2Nzk0In0=</vt:lpwstr>
  </property>
  <property fmtid="{D5CDD505-2E9C-101B-9397-08002B2CF9AE}" pid="3" name="KSOProductBuildVer">
    <vt:lpwstr>2052-12.1.0.26375</vt:lpwstr>
  </property>
  <property fmtid="{D5CDD505-2E9C-101B-9397-08002B2CF9AE}" pid="4" name="ICV">
    <vt:lpwstr>F6033552BB594E80A05B643328A794A3_12</vt:lpwstr>
  </property>
</Properties>
</file>