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535"/>
      </w:tblGrid>
      <w:tr>
        <w:tc>
          <w:tcPr>
            <w:tcW w:type="dxa" w:w="4252"/>
          </w:tcPr>
          <w:p>
            <w:pPr>
              <w:jc w:val="center"/>
            </w:pPr>
            <w:r>
              <w:rPr>
                <w:sz w:val="22"/>
              </w:rPr>
              <w:t>[TÊN CHỦ ĐẦU TƯ]</w:t>
              <w:br/>
            </w:r>
            <w:r>
              <w:rPr>
                <w:b/>
                <w:sz w:val="22"/>
              </w:rPr>
              <w:t>[TÊN ĐƠN VỊ TƯ VẤN THIẾT KẾ]</w:t>
              <w:br/>
            </w:r>
            <w:r>
              <w:rPr>
                <w:b/>
                <w:sz w:val="22"/>
              </w:rPr>
              <w:t>───────────</w:t>
            </w:r>
          </w:p>
        </w:tc>
        <w:tc>
          <w:tcPr>
            <w:tcW w:type="dxa" w:w="4819"/>
          </w:tcPr>
          <w:p>
            <w:pPr>
              <w:jc w:val="center"/>
            </w:pPr>
            <w:r>
              <w:rPr>
                <w:b/>
                <w:sz w:val="22"/>
              </w:rPr>
              <w:t>CỘNG HÒA XÃ HỘI CHỦ NGHĨA VIỆT NAM</w:t>
              <w:br/>
            </w:r>
            <w:r>
              <w:rPr>
                <w:b/>
                <w:sz w:val="24"/>
              </w:rPr>
              <w:t>Độc lập - Tự do - Hạnh phúc</w:t>
              <w:br/>
            </w:r>
            <w:r>
              <w:rPr>
                <w:b/>
                <w:sz w:val="22"/>
              </w:rPr>
              <w:t>───────────────────</w:t>
            </w:r>
          </w:p>
        </w:tc>
      </w:tr>
      <w:tr>
        <w:tc>
          <w:tcPr>
            <w:tcW w:type="dxa" w:w="4252"/>
          </w:tcPr>
          <w:p>
            <w:pPr>
              <w:jc w:val="center"/>
            </w:pPr>
            <w:r>
              <w:rPr>
                <w:sz w:val="22"/>
              </w:rPr>
              <w:t>Số: ....../.......</w:t>
            </w:r>
          </w:p>
        </w:tc>
        <w:tc>
          <w:tcPr>
            <w:tcW w:type="dxa" w:w="4819"/>
          </w:tcPr>
          <w:p>
            <w:pPr>
              <w:jc w:val="center"/>
            </w:pPr>
            <w:r>
              <w:rPr>
                <w:i/>
                <w:sz w:val="22"/>
              </w:rPr>
              <w:t>........, ngày .... tháng .... năm 2026</w:t>
            </w:r>
          </w:p>
        </w:tc>
      </w:tr>
    </w:tbl>
    <w:p/>
    <w:p>
      <w:pPr>
        <w:jc w:val="center"/>
      </w:pPr>
      <w:r>
        <w:rPr>
          <w:b/>
          <w:color w:val="003366"/>
          <w:sz w:val="30"/>
        </w:rPr>
        <w:t>THUYẾT MINH TỔNG HỢP</w:t>
        <w:br/>
        <w:t>BÁO CÁO NGHIÊN CỨU KHẢ THI ĐẦU TƯ XÂY DỰNG</w:t>
      </w:r>
    </w:p>
    <w:p>
      <w:pPr>
        <w:jc w:val="center"/>
      </w:pPr>
      <w:r>
        <w:rPr>
          <w:b/>
          <w:sz w:val="26"/>
        </w:rPr>
        <w:t>DỰ ÁN: [TÊN DỰ ÁN ĐẦU TƯ XÂY DỰNG CÔNG TRÌNH CẦU - ĐƯỜNG BỘ]</w:t>
        <w:br/>
        <w:t>(Lập theo Luật Xây dựng 135/2025/QH15 và Nghị định 207/2026/NĐ-CP)</w:t>
      </w:r>
    </w:p>
    <w:p>
      <w:pPr>
        <w:spacing w:before="240" w:after="120"/>
      </w:pPr>
      <w:r>
        <w:rPr>
          <w:b/>
          <w:color w:val="003366"/>
          <w:sz w:val="26"/>
        </w:rPr>
        <w:t>CHƯƠNG 1. GIỚI THIỆU CHỦ ĐẦU TƯ VÀ TỔNG QUAN DỰ ÁN</w:t>
      </w:r>
    </w:p>
    <w:p>
      <w:pPr>
        <w:spacing w:after="60"/>
        <w:ind w:left="425"/>
      </w:pPr>
      <w:r>
        <w:t>- 1.1. Tên dự án, địa điểm xây dựng, Chủ đầu tư và Tư vấn lập BCNCKT</w:t>
      </w:r>
    </w:p>
    <w:p>
      <w:pPr>
        <w:spacing w:after="60"/>
        <w:ind w:left="425"/>
      </w:pPr>
      <w:r>
        <w:t>- 1.2. Các căn cứ pháp lý (Luật Xây dựng 135/2025/QH15, Luật Đường bộ 35/2024/QH15, Luật Đầu tư công 58/2024/QH15, NĐ 207/2026/NĐ-CP, NĐ 206/2026/NĐ-CP, NĐ 212/2026/NĐ-CP)</w:t>
      </w:r>
    </w:p>
    <w:p>
      <w:pPr>
        <w:spacing w:after="60"/>
        <w:ind w:left="425"/>
      </w:pPr>
      <w:r>
        <w:t>- 1.3. Hệ thống Quy chuẩn, Tiêu chuẩn kỹ thuật áp dụng chủ yếu</w:t>
      </w:r>
    </w:p>
    <w:p>
      <w:pPr>
        <w:spacing w:before="240" w:after="120"/>
      </w:pPr>
      <w:r>
        <w:rPr>
          <w:b/>
          <w:color w:val="003366"/>
          <w:sz w:val="26"/>
        </w:rPr>
        <w:t>CHƯƠNG 2. SỰ CẦN THIẾT ĐẦU TƯ VÀ MỤC TIÊU ĐẦU TƯ XÂY DỰNG</w:t>
      </w:r>
    </w:p>
    <w:p>
      <w:pPr>
        <w:spacing w:after="60"/>
        <w:ind w:left="425"/>
      </w:pPr>
      <w:r>
        <w:t>- 2.1. Hiện trạng kinh tế - xã hội và mạng lưới giao thông khu vực dự án</w:t>
      </w:r>
    </w:p>
    <w:p>
      <w:pPr>
        <w:spacing w:after="60"/>
        <w:ind w:left="425"/>
      </w:pPr>
      <w:r>
        <w:t>- 2.2. Sự phù hợp với Quy hoạch mạng lưới đường bộ / Quy hoạch tỉnh / Quy hoạch đô thị và nông thôn (Luật 47/2024/QH15)</w:t>
      </w:r>
    </w:p>
    <w:p>
      <w:pPr>
        <w:spacing w:after="60"/>
        <w:ind w:left="425"/>
      </w:pPr>
      <w:r>
        <w:t>- 2.3. Dự báo nhu cầu vận tải và lưu lượng xe thiết kế đến năm tương lai (2035 - 2045)</w:t>
      </w:r>
    </w:p>
    <w:p>
      <w:pPr>
        <w:spacing w:after="60"/>
        <w:ind w:left="425"/>
      </w:pPr>
      <w:r>
        <w:t>- 2.4. Sự cần thiết phải đầu tư và mục tiêu của dự án</w:t>
      </w:r>
    </w:p>
    <w:p>
      <w:pPr>
        <w:spacing w:before="240" w:after="120"/>
      </w:pPr>
      <w:r>
        <w:rPr>
          <w:b/>
          <w:color w:val="003366"/>
          <w:sz w:val="26"/>
        </w:rPr>
        <w:t>CHƯƠNG 3. ĐẶC ĐIỂM ĐIỀU KIỆN TỰ NHIÊN VÀ KẾT QUẢ KHẢO SÁT</w:t>
      </w:r>
    </w:p>
    <w:p>
      <w:pPr>
        <w:spacing w:after="60"/>
        <w:ind w:left="425"/>
      </w:pPr>
      <w:r>
        <w:t>- 3.1. Điều kiện địa hình, địa mạo và hiện trạng công trình dọc tuyến</w:t>
      </w:r>
    </w:p>
    <w:p>
      <w:pPr>
        <w:spacing w:after="60"/>
        <w:ind w:left="425"/>
      </w:pPr>
      <w:r>
        <w:t>- 3.2. Điều kiện khí tượng, thủy văn, chế độ dòng chảy và mực nước lũ lịch sử</w:t>
      </w:r>
    </w:p>
    <w:p>
      <w:pPr>
        <w:spacing w:after="60"/>
        <w:ind w:left="425"/>
      </w:pPr>
      <w:r>
        <w:t>- 3.3. Điều kiện địa chất công trình, địa chất thủy văn và phân chia các đoạn nền đất yếu</w:t>
      </w:r>
    </w:p>
    <w:p>
      <w:pPr>
        <w:spacing w:after="60"/>
        <w:ind w:left="425"/>
      </w:pPr>
      <w:r>
        <w:t>- 3.4. Tình hình cung cấp vật liệu xây dựng (Mỏ đất đắp, cát, đá, trạm trộn BTN, trạm BTXM) và vị trí bãi đổ thải</w:t>
      </w:r>
    </w:p>
    <w:p>
      <w:pPr>
        <w:spacing w:before="240" w:after="120"/>
      </w:pPr>
      <w:r>
        <w:rPr>
          <w:b/>
          <w:color w:val="003366"/>
          <w:sz w:val="26"/>
        </w:rPr>
        <w:t>CHƯƠNG 4. QUY MÔ, TIÊU CHUẨN KỸ THUẬT VÀ SO SÁNH PHƯƠNG ÁN TUYẾN</w:t>
      </w:r>
    </w:p>
    <w:p>
      <w:pPr>
        <w:spacing w:after="60"/>
        <w:ind w:left="425"/>
      </w:pPr>
      <w:r>
        <w:t>- 4.1. Cấp hạng kỹ thuật tuyến đường và công trình cầu trên tuyến</w:t>
      </w:r>
    </w:p>
    <w:p>
      <w:pPr>
        <w:spacing w:after="60"/>
        <w:ind w:left="425"/>
      </w:pPr>
      <w:r>
        <w:t>- 4.2. Các chỉ tiêu kỹ thuật chủ yếu của bình đồ, trắc dọc, mặt cắt ngang, tĩnh không cầu</w:t>
      </w:r>
    </w:p>
    <w:p>
      <w:pPr>
        <w:spacing w:after="60"/>
        <w:ind w:left="425"/>
      </w:pPr>
      <w:r>
        <w:t>- 4.3. Phân tích, so sánh và lựa chọn phương án hướng tuyến (Phương án 1 - Tuyến kiến nghị; Phương án 2 - Tuyến so sánh)</w:t>
      </w:r>
    </w:p>
    <w:p>
      <w:pPr>
        <w:spacing w:before="240" w:after="120"/>
      </w:pPr>
      <w:r>
        <w:rPr>
          <w:b/>
          <w:color w:val="003366"/>
          <w:sz w:val="26"/>
        </w:rPr>
        <w:t>CHƯƠNG 5. GIẢI PHÁP THIẾT KẾ CƠ SỞ CÁC HẠNG MỤC CÔNG TRÌNH</w:t>
      </w:r>
    </w:p>
    <w:p>
      <w:pPr>
        <w:spacing w:after="60"/>
        <w:ind w:left="425"/>
      </w:pPr>
      <w:r>
        <w:t>- 5.1. Giải pháp thiết kế bình đồ, trắc dọc và mặt cắt ngang điển hình</w:t>
      </w:r>
    </w:p>
    <w:p>
      <w:pPr>
        <w:spacing w:after="60"/>
        <w:ind w:left="425"/>
      </w:pPr>
      <w:r>
        <w:t>- 5.2. Giải pháp thiết kế nền đường và xử lý nền đất yếu (Đào thay đất, Giếng cát/Bấc thấm PVD, Cọc xi măng đất CDM)</w:t>
      </w:r>
    </w:p>
    <w:p>
      <w:pPr>
        <w:spacing w:after="60"/>
        <w:ind w:left="425"/>
      </w:pPr>
      <w:r>
        <w:t>- 5.3. Giải pháp thiết kế kết cấu áo đường (So sánh phương án KCAD mềm BTN cấp cao A1 và mặt đường BTXM)</w:t>
      </w:r>
    </w:p>
    <w:p>
      <w:pPr>
        <w:spacing w:after="60"/>
        <w:ind w:left="425"/>
      </w:pPr>
      <w:r>
        <w:t>- 5.4. Giải pháp thiết kế công trình cầu (So sánh phương án kết cấu nhịp: Dầm Super-T / Dầm I BTCT DƯL / Đúc hẫng cân bằng; kết cấu mố trụ và móng cọc khoan nhồi / cọc ống PHC)</w:t>
      </w:r>
    </w:p>
    <w:p>
      <w:pPr>
        <w:spacing w:after="60"/>
        <w:ind w:left="425"/>
      </w:pPr>
      <w:r>
        <w:t>- 5.5. Giải pháp thiết kế hệ thống thoát nước ngang (cống tròn, cống hộp), thoát nước dọc và kè bảo vệ mái taluy</w:t>
      </w:r>
    </w:p>
    <w:p>
      <w:pPr>
        <w:spacing w:after="60"/>
        <w:ind w:left="425"/>
      </w:pPr>
      <w:r>
        <w:t>- 5.6. Giải pháp thiết kế nút giao thông, tổ chức giao thông và ATGT (theo QCVN 41:2024/BGTVT)</w:t>
      </w:r>
    </w:p>
    <w:p>
      <w:pPr>
        <w:spacing w:after="60"/>
        <w:ind w:left="425"/>
      </w:pPr>
      <w:r>
        <w:t>- 5.7. Giải pháp chiếu sáng, cây xanh, hào/tuynel kỹ thuật và di dời hạ tầng kỹ thuật</w:t>
      </w:r>
    </w:p>
    <w:p>
      <w:pPr>
        <w:spacing w:before="240" w:after="120"/>
      </w:pPr>
      <w:r>
        <w:rPr>
          <w:b/>
          <w:color w:val="003366"/>
          <w:sz w:val="26"/>
        </w:rPr>
        <w:t>CHƯƠNG 6. CÔNG TÁC GIẢI PHÓNG MẶT BẰNG, TÁI ĐỊNH CƯ VÀ MÔI TRƯỜNG</w:t>
      </w:r>
    </w:p>
    <w:p>
      <w:pPr>
        <w:spacing w:after="60"/>
        <w:ind w:left="425"/>
      </w:pPr>
      <w:r>
        <w:t>- 6.1. Phạm vi chiếm dụng đất, khối lượng GPMB và phương án tái định cư sơ bộ</w:t>
      </w:r>
    </w:p>
    <w:p>
      <w:pPr>
        <w:spacing w:after="60"/>
        <w:ind w:left="425"/>
      </w:pPr>
      <w:r>
        <w:t>- 6.2. Đánh giá tác động môi trường (ĐTM) và các biện pháp giảm thiểu ô nhiễm</w:t>
      </w:r>
    </w:p>
    <w:p>
      <w:pPr>
        <w:spacing w:after="60"/>
        <w:ind w:left="425"/>
      </w:pPr>
      <w:r>
        <w:t>- 6.3. Phương án phòng cháy chữa cháy (nếu có) và an toàn lao động</w:t>
      </w:r>
    </w:p>
    <w:p>
      <w:pPr>
        <w:spacing w:before="240" w:after="120"/>
      </w:pPr>
      <w:r>
        <w:rPr>
          <w:b/>
          <w:color w:val="003366"/>
          <w:sz w:val="26"/>
        </w:rPr>
        <w:t>CHƯƠNG 7. TỔ CHỨC QUẢN LÝ DỰ ÁN, TỔ CHỨC THI CÔNG VÀ TIẾN ĐỘ</w:t>
      </w:r>
    </w:p>
    <w:p>
      <w:pPr>
        <w:spacing w:after="60"/>
        <w:ind w:left="425"/>
      </w:pPr>
      <w:r>
        <w:t>- 7.1. Hình thức tổ chức quản lý dự án (theo Nghị định 207/2026/NĐ-CP)</w:t>
      </w:r>
    </w:p>
    <w:p>
      <w:pPr>
        <w:spacing w:after="60"/>
        <w:ind w:left="425"/>
      </w:pPr>
      <w:r>
        <w:t>- 7.2. Phương án tổng thể tổ chức thi công và đảm bảo giao thông</w:t>
      </w:r>
    </w:p>
    <w:p>
      <w:pPr>
        <w:spacing w:after="60"/>
        <w:ind w:left="425"/>
      </w:pPr>
      <w:r>
        <w:t>- 7.3. Tiến độ thực hiện dự án và kế hoạch phân kỳ đầu tư</w:t>
      </w:r>
    </w:p>
    <w:p>
      <w:pPr>
        <w:spacing w:before="240" w:after="120"/>
      </w:pPr>
      <w:r>
        <w:rPr>
          <w:b/>
          <w:color w:val="003366"/>
          <w:sz w:val="26"/>
        </w:rPr>
        <w:t>CHƯƠNG 8. TỔNG MỨC ĐẦU TƯ, NGUỒN VỐN VÀ HIỆU QUẢ ĐẦU TƯ</w:t>
      </w:r>
    </w:p>
    <w:p>
      <w:pPr>
        <w:spacing w:after="60"/>
        <w:ind w:left="425"/>
      </w:pPr>
      <w:r>
        <w:t>- 8.1. Cơ sở lập Tổng mức đầu tư (Nghị định 206/2026/NĐ-CP, Thông tư 37/2026/TT-BXD, Thông tư 38/2026/TT-BXD)</w:t>
      </w:r>
    </w:p>
    <w:p>
      <w:pPr>
        <w:spacing w:after="60"/>
        <w:ind w:left="425"/>
      </w:pPr>
      <w:r>
        <w:t>- 8.2. Tổng hợp Tổng mức đầu tư (Chi phí bồi thường GPMB, Chi phí xây dựng, Chi phí thiết bị, Chi phí QLDA, Chi phí tư vấn, Chi phí khác, Chi phí dự phòng)</w:t>
      </w:r>
    </w:p>
    <w:p>
      <w:pPr>
        <w:spacing w:after="60"/>
        <w:ind w:left="425"/>
      </w:pPr>
      <w:r>
        <w:t>- 8.3. Nguồn vốn đầu tư và kế hoạch bố trí vốn theo năm</w:t>
      </w:r>
    </w:p>
    <w:p>
      <w:pPr>
        <w:spacing w:after="60"/>
        <w:ind w:left="425"/>
      </w:pPr>
      <w:r>
        <w:t>- 8.4. Phân tích hiệu quả kinh tế - xã hội (EIRR, ENPV, B/C) và Kết luận - Kiến nghị</w:t>
      </w:r>
    </w:p>
    <w:p/>
    <w:tbl>
      <w:tblPr>
        <w:tblW w:type="auto" w:w="0"/>
        <w:jc w:val="center"/>
        <w:tblLook w:firstColumn="1" w:firstRow="1" w:lastColumn="0" w:lastRow="0" w:noHBand="0" w:noVBand="1" w:val="04A0"/>
      </w:tblPr>
      <w:tblGrid>
        <w:gridCol w:w="4535"/>
        <w:gridCol w:w="4535"/>
      </w:tblGrid>
      <w:tr>
        <w:tc>
          <w:tcPr>
            <w:tcW w:type="dxa" w:w="4535"/>
          </w:tcPr>
          <w:p>
            <w:pPr>
              <w:jc w:val="center"/>
            </w:pPr>
            <w:r>
              <w:rPr>
                <w:b/>
              </w:rPr>
              <w:t>ĐƠN VỊ TƯ VẤN LẬP DỰ ÁN</w:t>
              <w:br/>
            </w:r>
            <w:r>
              <w:rPr>
                <w:i/>
                <w:sz w:val="22"/>
              </w:rPr>
              <w:t>(Ký, ghi rõ họ tên và đóng dấu)</w:t>
              <w:br/>
              <w:br/>
              <w:br/>
              <w:br/>
              <w:br/>
            </w:r>
          </w:p>
        </w:tc>
        <w:tc>
          <w:tcPr>
            <w:tcW w:type="dxa" w:w="4535"/>
          </w:tcPr>
          <w:p>
            <w:pPr>
              <w:jc w:val="center"/>
            </w:pPr>
            <w:r>
              <w:rPr>
                <w:b/>
              </w:rPr>
              <w:t>CHỦ ĐẦU TƯ</w:t>
              <w:br/>
            </w:r>
            <w:r>
              <w:rPr>
                <w:i/>
                <w:sz w:val="22"/>
              </w:rPr>
              <w:t>(Ký, ghi rõ họ tên và đóng dấu)</w:t>
              <w:br/>
              <w:br/>
              <w:br/>
              <w:br/>
              <w:br/>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