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[TÊN CHỦ ĐẦU TƯ]</w:t>
              <w:br/>
            </w:r>
            <w:r>
              <w:rPr>
                <w:b/>
                <w:sz w:val="22"/>
              </w:rPr>
              <w:t>[TÊN BAN QLDA / ĐƠN VỊ TƯ VẤN]</w:t>
              <w:br/>
            </w:r>
            <w:r>
              <w:rPr>
                <w:b/>
                <w:sz w:val="22"/>
              </w:rPr>
              <w:t>───────────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  <w:br/>
            </w:r>
            <w:r>
              <w:rPr>
                <w:b/>
                <w:sz w:val="22"/>
              </w:rPr>
              <w:t>───────────────────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Số: ....../.......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........, ngày .... tháng .... năm 2026</w:t>
            </w:r>
          </w:p>
        </w:tc>
      </w:tr>
    </w:tbl>
    <w:p/>
    <w:p>
      <w:pPr>
        <w:jc w:val="center"/>
      </w:pPr>
      <w:r>
        <w:rPr>
          <w:b/>
          <w:color w:val="003366"/>
          <w:sz w:val="30"/>
        </w:rPr>
        <w:t>NHIỆM VỤ THIẾT KẾ XÂY DỰNG CÔNG TRÌNH</w:t>
      </w:r>
    </w:p>
    <w:p>
      <w:pPr>
        <w:jc w:val="center"/>
      </w:pPr>
      <w:r>
        <w:rPr>
          <w:b/>
          <w:sz w:val="26"/>
        </w:rPr>
        <w:t>DỰ ÁN: [TÊN DỰ ÁN]</w:t>
        <w:br/>
        <w:t>BƯỚC THIẾT KẾ: [BCNCKT / THIẾT KẾ KỸ THUẬT / THIẾT KẾ BẢN VẼ THI CÔNG]</w:t>
      </w:r>
    </w:p>
    <w:p>
      <w:pPr>
        <w:spacing w:before="240" w:after="120"/>
      </w:pPr>
      <w:r>
        <w:rPr>
          <w:b/>
          <w:color w:val="003366"/>
          <w:sz w:val="26"/>
        </w:rPr>
        <w:t>1. CĂN CỨ LẬP NHIỆM VỤ THIẾT KẾ</w:t>
      </w:r>
    </w:p>
    <w:p>
      <w:pPr>
        <w:spacing w:after="60"/>
        <w:ind w:left="425"/>
      </w:pPr>
      <w:r>
        <w:t>- Luật Xây dựng số 135/2025/QH15 ngày 10/12/2025;</w:t>
      </w:r>
    </w:p>
    <w:p>
      <w:pPr>
        <w:spacing w:after="60"/>
        <w:ind w:left="425"/>
      </w:pPr>
      <w:r>
        <w:t>- Luật Đường bộ số 35/2024/QH15 ngày 27/06/2024;</w:t>
      </w:r>
    </w:p>
    <w:p>
      <w:pPr>
        <w:spacing w:after="60"/>
        <w:ind w:left="425"/>
      </w:pPr>
      <w:r>
        <w:t>- Nghị định số 207/2026/NĐ-CP ngày 20/05/2026 về quản lý dự án đầu tư xây dựng;</w:t>
      </w:r>
    </w:p>
    <w:p>
      <w:pPr>
        <w:spacing w:after="60"/>
        <w:ind w:left="425"/>
      </w:pPr>
      <w:r>
        <w:t>- Nghị định số 212/2026/NĐ-CP ngày 24/05/2026 về quản lý chất lượng, thi công xây dựng và bảo trì công trình;</w:t>
      </w:r>
    </w:p>
    <w:p>
      <w:pPr>
        <w:spacing w:after="60"/>
        <w:ind w:left="425"/>
      </w:pPr>
      <w:r>
        <w:t>- Quyết định phê duyệt Chủ trương đầu tư / Dự án đầu tư số ....../QĐ-...... ngày .../.../2026.</w:t>
      </w:r>
    </w:p>
    <w:p>
      <w:pPr>
        <w:spacing w:before="240" w:after="120"/>
      </w:pPr>
      <w:r>
        <w:rPr>
          <w:b/>
          <w:color w:val="003366"/>
          <w:sz w:val="26"/>
        </w:rPr>
        <w:t>2. QUY MÔ, CẤP HẠNG VÀ CHỈ TIÊU KỸ THUẬT CHỦ YẾU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TT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Chỉ tiêu kỹ thuật thiết kế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Thông số quy định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Loại, cấp công trình (theo TT 06/2021/TT-BXD)</w:t>
            </w:r>
          </w:p>
        </w:tc>
        <w:tc>
          <w:tcPr>
            <w:tcW w:type="dxa" w:w="3024"/>
          </w:tcPr>
          <w:p>
            <w:r>
              <w:t>Công trình giao thông, Cấp [I / II / III]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Cấp kỹ thuật của tuyến đường</w:t>
            </w:r>
          </w:p>
        </w:tc>
        <w:tc>
          <w:tcPr>
            <w:tcW w:type="dxa" w:w="3024"/>
          </w:tcPr>
          <w:p>
            <w:r>
              <w:t>Đường ô tô cấp [III / IV] đồng bằng (TCVN 4054:2005) / Đường đô thị (TCVN 13592:2022)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Vận tốc thiết kế (Vtk)</w:t>
            </w:r>
          </w:p>
        </w:tc>
        <w:tc>
          <w:tcPr>
            <w:tcW w:type="dxa" w:w="3024"/>
          </w:tcPr>
          <w:p>
            <w:r>
              <w:t>[60 / 80 / 100] km/h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Bề rộng nền đường (Bn) / Mặt đường (Bm)</w:t>
            </w:r>
          </w:p>
        </w:tc>
        <w:tc>
          <w:tcPr>
            <w:tcW w:type="dxa" w:w="3024"/>
          </w:tcPr>
          <w:p>
            <w:r>
              <w:t>Bn = [...] m; Bm = [...] m; Dải phân cách = [...] m; Lề = [...] m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Loại kết cấu áo đường &amp; Tải trọng trục tính toán</w:t>
            </w:r>
          </w:p>
        </w:tc>
        <w:tc>
          <w:tcPr>
            <w:tcW w:type="dxa" w:w="3024"/>
          </w:tcPr>
          <w:p>
            <w:r>
              <w:t>Áo đường mềm bê tông nhựa; Trục tiêu chuẩn P = 100 kN (hoặc 120 kN)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Mô đun đàn hồi yêu cầu (Eyc) của KCAD</w:t>
            </w:r>
          </w:p>
        </w:tc>
        <w:tc>
          <w:tcPr>
            <w:tcW w:type="dxa" w:w="3024"/>
          </w:tcPr>
          <w:p>
            <w:r>
              <w:t>Eyc &gt;= [...] MPa (TCCS 38:2022/TCĐBVN)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Tải trọng thiết kế cầu và cống</w:t>
            </w:r>
          </w:p>
        </w:tc>
        <w:tc>
          <w:tcPr>
            <w:tcW w:type="dxa" w:w="3024"/>
          </w:tcPr>
          <w:p>
            <w:r>
              <w:t>Hoạt tải HL93 (TCVN 11823:2017); Người đi bộ 3.0 kN/m2</w:t>
            </w:r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Bề rộng cầu (Bc)</w:t>
            </w:r>
          </w:p>
        </w:tc>
        <w:tc>
          <w:tcPr>
            <w:tcW w:type="dxa" w:w="3024"/>
          </w:tcPr>
          <w:p>
            <w:r>
              <w:t>Đồng bộ bề rộng nền đường Bc = [...] m</w:t>
            </w:r>
          </w:p>
        </w:tc>
      </w:tr>
      <w:tr>
        <w:tc>
          <w:tcPr>
            <w:tcW w:type="dxa" w:w="3024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Tần suất thủy văn tính toán</w:t>
            </w:r>
          </w:p>
        </w:tc>
        <w:tc>
          <w:tcPr>
            <w:tcW w:type="dxa" w:w="3024"/>
          </w:tcPr>
          <w:p>
            <w:r>
              <w:t>Cầu lớn, cầu trung: P = 1%; Cầu nhỏ, cống và nền đường: P = 2% (hoặc 4%)</w:t>
            </w:r>
          </w:p>
        </w:tc>
      </w:tr>
    </w:tbl>
    <w:p>
      <w:pPr>
        <w:spacing w:before="240" w:after="120"/>
      </w:pPr>
      <w:r>
        <w:rPr>
          <w:b/>
          <w:color w:val="003366"/>
          <w:sz w:val="26"/>
        </w:rPr>
        <w:t>3. YÊU CẦU VỀ HỒ SƠ SẢN PHẨM VÀ MÔ HÌNH BIM (NẾU CÓ)</w:t>
      </w:r>
    </w:p>
    <w:p>
      <w:pPr>
        <w:spacing w:after="60"/>
        <w:ind w:left="425"/>
      </w:pPr>
      <w:r>
        <w:t>- Thuyết minh tổng hợp, thuyết minh tính toán kết cấu áo đường, thủy văn - thủy lực, kết cấu cầu, xử lý nền đất yếu;</w:t>
      </w:r>
    </w:p>
    <w:p>
      <w:pPr>
        <w:spacing w:after="60"/>
        <w:ind w:left="425"/>
      </w:pPr>
      <w:r>
        <w:t>- Hồ sơ bản vẽ thiết kế tuân thủ TCVN 5671:2012 và quy định thể hiện bản vẽ ngành giao thông;</w:t>
      </w:r>
    </w:p>
    <w:p>
      <w:pPr>
        <w:spacing w:after="60"/>
        <w:ind w:left="425"/>
      </w:pPr>
      <w:r>
        <w:t>- Dự toán xây dựng công trình lập theo Nghị định 206/2026/NĐ-CP và Thông tư 37/2026/TT-BXD, Thông tư 38/2026/TT-BXD;</w:t>
      </w:r>
    </w:p>
    <w:p>
      <w:pPr>
        <w:spacing w:after="60"/>
        <w:ind w:left="425"/>
      </w:pPr>
      <w:r>
        <w:t>- Chỉ dẫn kỹ thuật (Technical Specifications) và Quy trình bảo trì công trình;</w:t>
      </w:r>
    </w:p>
    <w:p>
      <w:pPr>
        <w:spacing w:after="60"/>
        <w:ind w:left="425"/>
      </w:pPr>
      <w:r>
        <w:t>- Mô hình thông tin công trình (BIM) định dạng gốc (Civil 3D, Revit) và định dạng mở IFC 4.3 theo Quyết định 258/QĐ-TTg và Nghị định 207/2026/NĐ-CP.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TƯ VẤN LẬP NHIỆM VỤ THIẾT KẾ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CHỦ ĐẦU TƯ PHÊ DUYỆT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