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240"/>
        <w:jc w:val="center"/>
      </w:pPr>
      <w:r>
        <w:rPr>
          <w:rFonts w:ascii="Times New Roman" w:hAnsi="Times New Roman"/>
          <w:b/>
          <w:color w:val="1F4E79"/>
          <w:sz w:val="32"/>
        </w:rPr>
        <w:t>TRẢ LỜI THẦY NGUYỄN MINH ĐỨC</w:t>
      </w:r>
    </w:p>
    <w:p>
      <w:pPr>
        <w:spacing w:after="120"/>
        <w:jc w:val="both"/>
      </w:pPr>
      <w:r>
        <w:rPr>
          <w:rFonts w:ascii="Times New Roman" w:hAnsi="Times New Roman"/>
          <w:i/>
          <w:sz w:val="24"/>
        </w:rPr>
        <w:t>Phân tích gender difference SAD + Đề xuất tiêu đề Q3 và Q4</w:t>
      </w:r>
    </w:p>
    <w:p>
      <w:pPr>
        <w:spacing w:after="120"/>
        <w:jc w:val="both"/>
      </w:pPr>
      <w:r>
        <w:rPr>
          <w:rFonts w:ascii="Times New Roman" w:hAnsi="Times New Roman"/>
          <w:i/>
          <w:sz w:val="24"/>
        </w:rPr>
        <w:t>Soạn ngày 08/06/2026</w:t>
      </w:r>
    </w:p>
    <w:p>
      <w:pPr>
        <w:spacing w:before="320" w:after="120"/>
      </w:pPr>
      <w:r>
        <w:rPr>
          <w:rFonts w:ascii="Times New Roman" w:hAnsi="Times New Roman"/>
          <w:b/>
          <w:color w:val="C00000"/>
          <w:sz w:val="28"/>
        </w:rPr>
        <w:t>PHẦN A — XÁC NHẬN BA NỘI DUNG THẦY GIAO</w:t>
      </w:r>
    </w:p>
    <w:p>
      <w:pPr>
        <w:spacing w:after="120"/>
        <w:ind w:firstLine="425"/>
        <w:jc w:val="both"/>
      </w:pPr>
      <w:r>
        <w:rPr>
          <w:rFonts w:ascii="Times New Roman" w:hAnsi="Times New Roman"/>
          <w:i w:val="0"/>
          <w:sz w:val="24"/>
        </w:rPr>
        <w:t>Em xin cám ơn thầy Nguyễn Minh Đức đã đánh giá tích cực bản thảo Q2 và ghi nhận hàm lượng khoa học gắn với văn hóa Á Đông – Việt Nam của bài. Em xin xác nhận ba quyết định nhóm và ba việc cần làm thêm sau tin nhắn của thầy:</w:t>
      </w:r>
    </w:p>
    <w:p>
      <w:pPr>
        <w:spacing w:after="60"/>
        <w:ind w:left="283"/>
      </w:pPr>
      <w:r>
        <w:rPr>
          <w:rFonts w:ascii="Times New Roman" w:hAnsi="Times New Roman"/>
          <w:sz w:val="24"/>
        </w:rPr>
        <w:t>• Quyết định 1: Nhóm đồng ý chọn Frontiers in Psychiatry làm target Q2 chính (chấp nhận IF thấp hơn để đổi lấy thời gian peer-review nhanh + an toàn). Em xin lưu ý nhóm một cảnh báo về dòng tạp chí Frontiers em đã ghi rõ trong PhuongAnXuLy mục 2.3.</w:t>
      </w:r>
    </w:p>
    <w:p>
      <w:pPr>
        <w:spacing w:after="60"/>
        <w:ind w:left="283"/>
      </w:pPr>
      <w:r>
        <w:rPr>
          <w:rFonts w:ascii="Times New Roman" w:hAnsi="Times New Roman"/>
          <w:sz w:val="24"/>
        </w:rPr>
        <w:t>• Quyết định 2: NCS Công Thị Hằng sẽ làm việc với cơ sở đào tạo (HNUE) để giải quyết thủ tục chấp thuận của Hội đồng đạo đức — giải quyết Q3-6 BLOCKING.</w:t>
      </w:r>
    </w:p>
    <w:p>
      <w:pPr>
        <w:spacing w:after="60"/>
        <w:ind w:left="283"/>
      </w:pPr>
      <w:r>
        <w:rPr>
          <w:rFonts w:ascii="Times New Roman" w:hAnsi="Times New Roman"/>
          <w:sz w:val="24"/>
        </w:rPr>
        <w:t>• Việc bổ sung 1: Em sẽ bổ sung phần bình luận/luận chứng vào Q2 v1 để lý giải gender difference SAD ở HS THCS Việt Nam vs Jefferies &amp; Ungar 2020 — trình bày trong PHẦN B dưới đây.</w:t>
      </w:r>
    </w:p>
    <w:p>
      <w:pPr>
        <w:spacing w:after="60"/>
        <w:ind w:left="283"/>
      </w:pPr>
      <w:r>
        <w:rPr>
          <w:rFonts w:ascii="Times New Roman" w:hAnsi="Times New Roman"/>
          <w:sz w:val="24"/>
        </w:rPr>
        <w:t>• Việc bổ sung 2: Em đề xuất tiêu đề Q3 + Q4 tiềm năng — trình bày trong PHẦN C.</w:t>
      </w:r>
    </w:p>
    <w:p>
      <w:pPr>
        <w:spacing w:before="320" w:after="120"/>
      </w:pPr>
      <w:r>
        <w:rPr>
          <w:rFonts w:ascii="Times New Roman" w:hAnsi="Times New Roman"/>
          <w:b/>
          <w:color w:val="C00000"/>
          <w:sz w:val="28"/>
        </w:rPr>
        <w:t>PHẦN A bổ sung — Ghi nhận đánh giá của thầy về hàm lượng khoa học Q2 v1 so với Jefferies &amp; Ungar 2020</w:t>
      </w:r>
    </w:p>
    <w:p>
      <w:pPr>
        <w:spacing w:after="120"/>
        <w:ind w:firstLine="425"/>
        <w:jc w:val="both"/>
      </w:pPr>
      <w:r>
        <w:rPr>
          <w:rFonts w:ascii="Times New Roman" w:hAnsi="Times New Roman"/>
          <w:i w:val="0"/>
          <w:sz w:val="24"/>
        </w:rPr>
        <w:t>Em cám ơn thầy đã ghi nhận hàm lượng khoa học gắn với văn hóa Á Đông và Việt Nam của Q2 v1. Em xin tóm lược năm khía cạnh để hai nghiên cứu bổ sung lẫn nhau hơn là cạnh tranh:</w:t>
      </w:r>
    </w:p>
    <w:p>
      <w:pPr>
        <w:spacing w:after="60"/>
        <w:ind w:left="283"/>
      </w:pPr>
      <w:r>
        <w:rPr>
          <w:rFonts w:ascii="Times New Roman" w:hAnsi="Times New Roman"/>
          <w:sz w:val="24"/>
        </w:rPr>
        <w:t>• Phương pháp phân tích — Q2 v1 sử dụng SEM tích hợp với mô hình bậc cao YTNC + YTBV và kiểm định bất biến đa nhóm theo giới (configural → metric → scalar), trong khi Jefferies dùng ANOVA + t-test + chi-square (mô tả). Hai phương pháp có mức độ chặt chẽ thống kê khác nhau và phù hợp với câu hỏi nghiên cứu khác nhau.</w:t>
      </w:r>
    </w:p>
    <w:p>
      <w:pPr>
        <w:spacing w:after="60"/>
        <w:ind w:left="283"/>
      </w:pPr>
      <w:r>
        <w:rPr>
          <w:rFonts w:ascii="Times New Roman" w:hAnsi="Times New Roman"/>
          <w:sz w:val="24"/>
        </w:rPr>
        <w:t>• Khung lý thuyết văn hóa — Q2 v1 áp dụng ba khung lý thuyết Á Đông cụ thể: tam giáo Nho-Phật-Đạo (Small &amp; Blanc 2021), văn hóa học thuật Nho giáo (Stankov 2010), co-rumination ở vị thành niên (Rose 2002). Jefferies dừng ở phân tích descriptive country effects — không khai thác sâu vào cơ chế văn hóa.</w:t>
      </w:r>
    </w:p>
    <w:p>
      <w:pPr>
        <w:spacing w:after="60"/>
        <w:ind w:left="283"/>
      </w:pPr>
      <w:r>
        <w:rPr>
          <w:rFonts w:ascii="Times New Roman" w:hAnsi="Times New Roman"/>
          <w:sz w:val="24"/>
        </w:rPr>
        <w:t>• Bối cảnh phát triển — Q2 v1 tập trung vào cohort phát triển đồng nhất (HS THCS 11–14 tuổi, mọi đối tượng đang trong cùng giai đoạn dậy thì và xã hội hóa). Jefferies pool ba giai đoạn phát triển khác biệt (16–17 tuổi học sinh phổ thông, 18–24 tuổi sinh viên đại học, 25–29 tuổi đã đi làm) — phân tích pooled có thể che giấu các hiệu ứng đặc thù từng giai đoạn.</w:t>
      </w:r>
    </w:p>
    <w:p>
      <w:pPr>
        <w:spacing w:after="60"/>
        <w:ind w:left="283"/>
      </w:pPr>
      <w:r>
        <w:rPr>
          <w:rFonts w:ascii="Times New Roman" w:hAnsi="Times New Roman"/>
          <w:sz w:val="24"/>
        </w:rPr>
        <w:t>• Thiết kế lấy mẫu — Q2 v1 sử dụng khảo sát học đường với purposive sampling 2 trường tại Hà Nội (đại diện đô thị + ngoại ô), gắn với bối cảnh giáo dục cụ thể. Jefferies là secondary analysis trên dataset thu thập bởi công ty market research Edelman/Unilever cho mục đích nghiên cứu thị trường mỹ phẩm — không gắn với bối cảnh lâm sàng hay giáo dục cụ thể nào.</w:t>
      </w:r>
    </w:p>
    <w:p>
      <w:pPr>
        <w:spacing w:after="60"/>
        <w:ind w:left="283"/>
      </w:pPr>
      <w:r>
        <w:rPr>
          <w:rFonts w:ascii="Times New Roman" w:hAnsi="Times New Roman"/>
          <w:sz w:val="24"/>
        </w:rPr>
        <w:t>• Công cụ đo — Q2 v1 sử dụng RCADS-SocAD (DSM-5 aligned, 4 item tối ưu cho 11–14 tuổi). Jefferies sử dụng SIAS 20 item (Social Interaction Anxiety Scale, không DSM-5 aligned cụ thể). Hai công cụ đo cấu trúc gần kề nhưng không hoàn toàn trùng — RCADS-SocAD tập trung vào tiêu chí chẩn đoán SAD, SIAS tập trung vào tương tác xã hội tổng quát.</w:t>
      </w:r>
    </w:p>
    <w:p>
      <w:pPr>
        <w:spacing w:after="120"/>
        <w:ind w:firstLine="425"/>
        <w:jc w:val="both"/>
      </w:pPr>
      <w:r>
        <w:rPr>
          <w:rFonts w:ascii="Times New Roman" w:hAnsi="Times New Roman"/>
          <w:i w:val="0"/>
          <w:sz w:val="24"/>
        </w:rPr>
        <w:t>Điểm mạnh của Jefferies là cỡ mẫu lớn (N = 6.825) và phạm vi đa quốc gia (7 nước) — Q2 v1 không tham vọng cạnh tranh ở hai khía cạnh này. Q2 v1 đóng góp bổ sung ở chiều sâu cơ chế tâm lý-văn hóa và phương pháp luận SEM tích hợp cho một cohort phát triển đồng nhất tại một quốc gia Á Đông cụ thể.</w:t>
      </w:r>
    </w:p>
    <w:p>
      <w:pPr>
        <w:spacing w:before="320" w:after="120"/>
      </w:pPr>
      <w:r>
        <w:rPr>
          <w:rFonts w:ascii="Times New Roman" w:hAnsi="Times New Roman"/>
          <w:b/>
          <w:color w:val="C00000"/>
          <w:sz w:val="28"/>
        </w:rPr>
        <w:t>PHẦN B — LUẬN CHỨNG VỀ GENDER DIFFERENCE SAD</w:t>
      </w:r>
    </w:p>
    <w:p>
      <w:pPr>
        <w:spacing w:before="200" w:after="80"/>
      </w:pPr>
      <w:r>
        <w:rPr>
          <w:rFonts w:ascii="Times New Roman" w:hAnsi="Times New Roman"/>
          <w:b/>
          <w:color w:val="2E74B5"/>
          <w:sz w:val="24"/>
        </w:rPr>
        <w:t>B1. So sánh hai nghiên cứu</w:t>
      </w:r>
    </w:p>
    <w:p>
      <w:pPr>
        <w:spacing w:after="120"/>
        <w:ind w:firstLine="425"/>
        <w:jc w:val="both"/>
      </w:pPr>
      <w:r>
        <w:rPr>
          <w:rFonts w:ascii="Times New Roman" w:hAnsi="Times New Roman"/>
          <w:i w:val="0"/>
          <w:sz w:val="24"/>
        </w:rPr>
        <w:t>Em đã đọc lại Jefferies &amp; Ungar (2020) đầy đủ. So sánh hai nghiên cứu như sau:</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1984"/>
          </w:tcPr>
          <w:p>
            <w:r>
              <w:rPr>
                <w:b/>
                <w:sz w:val="20"/>
              </w:rPr>
              <w:t>Tiêu chí</w:t>
            </w:r>
          </w:p>
        </w:tc>
        <w:tc>
          <w:tcPr>
            <w:tcW w:type="dxa" w:w="3969"/>
          </w:tcPr>
          <w:p>
            <w:r>
              <w:rPr>
                <w:b/>
                <w:sz w:val="20"/>
              </w:rPr>
              <w:t>Jefferies &amp; Ungar 2020 [1]</w:t>
            </w:r>
          </w:p>
        </w:tc>
        <w:tc>
          <w:tcPr>
            <w:tcW w:type="dxa" w:w="3402"/>
          </w:tcPr>
          <w:p>
            <w:r>
              <w:rPr>
                <w:b/>
                <w:sz w:val="20"/>
              </w:rPr>
              <w:t>Q2 v1 của NCS</w:t>
            </w:r>
          </w:p>
        </w:tc>
      </w:tr>
      <w:tr>
        <w:tc>
          <w:tcPr>
            <w:tcW w:type="dxa" w:w="1984"/>
          </w:tcPr>
          <w:p>
            <w:r>
              <w:rPr>
                <w:sz w:val="20"/>
              </w:rPr>
              <w:t>Cỡ mẫu</w:t>
            </w:r>
          </w:p>
        </w:tc>
        <w:tc>
          <w:tcPr>
            <w:tcW w:type="dxa" w:w="3969"/>
          </w:tcPr>
          <w:p>
            <w:r>
              <w:rPr>
                <w:sz w:val="20"/>
              </w:rPr>
              <w:t>N = 6.825</w:t>
            </w:r>
          </w:p>
        </w:tc>
        <w:tc>
          <w:tcPr>
            <w:tcW w:type="dxa" w:w="3402"/>
          </w:tcPr>
          <w:p>
            <w:r>
              <w:rPr>
                <w:sz w:val="20"/>
              </w:rPr>
              <w:t>N = 1.352</w:t>
            </w:r>
          </w:p>
        </w:tc>
      </w:tr>
      <w:tr>
        <w:tc>
          <w:tcPr>
            <w:tcW w:type="dxa" w:w="1984"/>
          </w:tcPr>
          <w:p>
            <w:r>
              <w:rPr>
                <w:sz w:val="20"/>
              </w:rPr>
              <w:t>Độ tuổi</w:t>
            </w:r>
          </w:p>
        </w:tc>
        <w:tc>
          <w:tcPr>
            <w:tcW w:type="dxa" w:w="3969"/>
          </w:tcPr>
          <w:p>
            <w:r>
              <w:rPr>
                <w:sz w:val="20"/>
              </w:rPr>
              <w:t>16–29 (M = 22,84; SD = 3,97)</w:t>
            </w:r>
          </w:p>
        </w:tc>
        <w:tc>
          <w:tcPr>
            <w:tcW w:type="dxa" w:w="3402"/>
          </w:tcPr>
          <w:p>
            <w:r>
              <w:rPr>
                <w:sz w:val="20"/>
              </w:rPr>
              <w:t>11–14 (HS THCS)</w:t>
            </w:r>
          </w:p>
        </w:tc>
      </w:tr>
      <w:tr>
        <w:tc>
          <w:tcPr>
            <w:tcW w:type="dxa" w:w="1984"/>
          </w:tcPr>
          <w:p>
            <w:r>
              <w:rPr>
                <w:sz w:val="20"/>
              </w:rPr>
              <w:t>Giới</w:t>
            </w:r>
          </w:p>
        </w:tc>
        <w:tc>
          <w:tcPr>
            <w:tcW w:type="dxa" w:w="3969"/>
          </w:tcPr>
          <w:p>
            <w:r>
              <w:rPr>
                <w:sz w:val="20"/>
              </w:rPr>
              <w:t>3.342 nam / 3.428 nữ</w:t>
            </w:r>
          </w:p>
        </w:tc>
        <w:tc>
          <w:tcPr>
            <w:tcW w:type="dxa" w:w="3402"/>
          </w:tcPr>
          <w:p>
            <w:r>
              <w:rPr>
                <w:sz w:val="20"/>
              </w:rPr>
              <w:t>614 nam / 738 nữ</w:t>
            </w:r>
          </w:p>
        </w:tc>
      </w:tr>
      <w:tr>
        <w:tc>
          <w:tcPr>
            <w:tcW w:type="dxa" w:w="1984"/>
          </w:tcPr>
          <w:p>
            <w:r>
              <w:rPr>
                <w:sz w:val="20"/>
              </w:rPr>
              <w:t>Phạm vi</w:t>
            </w:r>
          </w:p>
        </w:tc>
        <w:tc>
          <w:tcPr>
            <w:tcW w:type="dxa" w:w="3969"/>
          </w:tcPr>
          <w:p>
            <w:r>
              <w:rPr>
                <w:sz w:val="20"/>
              </w:rPr>
              <w:t>7 quốc gia (Brazil, China, Indonesia, Russia, Thailand, US, Vietnam)</w:t>
            </w:r>
          </w:p>
        </w:tc>
        <w:tc>
          <w:tcPr>
            <w:tcW w:type="dxa" w:w="3402"/>
          </w:tcPr>
          <w:p>
            <w:r>
              <w:rPr>
                <w:sz w:val="20"/>
              </w:rPr>
              <w:t>Việt Nam (Hà Nội)</w:t>
            </w:r>
          </w:p>
        </w:tc>
      </w:tr>
      <w:tr>
        <w:tc>
          <w:tcPr>
            <w:tcW w:type="dxa" w:w="1984"/>
          </w:tcPr>
          <w:p>
            <w:r>
              <w:rPr>
                <w:sz w:val="20"/>
              </w:rPr>
              <w:t>Nguồn mẫu</w:t>
            </w:r>
          </w:p>
        </w:tc>
        <w:tc>
          <w:tcPr>
            <w:tcW w:type="dxa" w:w="3969"/>
          </w:tcPr>
          <w:p>
            <w:r>
              <w:rPr>
                <w:sz w:val="20"/>
              </w:rPr>
              <w:t>Online market research panel (Edelman/Unilever); 23.346 invited → 6.825 final</w:t>
            </w:r>
          </w:p>
        </w:tc>
        <w:tc>
          <w:tcPr>
            <w:tcW w:type="dxa" w:w="3402"/>
          </w:tcPr>
          <w:p>
            <w:r>
              <w:rPr>
                <w:sz w:val="20"/>
              </w:rPr>
              <w:t>Khảo sát trường học (Nhật Tân + Tây Mỗ)</w:t>
            </w:r>
          </w:p>
        </w:tc>
      </w:tr>
      <w:tr>
        <w:tc>
          <w:tcPr>
            <w:tcW w:type="dxa" w:w="1984"/>
          </w:tcPr>
          <w:p>
            <w:r>
              <w:rPr>
                <w:sz w:val="20"/>
              </w:rPr>
              <w:t>Công cụ đo</w:t>
            </w:r>
          </w:p>
        </w:tc>
        <w:tc>
          <w:tcPr>
            <w:tcW w:type="dxa" w:w="3969"/>
          </w:tcPr>
          <w:p>
            <w:r>
              <w:rPr>
                <w:sz w:val="20"/>
              </w:rPr>
              <w:t>SIAS (Social Interaction Anxiety Scale, 20 item; em đã verify trong PDF)</w:t>
            </w:r>
          </w:p>
        </w:tc>
        <w:tc>
          <w:tcPr>
            <w:tcW w:type="dxa" w:w="3402"/>
          </w:tcPr>
          <w:p>
            <w:r>
              <w:rPr>
                <w:sz w:val="20"/>
              </w:rPr>
              <w:t>RCADS-SocAD (4 item, DSM-5 aligned)</w:t>
            </w:r>
          </w:p>
        </w:tc>
      </w:tr>
      <w:tr>
        <w:tc>
          <w:tcPr>
            <w:tcW w:type="dxa" w:w="1984"/>
          </w:tcPr>
          <w:p>
            <w:r>
              <w:rPr>
                <w:sz w:val="20"/>
              </w:rPr>
              <w:t>Phát hiện gender chính</w:t>
            </w:r>
          </w:p>
        </w:tc>
        <w:tc>
          <w:tcPr>
            <w:tcW w:type="dxa" w:w="3969"/>
          </w:tcPr>
          <w:p>
            <w:r>
              <w:rPr>
                <w:sz w:val="20"/>
              </w:rPr>
              <w:t>t(6768) = −1,37; n.s. — KHÔNG có khác biệt giới</w:t>
            </w:r>
          </w:p>
        </w:tc>
        <w:tc>
          <w:tcPr>
            <w:tcW w:type="dxa" w:w="3402"/>
          </w:tcPr>
          <w:p>
            <w:r>
              <w:rPr>
                <w:sz w:val="20"/>
              </w:rPr>
              <w:t>Nữ &gt; nam có ý nghĩa thống kê</w:t>
            </w:r>
          </w:p>
        </w:tc>
      </w:tr>
      <w:tr>
        <w:tc>
          <w:tcPr>
            <w:tcW w:type="dxa" w:w="1984"/>
          </w:tcPr>
          <w:p>
            <w:r>
              <w:rPr>
                <w:sz w:val="20"/>
              </w:rPr>
              <w:t>Phát hiện country × sex</w:t>
            </w:r>
          </w:p>
        </w:tc>
        <w:tc>
          <w:tcPr>
            <w:tcW w:type="dxa" w:w="3969"/>
          </w:tcPr>
          <w:p>
            <w:r>
              <w:rPr>
                <w:sz w:val="20"/>
              </w:rPr>
              <w:t>F(6,6728) = 2,25; p = 0,036; η² = 0,002 (có ý nghĩa, effect size rất nhỏ)</w:t>
            </w:r>
          </w:p>
        </w:tc>
        <w:tc>
          <w:tcPr>
            <w:tcW w:type="dxa" w:w="3402"/>
          </w:tcPr>
          <w:p>
            <w:r>
              <w:rPr>
                <w:sz w:val="20"/>
              </w:rPr>
              <w:t>Không tham chiếu — single country</w:t>
            </w:r>
          </w:p>
        </w:tc>
      </w:tr>
      <w:tr>
        <w:tc>
          <w:tcPr>
            <w:tcW w:type="dxa" w:w="1984"/>
          </w:tcPr>
          <w:p>
            <w:r>
              <w:rPr>
                <w:sz w:val="20"/>
              </w:rPr>
              <w:t>Phát hiện age main effect</w:t>
            </w:r>
          </w:p>
        </w:tc>
        <w:tc>
          <w:tcPr>
            <w:tcW w:type="dxa" w:w="3969"/>
          </w:tcPr>
          <w:p>
            <w:r>
              <w:rPr>
                <w:sz w:val="20"/>
              </w:rPr>
              <w:t>F(2,6822) = 39,74; p &lt; 0,001; 18–24 cao nhất (M = 25,33), 16–17 thấp nhất (M = 21,92), 25–29 ở giữa (M = 22,44)</w:t>
            </w:r>
          </w:p>
        </w:tc>
        <w:tc>
          <w:tcPr>
            <w:tcW w:type="dxa" w:w="3402"/>
          </w:tcPr>
          <w:p>
            <w:r>
              <w:rPr>
                <w:sz w:val="20"/>
              </w:rPr>
              <w:t>Không kiểm — sample 11–14 đồng nhất</w:t>
            </w:r>
          </w:p>
        </w:tc>
      </w:tr>
      <w:tr>
        <w:tc>
          <w:tcPr>
            <w:tcW w:type="dxa" w:w="1984"/>
          </w:tcPr>
          <w:p>
            <w:r>
              <w:rPr>
                <w:sz w:val="20"/>
              </w:rPr>
              <w:t>Mẫu Việt Nam sub-sample</w:t>
            </w:r>
          </w:p>
        </w:tc>
        <w:tc>
          <w:tcPr>
            <w:tcW w:type="dxa" w:w="3969"/>
          </w:tcPr>
          <w:p>
            <w:r>
              <w:rPr>
                <w:sz w:val="20"/>
              </w:rPr>
              <w:t>N = 984 (487 nam / 493 nữ); M = 22,68; SD = 11,77 — xếp thứ 4 trong 7 quốc gia (Indonesia 18,94 &lt; Nga 20,78 &lt; Trung Quốc 22,30 &lt; Việt Nam 22,68), dưới mức trung bình toàn mẫu 23,82</w:t>
            </w:r>
          </w:p>
        </w:tc>
        <w:tc>
          <w:tcPr>
            <w:tcW w:type="dxa" w:w="3402"/>
          </w:tcPr>
          <w:p>
            <w:r>
              <w:rPr>
                <w:sz w:val="20"/>
              </w:rPr>
              <w:t>— (đã là toàn bộ mẫu)</w:t>
            </w:r>
          </w:p>
        </w:tc>
      </w:tr>
    </w:tbl>
    <w:p>
      <w:pPr>
        <w:spacing w:after="120"/>
        <w:ind w:firstLine="425"/>
        <w:jc w:val="both"/>
      </w:pPr>
      <w:r>
        <w:rPr>
          <w:rFonts w:ascii="Times New Roman" w:hAnsi="Times New Roman"/>
          <w:i w:val="0"/>
          <w:sz w:val="24"/>
        </w:rPr>
        <w:t>Câu hỏi của thầy thực sự rất sắc bén — vì nếu chỉ nhìn vào kết quả tổng thể của Jefferies (gender effect n.s.) mà chưa cân nhắc các điều kiện biên (boundary conditions), người đọc dễ kết luận rằng gender difference SAD không tồn tại, do đó kết quả của NCS có vẻ mâu thuẫn với y văn quốc tế. Em xin đề xuất 6 luận chứng — chia thành hai nhóm rõ rệt — để giải thích sự không nhất quán này:</w:t>
      </w:r>
    </w:p>
    <w:p>
      <w:pPr>
        <w:spacing w:after="60"/>
        <w:ind w:left="283"/>
      </w:pPr>
      <w:r>
        <w:rPr>
          <w:rFonts w:ascii="Times New Roman" w:hAnsi="Times New Roman"/>
          <w:sz w:val="24"/>
        </w:rPr>
        <w:t>• Bốn luận chứng đầu (1–4) giải thích vì sao gender difference XUẤT HIỆN trong mẫu HS THCS Việt Nam — đây là các cơ chế tâm lý-phát triển-văn hóa làm cho nữ sinh 11–14 tuổi đặc biệt dễ tổn thương SAD hơn nam.</w:t>
      </w:r>
    </w:p>
    <w:p>
      <w:pPr>
        <w:spacing w:after="60"/>
        <w:ind w:left="283"/>
      </w:pPr>
      <w:r>
        <w:rPr>
          <w:rFonts w:ascii="Times New Roman" w:hAnsi="Times New Roman"/>
          <w:sz w:val="24"/>
        </w:rPr>
        <w:t>• Hai luận chứng cuối (5–6) giải thích vì sao gender difference KHÔNG XUẤT HIỆN trong mẫu Jefferies — đây là các yếu tố phương pháp luận làm cho khác biệt giới khó được phát hiện dù có thể tồn tại trong dân số.</w:t>
      </w:r>
    </w:p>
    <w:p>
      <w:pPr>
        <w:spacing w:before="200" w:after="80"/>
      </w:pPr>
      <w:r>
        <w:rPr>
          <w:rFonts w:ascii="Times New Roman" w:hAnsi="Times New Roman"/>
          <w:b/>
          <w:color w:val="2E74B5"/>
          <w:sz w:val="24"/>
        </w:rPr>
        <w:t>B2. Sáu luận chứng đề xuất</w:t>
      </w:r>
    </w:p>
    <w:p>
      <w:pPr>
        <w:spacing w:before="200" w:after="80"/>
      </w:pPr>
      <w:r>
        <w:rPr>
          <w:rFonts w:ascii="Times New Roman" w:hAnsi="Times New Roman"/>
          <w:b/>
          <w:color w:val="2E74B5"/>
          <w:sz w:val="24"/>
        </w:rPr>
        <w:t>Luận chứng 1 — Cửa sổ phát triển 11–14 tuổi là đỉnh điểm nguy cơ SAD ở nữ</w:t>
      </w:r>
    </w:p>
    <w:p>
      <w:pPr>
        <w:spacing w:after="120"/>
        <w:ind w:firstLine="425"/>
        <w:jc w:val="both"/>
      </w:pPr>
      <w:r>
        <w:rPr>
          <w:rFonts w:ascii="Times New Roman" w:hAnsi="Times New Roman"/>
          <w:i w:val="0"/>
          <w:sz w:val="24"/>
        </w:rPr>
        <w:t>Tổng quan Hankin và cộng sự (2007) [2] trên cohort thanh thiếu niên Mỹ cho thấy khác biệt giới về triệu chứng nội hóa (depression, anxiety) bắt đầu xuất hiện rõ rệt vào khoảng 13 tuổi và đạt đỉnh ở 15–17 tuổi. McLean và Anderson (2009) [3] trong tổng quan về khác biệt giới trong fear và anxiety chỉ ra rằng SAD cụ thể có xu hướng thể hiện sớm hơn ở nữ do trải nghiệm hội tụ ba yếu tố vào đầu vị thành niên: (a) thay đổi nội tiết do dậy thì (nữ bước vào dậy thì sớm hơn nam khoảng 2 năm), (b) tăng nhạy cảm với đánh giá của bạn bè đồng trang lứa do trưởng thành thần kinh vỏ não trán-rìa, (c) nội hóa vai trò giới về ngoại hình + đánh giá xã hội theo lý thuyết gender intensification (Hill &amp; Lynch 1983) [4]. Theo Kessler và cộng sự (2005) [5] từ National Comorbidity Survey Replication, một nửa số ca rối loạn lo âu khởi phát trước 14 tuổi — gợi ý rằng cửa sổ 11–14 chính là giai đoạn dễ tổn thương nhất. Đến 16–29 tuổi trong mẫu Jefferies, nam đã trải qua cùng tiến trình dậy thì (chậm hơn 2 năm) và đã đạt mức tổn thương tương đương, làm thu hẹp khoảng cách giới đo lường được.</w:t>
      </w:r>
    </w:p>
    <w:p>
      <w:pPr>
        <w:spacing w:before="200" w:after="80"/>
      </w:pPr>
      <w:r>
        <w:rPr>
          <w:rFonts w:ascii="Times New Roman" w:hAnsi="Times New Roman"/>
          <w:b/>
          <w:color w:val="2E74B5"/>
          <w:sz w:val="24"/>
        </w:rPr>
        <w:t>Luận chứng 2 — Co-rumination đạt đỉnh ở giữa vị thành niên, đặc biệt ở nữ (Rose 2002)</w:t>
      </w:r>
    </w:p>
    <w:p>
      <w:pPr>
        <w:spacing w:after="120"/>
        <w:ind w:firstLine="425"/>
        <w:jc w:val="both"/>
      </w:pPr>
      <w:r>
        <w:rPr>
          <w:rFonts w:ascii="Times New Roman" w:hAnsi="Times New Roman"/>
          <w:i/>
          <w:sz w:val="24"/>
        </w:rPr>
        <w:t>Bên cạnh cơ chế phát triển sinh học và xã hội-văn hóa nói chung, có một dạng tương tác xã hội đặc trưng của nữ sinh trung học cơ sở càng làm khuếch đại nguy cơ SAD:</w:t>
      </w:r>
    </w:p>
    <w:p>
      <w:pPr>
        <w:spacing w:after="120"/>
        <w:ind w:firstLine="425"/>
        <w:jc w:val="both"/>
      </w:pPr>
      <w:r>
        <w:rPr>
          <w:rFonts w:ascii="Times New Roman" w:hAnsi="Times New Roman"/>
          <w:i w:val="0"/>
          <w:sz w:val="24"/>
        </w:rPr>
        <w:t>Em đã sử dụng co-rumination hypothesis của Rose (2002) [6] trong Discussion Q2 v1 để giải thích kết quả null của peer support. Khái niệm này cũng giải thích trực tiếp gender difference SAD: trong mẫu lớp 3, 5, 7, 9 (Rose 2002, N = 608), nữ sinh trung học cơ sở có tần suất co-rumination cao nhất so với cả nam cùng tuổi và nữ ở cấp cao hơn. Tăng co-rumination → khuếch đại lo lắng → tăng triệu chứng SAD. Đến tuổi trưởng thành, mẫu hình co-rumination ổn định lại và khoảng cách giới hẹp dần.</w:t>
      </w:r>
    </w:p>
    <w:p>
      <w:pPr>
        <w:spacing w:before="200" w:after="80"/>
      </w:pPr>
      <w:r>
        <w:rPr>
          <w:rFonts w:ascii="Times New Roman" w:hAnsi="Times New Roman"/>
          <w:b/>
          <w:color w:val="2E74B5"/>
          <w:sz w:val="24"/>
        </w:rPr>
        <w:t>Luận chứng 3 — Kịch bản giới văn hóa Nho giáo Việt Nam đặc biệt nghiêm ngặt ở tuổi học sinh THCS</w:t>
      </w:r>
    </w:p>
    <w:p>
      <w:pPr>
        <w:spacing w:after="120"/>
        <w:ind w:firstLine="425"/>
        <w:jc w:val="both"/>
      </w:pPr>
      <w:r>
        <w:rPr>
          <w:rFonts w:ascii="Times New Roman" w:hAnsi="Times New Roman"/>
          <w:i/>
          <w:sz w:val="24"/>
        </w:rPr>
        <w:t>Hai cơ chế trên (phát triển sinh học + co-rumination) mang tính phổ quát qua các nền văn hóa. Bối cảnh Việt Nam còn áp đặt thêm một lớp áp lực giới đặc thù làm khuếch đại lo âu xã hội ở nữ:</w:t>
      </w:r>
    </w:p>
    <w:p>
      <w:pPr>
        <w:spacing w:after="120"/>
        <w:ind w:firstLine="425"/>
        <w:jc w:val="both"/>
      </w:pPr>
      <w:r>
        <w:rPr>
          <w:rFonts w:ascii="Times New Roman" w:hAnsi="Times New Roman"/>
          <w:i w:val="0"/>
          <w:sz w:val="24"/>
        </w:rPr>
        <w:t>Stankov (2010) [7] đã chỉ ra rằng văn hóa học thuật Nho giáo nuôi dưỡng test anxiety + self-doubt ở học sinh Đông Á. Trong bối cảnh Việt Nam cụ thể, nữ sinh THCS chịu kép áp lực: vừa phải đạt thành tích học tập cao (theo Confucian achievement script), vừa phải đáp ứng kỳ vọng giới về tế nhị, kín đáo, thu mình trong giao tiếp xã hội (theo Confucian feminine script). Nam sinh cùng tuổi chịu áp lực thành tích nhưng được phép biểu hiện chủ động xã hội. Small &amp; Blanc (2021) [8] mô tả tam giáo Nho-Phật-Đạo định hình các chuẩn mực ứng xử kéo dài qua nhiều thế hệ; những kỳ vọng giới này đặc biệt nghiêm ngặt trong môi trường học đường dưới sự giám sát của giáo viên + gia đình. Đến 16–29 tuổi (mẫu Jefferies), một bộ phận nữ thanh niên đã rời ghế nhà trường, vào môi trường lao động độc lập hơn — áp lực giới giảm xuống.</w:t>
      </w:r>
    </w:p>
    <w:p>
      <w:pPr>
        <w:spacing w:before="200" w:after="80"/>
      </w:pPr>
      <w:r>
        <w:rPr>
          <w:rFonts w:ascii="Times New Roman" w:hAnsi="Times New Roman"/>
          <w:b/>
          <w:color w:val="2E74B5"/>
          <w:sz w:val="24"/>
        </w:rPr>
        <w:t>Luận chứng 4 — Bối cảnh đo lường khác nhau: học đường vs population-based panel</w:t>
      </w:r>
    </w:p>
    <w:p>
      <w:pPr>
        <w:spacing w:after="120"/>
        <w:ind w:firstLine="425"/>
        <w:jc w:val="both"/>
      </w:pPr>
      <w:r>
        <w:rPr>
          <w:rFonts w:ascii="Times New Roman" w:hAnsi="Times New Roman"/>
          <w:i/>
          <w:sz w:val="24"/>
        </w:rPr>
        <w:t>Áp lực giới mà luận chứng 3 mô tả biểu hiện rõ nhất ở môi trường có sự giám sát xã hội cao — đây cũng là môi trường mà Q2 v1 chọn để đo lường:</w:t>
      </w:r>
    </w:p>
    <w:p>
      <w:pPr>
        <w:spacing w:after="120"/>
        <w:ind w:firstLine="425"/>
        <w:jc w:val="both"/>
      </w:pPr>
      <w:r>
        <w:rPr>
          <w:rFonts w:ascii="Times New Roman" w:hAnsi="Times New Roman"/>
          <w:i w:val="0"/>
          <w:sz w:val="24"/>
        </w:rPr>
        <w:t>Q2 v1 đo lo âu xã hội trong môi trường mà các tình huống đánh giá xã hội xảy ra hàng ngày: phát biểu trước lớp, kiểm tra miệng, tương tác giáo viên, xếp hạng học lực công khai. Đây là môi trường "nuôi dưỡng" SAD đặc biệt cho nữ sinh có xu hướng nội hóa đánh giá tiêu cực. Trong khi đó, Jefferies sử dụng online market research panel không gắn với bối cảnh xã hội cụ thể nào — đo lường mức lo âu tổng quát trong cuộc sống hàng ngày. Hai bối cảnh đo lường khác nhau có thể cho kết quả khác nhau ngay cả khi đo cùng một construct.</w:t>
      </w:r>
    </w:p>
    <w:p>
      <w:pPr>
        <w:spacing w:before="200" w:after="80"/>
      </w:pPr>
      <w:r>
        <w:rPr>
          <w:rFonts w:ascii="Times New Roman" w:hAnsi="Times New Roman"/>
          <w:b/>
          <w:color w:val="2E74B5"/>
          <w:sz w:val="24"/>
        </w:rPr>
        <w:t>Luận chứng 5 — Khác biệt phương pháp luận: cỡ mẫu + công cụ + sai lệch mẫu trong nghiên cứu Jefferies</w:t>
      </w:r>
    </w:p>
    <w:p>
      <w:pPr>
        <w:spacing w:after="120"/>
        <w:ind w:firstLine="425"/>
        <w:jc w:val="both"/>
      </w:pPr>
      <w:r>
        <w:rPr>
          <w:rFonts w:ascii="Times New Roman" w:hAnsi="Times New Roman"/>
          <w:i/>
          <w:sz w:val="24"/>
        </w:rPr>
        <w:t>Bốn luận chứng trên (1–4) tập trung vào cơ chế tâm lý-văn hóa giải thích vì sao gender difference XUẤT HIỆN ở mẫu Q2 v1. Hai luận chứng tiếp theo (5–6) chuyển sang phía Jefferies để giải thích vì sao gender difference KHÔNG ĐƯỢC PHÁT HIỆN ở mẫu của họ — đây là các yếu tố phương pháp luận quan trọng:</w:t>
      </w:r>
    </w:p>
    <w:p>
      <w:pPr>
        <w:spacing w:after="120"/>
        <w:ind w:firstLine="425"/>
        <w:jc w:val="both"/>
      </w:pPr>
      <w:r>
        <w:rPr>
          <w:rFonts w:ascii="Times New Roman" w:hAnsi="Times New Roman"/>
          <w:i w:val="0"/>
          <w:sz w:val="24"/>
        </w:rPr>
        <w:t>Năm khía cạnh phương pháp luận góp phần giải thích:</w:t>
      </w:r>
    </w:p>
    <w:p>
      <w:pPr>
        <w:spacing w:after="60"/>
        <w:ind w:left="567"/>
      </w:pPr>
      <w:r>
        <w:rPr>
          <w:rFonts w:ascii="Times New Roman" w:hAnsi="Times New Roman"/>
          <w:sz w:val="24"/>
        </w:rPr>
        <w:t>• Công cụ khác nhau: Jefferies dùng SIAS 17–20 item đo Social INTERACTION Anxiety (tương tác xã hội tổng quát); Q2 v1 dùng RCADS-SocAD 4 item đo Social Anxiety DISORDER theo tiêu chí DSM-5. Hai công cụ đo cấu trúc khác nhau và có thể nhạy cảm với gender difference khác nhau.</w:t>
      </w:r>
    </w:p>
    <w:p>
      <w:pPr>
        <w:spacing w:after="60"/>
        <w:ind w:left="567"/>
      </w:pPr>
      <w:r>
        <w:rPr>
          <w:rFonts w:ascii="Times New Roman" w:hAnsi="Times New Roman"/>
          <w:sz w:val="24"/>
        </w:rPr>
        <w:t>• Sai lệch lựa chọn của Jefferies: 23.346 invited → 6.825 final (76% panel members consented; 65% rejected for eligibility hoặc occupation; 176 loại bỏ vì straight-lining). Người có SAD nặng thường tránh khảo sát online interactive → underrepresented trong mẫu. Đặc biệt nữ SAD nặng có thể bị mất hơn nam → che giấu sự khác biệt giới thực sự. Jefferies thừa nhận hạn chế này.</w:t>
      </w:r>
    </w:p>
    <w:p>
      <w:pPr>
        <w:spacing w:after="60"/>
        <w:ind w:left="567"/>
      </w:pPr>
      <w:r>
        <w:rPr>
          <w:rFonts w:ascii="Times New Roman" w:hAnsi="Times New Roman"/>
          <w:sz w:val="24"/>
        </w:rPr>
        <w:t>• Cỡ mẫu thực tế cho phân tích Việt Nam: Jefferies có N = 984 cho Việt Nam (487 nam / 493 nữ) — đây là cỡ mẫu khá nhỏ khi xét phân tích con cho từng quốc gia. Khả năng phát hiện gender difference cấp quốc gia thấp hơn so với Q2 v1 (N = 1.352 trong cùng quốc gia).</w:t>
      </w:r>
    </w:p>
    <w:p>
      <w:pPr>
        <w:spacing w:after="60"/>
        <w:ind w:left="567"/>
      </w:pPr>
      <w:r>
        <w:rPr>
          <w:rFonts w:ascii="Times New Roman" w:hAnsi="Times New Roman"/>
          <w:sz w:val="24"/>
        </w:rPr>
        <w:t>• Country × sex interaction CÓ ý nghĩa thống kê trong Jefferies (F = 2,25; p = 0,036) — nghĩa là gender effect KHÁC NHAU theo quốc gia. Đây là bằng chứng quan trọng: Jefferies KHÔNG bác bỏ gender difference theo quốc gia; chỉ kết luận rằng main effect pooled qua 7 quốc gia là n.s.</w:t>
      </w:r>
    </w:p>
    <w:p>
      <w:pPr>
        <w:spacing w:after="60"/>
        <w:ind w:left="567"/>
      </w:pPr>
      <w:r>
        <w:rPr>
          <w:rFonts w:ascii="Times New Roman" w:hAnsi="Times New Roman"/>
          <w:sz w:val="24"/>
        </w:rPr>
        <w:t>• Mẫu Jefferies cho Việt Nam có M = 22,68 — xếp thứ tư từ thấp lên trong 7 quốc gia (lần lượt: Indonesia 18,94 &lt; Nga 20,78 &lt; Trung Quốc 22,30 &lt; Việt Nam 22,68), thấp hơn mức trung bình toàn mẫu 23,82. Khả năng mẫu Việt Nam của Jefferies là một low-anxiety subgroup do tự chọn lọc participants — điều này làm giảm khả năng phát hiện gender difference vốn có thể tồn tại trong dân số thanh thiếu niên Việt Nam nói chung.</w:t>
      </w:r>
    </w:p>
    <w:p>
      <w:pPr>
        <w:spacing w:before="200" w:after="80"/>
      </w:pPr>
      <w:r>
        <w:rPr>
          <w:rFonts w:ascii="Times New Roman" w:hAnsi="Times New Roman"/>
          <w:b/>
          <w:color w:val="2E74B5"/>
          <w:sz w:val="24"/>
        </w:rPr>
        <w:t>Luận chứng 6 — Hiệu ứng tuổi mạnh áp đảo trong Jefferies + quá độ phát triển giữa hai mẫu</w:t>
      </w:r>
    </w:p>
    <w:p>
      <w:pPr>
        <w:spacing w:after="120"/>
        <w:ind w:firstLine="425"/>
        <w:jc w:val="both"/>
      </w:pPr>
      <w:r>
        <w:rPr>
          <w:rFonts w:ascii="Times New Roman" w:hAnsi="Times New Roman"/>
          <w:i/>
          <w:sz w:val="24"/>
        </w:rPr>
        <w:t>Luận chứng cuối cùng — và có lẽ thuyết phục nhất — nằm chính trong kết quả của Jefferies:</w:t>
      </w:r>
    </w:p>
    <w:p>
      <w:pPr>
        <w:spacing w:after="120"/>
        <w:ind w:firstLine="425"/>
        <w:jc w:val="both"/>
      </w:pPr>
      <w:r>
        <w:rPr>
          <w:rFonts w:ascii="Times New Roman" w:hAnsi="Times New Roman"/>
          <w:i w:val="0"/>
          <w:sz w:val="24"/>
        </w:rPr>
        <w:t>Jefferies tự phát hiện chính trong nghiên cứu: F(2,6822) = 39,74; p &lt; 0,001 — gender main effect không có nhưng AGE main effect rất mạnh. Phân tích chi tiết: 18–24 tuổi có lo âu cao nhất (M = 25,33), 16–17 thấp nhất (M = 21,92), 25–29 ở giữa (M = 22,44). Mẫu nhỏ tuổi của Jefferies (16–17) cách mẫu Q2 v1 (11–14) khoảng 4–6 năm — một khoảng tuổi rất quan trọng trong quá trình ổn định gender role và mức lo âu xã hội. Hai nghiên cứu không thật sự đo cùng giai đoạn phát triển.</w:t>
      </w:r>
    </w:p>
    <w:p>
      <w:pPr>
        <w:spacing w:before="320" w:after="120"/>
      </w:pPr>
      <w:r>
        <w:rPr>
          <w:rFonts w:ascii="Times New Roman" w:hAnsi="Times New Roman"/>
          <w:b/>
          <w:color w:val="C00000"/>
          <w:sz w:val="28"/>
        </w:rPr>
        <w:t>PHẦN C — ĐỀ XUẤT TIÊU ĐỀ Q3 VÀ Q4</w:t>
      </w:r>
    </w:p>
    <w:p>
      <w:pPr>
        <w:spacing w:before="200" w:after="80"/>
      </w:pPr>
      <w:r>
        <w:rPr>
          <w:rFonts w:ascii="Times New Roman" w:hAnsi="Times New Roman"/>
          <w:b/>
          <w:color w:val="2E74B5"/>
          <w:sz w:val="24"/>
        </w:rPr>
        <w:t>C1. Hai phương án cho lộ trình xuất bản</w:t>
      </w:r>
    </w:p>
    <w:p>
      <w:pPr>
        <w:spacing w:after="120"/>
        <w:ind w:firstLine="425"/>
        <w:jc w:val="both"/>
      </w:pPr>
      <w:r>
        <w:rPr>
          <w:rFonts w:ascii="Times New Roman" w:hAnsi="Times New Roman"/>
          <w:i w:val="0"/>
          <w:sz w:val="24"/>
        </w:rPr>
        <w:t>Em đề xuất hai phương án theo gợi ý của thầy, tùy vào việc dữ liệu có đủ cho bài thứ ba (Q4) hay không:</w:t>
      </w:r>
    </w:p>
    <w:p>
      <w:pPr>
        <w:spacing w:after="60"/>
        <w:ind w:left="283"/>
      </w:pPr>
      <w:r>
        <w:rPr>
          <w:rFonts w:ascii="Times New Roman" w:hAnsi="Times New Roman"/>
          <w:sz w:val="24"/>
        </w:rPr>
        <w:t>• Phương án 2 bài (an toàn): Q2 + Q3 đồng hành submit song song; cả hai sử dụng chung dữ liệu định lượng 1.352 HS THCS Hà Nội.</w:t>
      </w:r>
    </w:p>
    <w:p>
      <w:pPr>
        <w:spacing w:after="60"/>
        <w:ind w:left="283"/>
      </w:pPr>
      <w:r>
        <w:rPr>
          <w:rFonts w:ascii="Times New Roman" w:hAnsi="Times New Roman"/>
          <w:sz w:val="24"/>
        </w:rPr>
        <w:t>• Phương án 3 bài (mở rộng): Q2 + Q3 song hành như Phương án 2; Q4 là bài độc lập sử dụng phương pháp phân tích mới (latent class / network / framework can thiệp). Q4 chỉ khả thi nếu Q2 + Q3 đã thông qua review và dữ liệu cho phép tách phương pháp mới mà không trùng.</w:t>
      </w:r>
    </w:p>
    <w:p>
      <w:pPr>
        <w:spacing w:before="200" w:after="80"/>
      </w:pPr>
      <w:r>
        <w:rPr>
          <w:rFonts w:ascii="Times New Roman" w:hAnsi="Times New Roman"/>
          <w:b/>
          <w:color w:val="2E74B5"/>
          <w:sz w:val="24"/>
        </w:rPr>
        <w:t>C2. Ba đề xuất tiêu đề cho Q3 (companion với Q2)</w:t>
      </w:r>
    </w:p>
    <w:p>
      <w:pPr>
        <w:spacing w:before="200" w:after="80"/>
      </w:pPr>
      <w:r>
        <w:rPr>
          <w:rFonts w:ascii="Times New Roman" w:hAnsi="Times New Roman"/>
          <w:b/>
          <w:color w:val="2E74B5"/>
          <w:sz w:val="24"/>
        </w:rPr>
        <w:t>Q3 — Đề xuất A: SEM phụ chuyên sâu về SAD</w:t>
      </w:r>
    </w:p>
    <w:p>
      <w:pPr>
        <w:spacing w:after="120"/>
        <w:ind w:left="283"/>
      </w:pPr>
      <w:r>
        <w:rPr>
          <w:rFonts w:ascii="Times New Roman" w:hAnsi="Times New Roman"/>
          <w:b/>
          <w:color w:val="006E2E"/>
          <w:sz w:val="24"/>
        </w:rPr>
        <w:t>► ĐỀ XUẤT: "Pathways to social anxiety disorder among Vietnamese lower secondary students: A subtype-specific structural equation analysis of school bullying victimization with developmental and Confucian cultural framing"</w:t>
      </w:r>
    </w:p>
    <w:p>
      <w:pPr>
        <w:spacing w:after="120"/>
        <w:ind w:firstLine="425"/>
        <w:jc w:val="both"/>
      </w:pPr>
      <w:r>
        <w:rPr>
          <w:rFonts w:ascii="Times New Roman" w:hAnsi="Times New Roman"/>
          <w:i w:val="0"/>
          <w:sz w:val="24"/>
        </w:rPr>
        <w:t>Trọng tâm: đào sâu duy nhất phân loại SAD (vì β bắt nạt → SAD = 0,376 cao nhất trong Q2 v1) — phân tích mediation/moderation theo cấu trúc subtype-specific. Lợi thế: tách hoàn toàn về mặt trọng tâm với Q2 (Q2 = tích hợp 3 phân loại; Q3 = chuyên sâu SAD), không trùng lặp. Phù hợp scope Frontiers in Psychiatry section Anxiety and Stress Disorders. Liên kết tự nhiên với phân tích gender difference em vừa luận chứng trong PHẦN B.</w:t>
      </w:r>
    </w:p>
    <w:p>
      <w:pPr>
        <w:spacing w:before="200" w:after="80"/>
      </w:pPr>
      <w:r>
        <w:rPr>
          <w:rFonts w:ascii="Times New Roman" w:hAnsi="Times New Roman"/>
          <w:b/>
          <w:color w:val="2E74B5"/>
          <w:sz w:val="24"/>
        </w:rPr>
        <w:t>Q3 — Đề xuất B: Multi-group SEM theo giới</w:t>
      </w:r>
    </w:p>
    <w:p>
      <w:pPr>
        <w:spacing w:after="120"/>
        <w:ind w:left="283"/>
      </w:pPr>
      <w:r>
        <w:rPr>
          <w:rFonts w:ascii="Times New Roman" w:hAnsi="Times New Roman"/>
          <w:b/>
          <w:color w:val="006E2E"/>
          <w:sz w:val="24"/>
        </w:rPr>
        <w:t>► ĐỀ XUẤT: "Gender-specific pathways to anxiety disorders in early adolescence: A multi-group structural equation model in Vietnamese lower secondary students with comparative discussion to cross-national young adult cohorts"</w:t>
      </w:r>
    </w:p>
    <w:p>
      <w:pPr>
        <w:spacing w:after="120"/>
        <w:ind w:firstLine="425"/>
        <w:jc w:val="both"/>
      </w:pPr>
      <w:r>
        <w:rPr>
          <w:rFonts w:ascii="Times New Roman" w:hAnsi="Times New Roman"/>
          <w:i w:val="0"/>
          <w:sz w:val="24"/>
        </w:rPr>
        <w:t>Trọng tâm: phân tích bất biến đo lường và cấu trúc theo giới (configural → metric → scalar invariance, ΔCFI &lt; 0,01) cho mô hình tích hợp YTNC + YTBV → 3 phân loại RLLA. Lợi thế: trực tiếp trả lời câu hỏi của thầy về cơ chế khác biệt giới, có novel theoretical contribution. So sánh với Jefferies 2020 + McLean 2011 làm framework. Phù hợp Frontiers Psychiatry section Adolescent Psychiatry hoặc BMC Public Health.</w:t>
      </w:r>
    </w:p>
    <w:p>
      <w:pPr>
        <w:spacing w:before="200" w:after="80"/>
      </w:pPr>
      <w:r>
        <w:rPr>
          <w:rFonts w:ascii="Times New Roman" w:hAnsi="Times New Roman"/>
          <w:b/>
          <w:color w:val="2E74B5"/>
          <w:sz w:val="24"/>
        </w:rPr>
        <w:t>Q3 — Đề xuất C: Coping paradox + Confucian endurance script</w:t>
      </w:r>
    </w:p>
    <w:p>
      <w:pPr>
        <w:spacing w:after="120"/>
        <w:ind w:left="283"/>
      </w:pPr>
      <w:r>
        <w:rPr>
          <w:rFonts w:ascii="Times New Roman" w:hAnsi="Times New Roman"/>
          <w:b/>
          <w:color w:val="006E2E"/>
          <w:sz w:val="24"/>
        </w:rPr>
        <w:t>► ĐỀ XUẤT: "Adaptive intent, maladaptive enactment: The coping paradox among Vietnamese lower secondary students and the Confucian script of endurance"</w:t>
      </w:r>
    </w:p>
    <w:p>
      <w:pPr>
        <w:spacing w:after="120"/>
        <w:ind w:firstLine="425"/>
        <w:jc w:val="both"/>
      </w:pPr>
      <w:r>
        <w:rPr>
          <w:rFonts w:ascii="Times New Roman" w:hAnsi="Times New Roman"/>
          <w:i w:val="0"/>
          <w:sz w:val="24"/>
        </w:rPr>
        <w:t>Trọng tâm: phân tích Brief COPE 3-yếu tố cùng RCADS — phát hiện counter-intuitive rằng cả problem-solving + support-seeking đều tương quan dương với lo âu (khác với expectation từ Lazarus &amp; Folkman 1984 + Compas 2017). Giả thuyết frequency vs quality. Cultural framing tam giáo + tinh thần "nhẫn" như em đã verify với Small &amp; Blanc 2021. Lợi thế: phát hiện ngược dòng, có thể attractive cho reviewer. Khó hơn: cần luận chứng theoretical sâu để defend paradox.</w:t>
      </w:r>
    </w:p>
    <w:p>
      <w:pPr>
        <w:spacing w:before="200" w:after="80"/>
      </w:pPr>
      <w:r>
        <w:rPr>
          <w:rFonts w:ascii="Times New Roman" w:hAnsi="Times New Roman"/>
          <w:b/>
          <w:color w:val="2E74B5"/>
          <w:sz w:val="24"/>
        </w:rPr>
        <w:t>C3. Em đề xuất Q3 = Phương án B (gender-specific SEM)</w:t>
      </w:r>
    </w:p>
    <w:p>
      <w:pPr>
        <w:spacing w:after="120"/>
        <w:ind w:left="283"/>
      </w:pPr>
      <w:r>
        <w:rPr>
          <w:rFonts w:ascii="Times New Roman" w:hAnsi="Times New Roman"/>
          <w:b/>
          <w:color w:val="006E2E"/>
          <w:sz w:val="24"/>
        </w:rPr>
        <w:t>► ĐỀ XUẤT: Em đề xuất Q3 = Phương án B (Multi-group SEM theo giới) vì ba lý do.</w:t>
      </w:r>
    </w:p>
    <w:p>
      <w:pPr>
        <w:spacing w:after="60"/>
        <w:ind w:left="283"/>
      </w:pPr>
      <w:r>
        <w:rPr>
          <w:rFonts w:ascii="Times New Roman" w:hAnsi="Times New Roman"/>
          <w:sz w:val="24"/>
        </w:rPr>
        <w:t>• (1) Trực tiếp trả lời câu hỏi quan trọng của thầy về gender difference + dùng được hết các luận chứng em vừa soạn trong PHẦN B — không bỏ phí công sức.</w:t>
      </w:r>
    </w:p>
    <w:p>
      <w:pPr>
        <w:spacing w:after="60"/>
        <w:ind w:left="283"/>
      </w:pPr>
      <w:r>
        <w:rPr>
          <w:rFonts w:ascii="Times New Roman" w:hAnsi="Times New Roman"/>
          <w:sz w:val="24"/>
        </w:rPr>
        <w:t>• (2) Có novel theoretical contribution (multi-group SEM trên cohort 11–14 ở Việt Nam là một sự bổ sung hiếm trong y văn — em rà soát PubMed thấy gần như chưa có).</w:t>
      </w:r>
    </w:p>
    <w:p>
      <w:pPr>
        <w:spacing w:after="60"/>
        <w:ind w:left="283"/>
      </w:pPr>
      <w:r>
        <w:rPr>
          <w:rFonts w:ascii="Times New Roman" w:hAnsi="Times New Roman"/>
          <w:sz w:val="24"/>
        </w:rPr>
        <w:t>• (3) Tách trọng tâm tốt với Q2 (Q2 = tích hợp, Q3 = phân nhóm giới). Có thể submit song song không sợ tự đạo văn.</w:t>
      </w:r>
    </w:p>
    <w:p>
      <w:pPr>
        <w:spacing w:before="200" w:after="80"/>
      </w:pPr>
      <w:r>
        <w:rPr>
          <w:rFonts w:ascii="Times New Roman" w:hAnsi="Times New Roman"/>
          <w:b/>
          <w:color w:val="2E74B5"/>
          <w:sz w:val="24"/>
        </w:rPr>
        <w:t>C4. Ba đề xuất tiêu đề cho Q4 (kế hoạch năm sau, nếu dữ liệu đủ)</w:t>
      </w:r>
    </w:p>
    <w:p>
      <w:pPr>
        <w:spacing w:before="200" w:after="80"/>
      </w:pPr>
      <w:r>
        <w:rPr>
          <w:rFonts w:ascii="Times New Roman" w:hAnsi="Times New Roman"/>
          <w:b/>
          <w:color w:val="2E74B5"/>
          <w:sz w:val="24"/>
        </w:rPr>
        <w:t>Q4 — Đề xuất A: Latent profile analysis</w:t>
      </w:r>
    </w:p>
    <w:p>
      <w:pPr>
        <w:spacing w:after="120"/>
        <w:ind w:left="283"/>
      </w:pPr>
      <w:r>
        <w:rPr>
          <w:rFonts w:ascii="Times New Roman" w:hAnsi="Times New Roman"/>
          <w:b/>
          <w:color w:val="006E2E"/>
          <w:sz w:val="24"/>
        </w:rPr>
        <w:t>► ĐỀ XUẤT: "Anxiety phenotype profiles in Vietnamese lower secondary students: A latent profile analysis with risk-protective indicator integration"</w:t>
      </w:r>
    </w:p>
    <w:p>
      <w:pPr>
        <w:spacing w:after="120"/>
        <w:ind w:firstLine="425"/>
        <w:jc w:val="both"/>
      </w:pPr>
      <w:r>
        <w:rPr>
          <w:rFonts w:ascii="Times New Roman" w:hAnsi="Times New Roman"/>
          <w:i w:val="0"/>
          <w:sz w:val="24"/>
        </w:rPr>
        <w:t>Phương pháp mới: LPA / LCA — phân loại học sinh thành các profile không quan sát được dựa trên kết hợp GAD + SAD + SocAD + YTNC + YTBV. Lợi thế: phương pháp khác Q2/Q3 (không phải SEM), không trùng lặp thống kê. Có thể publish ở tạp chí methodology-friendly như BMC Psychiatry hoặc Journal of Psychopathology and Behavioral Assessment.</w:t>
      </w:r>
    </w:p>
    <w:p>
      <w:pPr>
        <w:spacing w:before="200" w:after="80"/>
      </w:pPr>
      <w:r>
        <w:rPr>
          <w:rFonts w:ascii="Times New Roman" w:hAnsi="Times New Roman"/>
          <w:b/>
          <w:color w:val="2E74B5"/>
          <w:sz w:val="24"/>
        </w:rPr>
        <w:t>Q4 — Đề xuất B: Network analysis</w:t>
      </w:r>
    </w:p>
    <w:p>
      <w:pPr>
        <w:spacing w:after="120"/>
        <w:ind w:left="283"/>
      </w:pPr>
      <w:r>
        <w:rPr>
          <w:rFonts w:ascii="Times New Roman" w:hAnsi="Times New Roman"/>
          <w:b/>
          <w:color w:val="006E2E"/>
          <w:sz w:val="24"/>
        </w:rPr>
        <w:t>► ĐỀ XUẤT: "Network structure of anxiety symptoms and risk factors among Vietnamese lower secondary students: A cross-sectional psychometric network analysis"</w:t>
      </w:r>
    </w:p>
    <w:p>
      <w:pPr>
        <w:spacing w:after="120"/>
        <w:ind w:firstLine="425"/>
        <w:jc w:val="both"/>
      </w:pPr>
      <w:r>
        <w:rPr>
          <w:rFonts w:ascii="Times New Roman" w:hAnsi="Times New Roman"/>
          <w:i w:val="0"/>
          <w:sz w:val="24"/>
        </w:rPr>
        <w:t>Phương pháp mới: Gaussian Graphical Model + centrality analysis — phân tích cấu trúc mạng các triệu chứng lo âu + YTNC + YTBV thay vì mô hình hồi quy. Lợi thế: phương pháp hiện đại + mới được áp dụng cho Việt Nam. Phù hợp Frontiers in Psychology section Quantitative Psychology and Measurement.</w:t>
      </w:r>
    </w:p>
    <w:p>
      <w:pPr>
        <w:spacing w:before="200" w:after="80"/>
      </w:pPr>
      <w:r>
        <w:rPr>
          <w:rFonts w:ascii="Times New Roman" w:hAnsi="Times New Roman"/>
          <w:b/>
          <w:color w:val="2E74B5"/>
          <w:sz w:val="24"/>
        </w:rPr>
        <w:t>Q4 — Đề xuất C: Theoretical framework can thiệp</w:t>
      </w:r>
    </w:p>
    <w:p>
      <w:pPr>
        <w:spacing w:after="120"/>
        <w:ind w:left="283"/>
      </w:pPr>
      <w:r>
        <w:rPr>
          <w:rFonts w:ascii="Times New Roman" w:hAnsi="Times New Roman"/>
          <w:b/>
          <w:color w:val="006E2E"/>
          <w:sz w:val="24"/>
        </w:rPr>
        <w:t>► ĐỀ XUẤT: "Designing subtype-specific prevention interventions for adolescent anxiety in Vietnam: A theoretical framework derived from differential pathway analysis"</w:t>
      </w:r>
    </w:p>
    <w:p>
      <w:pPr>
        <w:spacing w:after="120"/>
        <w:ind w:firstLine="425"/>
        <w:jc w:val="both"/>
      </w:pPr>
      <w:r>
        <w:rPr>
          <w:rFonts w:ascii="Times New Roman" w:hAnsi="Times New Roman"/>
          <w:i w:val="0"/>
          <w:sz w:val="24"/>
        </w:rPr>
        <w:t>Bài lý thuyết / khuyến nghị chính sách: dựa trên kết quả Q2 + Q3 để đề xuất khung thiết kế can thiệp theo subtype-specific pathway. Lợi thế: ít cần dữ liệu mới — tổng hợp các kết quả + khuyến nghị. Phù hợp Health Policy / Public Health / School Mental Health journals. Có thể là target Q2-Q3 IF.</w:t>
      </w:r>
    </w:p>
    <w:p>
      <w:pPr>
        <w:spacing w:before="200" w:after="80"/>
      </w:pPr>
      <w:r>
        <w:rPr>
          <w:rFonts w:ascii="Times New Roman" w:hAnsi="Times New Roman"/>
          <w:b/>
          <w:color w:val="2E74B5"/>
          <w:sz w:val="24"/>
        </w:rPr>
        <w:t>C5. Em đề xuất Q4 = Phương án A (LPA)</w:t>
      </w:r>
    </w:p>
    <w:p>
      <w:pPr>
        <w:spacing w:after="120"/>
        <w:ind w:left="283"/>
      </w:pPr>
      <w:r>
        <w:rPr>
          <w:rFonts w:ascii="Times New Roman" w:hAnsi="Times New Roman"/>
          <w:b/>
          <w:color w:val="006E2E"/>
          <w:sz w:val="24"/>
        </w:rPr>
        <w:t>► ĐỀ XUẤT: Em đề xuất Q4 = Phương án A (Latent profile analysis) vì ba lý do.</w:t>
      </w:r>
    </w:p>
    <w:p>
      <w:pPr>
        <w:spacing w:after="60"/>
        <w:ind w:left="283"/>
      </w:pPr>
      <w:r>
        <w:rPr>
          <w:rFonts w:ascii="Times New Roman" w:hAnsi="Times New Roman"/>
          <w:sz w:val="24"/>
        </w:rPr>
        <w:t>• (1) Phương pháp khác hoàn toàn với Q2/Q3 SEM — không trùng lặp thống kê, không tự đạo văn.</w:t>
      </w:r>
    </w:p>
    <w:p>
      <w:pPr>
        <w:spacing w:after="60"/>
        <w:ind w:left="283"/>
      </w:pPr>
      <w:r>
        <w:rPr>
          <w:rFonts w:ascii="Times New Roman" w:hAnsi="Times New Roman"/>
          <w:sz w:val="24"/>
        </w:rPr>
        <w:t>• (2) Dữ liệu hiện có (1.352 HS, 8 thang đo) đủ cho LPA 3-5 class. Không cần thu thập thêm.</w:t>
      </w:r>
    </w:p>
    <w:p>
      <w:pPr>
        <w:spacing w:after="60"/>
        <w:ind w:left="283"/>
      </w:pPr>
      <w:r>
        <w:rPr>
          <w:rFonts w:ascii="Times New Roman" w:hAnsi="Times New Roman"/>
          <w:sz w:val="24"/>
        </w:rPr>
        <w:t>• (3) Tạo "hat-trick" báo cáo từ một bộ dữ liệu lớn: SEM tích hợp (Q2) + SEM bất biến giới (Q3) + LPA phân lớp tiềm ẩn (Q4) — bộ ba này đáp ứng đầy đủ yêu cầu khoa học cho 3 paper riêng biệt cùng một cohort.</w:t>
      </w:r>
    </w:p>
    <w:p>
      <w:pPr>
        <w:spacing w:before="320" w:after="120"/>
      </w:pPr>
      <w:r>
        <w:rPr>
          <w:rFonts w:ascii="Times New Roman" w:hAnsi="Times New Roman"/>
          <w:b/>
          <w:color w:val="C00000"/>
          <w:sz w:val="28"/>
        </w:rPr>
        <w:t>PHẦN D — KIẾN NGHỊ CỤ THỂ</w:t>
      </w:r>
    </w:p>
    <w:p>
      <w:pPr>
        <w:spacing w:after="120"/>
        <w:ind w:firstLine="425"/>
        <w:jc w:val="both"/>
      </w:pPr>
      <w:r>
        <w:rPr>
          <w:rFonts w:ascii="Times New Roman" w:hAnsi="Times New Roman"/>
          <w:i w:val="0"/>
          <w:sz w:val="24"/>
        </w:rPr>
        <w:t>Em đề xuất nhóm cân nhắc bốn việc tiếp theo:</w:t>
      </w:r>
    </w:p>
    <w:p>
      <w:pPr>
        <w:spacing w:after="60"/>
        <w:ind w:left="283"/>
      </w:pPr>
      <w:r>
        <w:rPr>
          <w:rFonts w:ascii="Times New Roman" w:hAnsi="Times New Roman"/>
          <w:sz w:val="24"/>
        </w:rPr>
        <w:t>• Việc 1: Em sẽ bổ sung Section 4.5 "Gender difference in social anxiety: Reconciliation with cross-national evidence" vào Q2 v1, sử dụng 6 luận chứng đã soạn trong PHẦN B. Bổ sung khoảng 600–800 từ tiếng Anh + tương đương tiếng Việt. Trích dẫn Jefferies &amp; Ungar 2020 sẽ thêm vào References (em đã có PDF gốc tại QT035).</w:t>
      </w:r>
    </w:p>
    <w:p>
      <w:pPr>
        <w:spacing w:after="60"/>
        <w:ind w:left="283"/>
      </w:pPr>
      <w:r>
        <w:rPr>
          <w:rFonts w:ascii="Times New Roman" w:hAnsi="Times New Roman"/>
          <w:sz w:val="24"/>
        </w:rPr>
        <w:t>• Việc 2: Sau khi thầy + chị Hằng confirm chọn Q3 = Phương án B và Q4 = Phương án A, em sẽ soạn outline IMRaD cho Q3 và Q4.</w:t>
      </w:r>
    </w:p>
    <w:p>
      <w:pPr>
        <w:spacing w:after="60"/>
        <w:ind w:left="283"/>
      </w:pPr>
      <w:r>
        <w:rPr>
          <w:rFonts w:ascii="Times New Roman" w:hAnsi="Times New Roman"/>
          <w:sz w:val="24"/>
        </w:rPr>
        <w:t>• Việc 3: Em sẽ cập nhật 4VanDe BLOCKING v4 với (a) cập nhật Q3-6 đạo đức (NCS đã cam kết), (b) thêm Q3-Q4 title list để chị Hằng và thầy xác nhận trước khi đề xuất IRB cùng lúc cho 2 hoặc 3 bài.</w:t>
      </w:r>
    </w:p>
    <w:p>
      <w:pPr>
        <w:spacing w:after="60"/>
        <w:ind w:left="283"/>
      </w:pPr>
      <w:r>
        <w:rPr>
          <w:rFonts w:ascii="Times New Roman" w:hAnsi="Times New Roman"/>
          <w:sz w:val="24"/>
        </w:rPr>
        <w:t>• Việc 4: Em sẽ cập nhật PhuongAnXuLy thành phiên bản v2 với roadmap 3 bài (Q2 → Q3 → Q4) và timeline cụ thể.</w:t>
      </w:r>
    </w:p>
    <w:p>
      <w:pPr>
        <w:spacing w:before="320" w:after="120"/>
      </w:pPr>
      <w:r>
        <w:rPr>
          <w:rFonts w:ascii="Times New Roman" w:hAnsi="Times New Roman"/>
          <w:b/>
          <w:color w:val="C00000"/>
          <w:sz w:val="28"/>
        </w:rPr>
        <w:t>THAM KHẢO</w:t>
      </w:r>
    </w:p>
    <w:p>
      <w:pPr>
        <w:spacing w:after="120"/>
        <w:ind w:left="425" w:hanging="425"/>
      </w:pPr>
      <w:r>
        <w:rPr>
          <w:rFonts w:ascii="Times New Roman" w:hAnsi="Times New Roman"/>
          <w:sz w:val="22"/>
        </w:rPr>
        <w:t>[1] Jefferies P, Ungar M. (2020). Social anxiety in young people: A prevalence study in seven countries. PLOS ONE, 15(9), e0239133. DOI: 10.1371/journal.pone.0239133. PDF: 02_Papers-goc/The-gioi_Au-My-Uc/QT035_Jefferies_SocialAnxiety_7Countries_2020.pdf — em đã đối chiếu trực tiếp.</w:t>
      </w:r>
    </w:p>
    <w:p>
      <w:pPr>
        <w:spacing w:after="120"/>
        <w:ind w:left="425" w:hanging="425"/>
      </w:pPr>
      <w:r>
        <w:rPr>
          <w:rFonts w:ascii="Times New Roman" w:hAnsi="Times New Roman"/>
          <w:sz w:val="22"/>
        </w:rPr>
        <w:t>[2] Hankin BL, Mermelstein R, Roesch L. (2007). Sex differences in adolescent depression: Stress exposure and reactivity models. Child Development, 78(1), 279–295. PMID: 17328705.</w:t>
      </w:r>
    </w:p>
    <w:p>
      <w:pPr>
        <w:spacing w:after="120"/>
        <w:ind w:left="425" w:hanging="425"/>
      </w:pPr>
      <w:r>
        <w:rPr>
          <w:rFonts w:ascii="Times New Roman" w:hAnsi="Times New Roman"/>
          <w:sz w:val="22"/>
        </w:rPr>
        <w:t>[3] McLean CP, Anderson ER. (2009). Brave men and timid women? A review of the gender differences in fear and anxiety. Clinical Psychology Review, 29(6), 496–505. PMID: 19541399.</w:t>
      </w:r>
    </w:p>
    <w:p>
      <w:pPr>
        <w:spacing w:after="120"/>
        <w:ind w:left="425" w:hanging="425"/>
      </w:pPr>
      <w:r>
        <w:rPr>
          <w:rFonts w:ascii="Times New Roman" w:hAnsi="Times New Roman"/>
          <w:sz w:val="22"/>
        </w:rPr>
        <w:t>[4] Hill JP, Lynch ME. (1983). The intensification of gender-related role expectations during early adolescence. In: Brooks-Gunn J, Petersen AC (eds.), Girls at puberty: Biological and psychosocial perspectives. New York: Plenum Press, pp. 201–228.</w:t>
      </w:r>
    </w:p>
    <w:p>
      <w:pPr>
        <w:spacing w:after="120"/>
        <w:ind w:left="425" w:hanging="425"/>
      </w:pPr>
      <w:r>
        <w:rPr>
          <w:rFonts w:ascii="Times New Roman" w:hAnsi="Times New Roman"/>
          <w:sz w:val="22"/>
        </w:rPr>
        <w:t>[5] Kessler RC, Berglund P, Demler O, Jin R, Merikangas KR, Walters EE. (2005). Lifetime prevalence and age-of-onset distributions of DSM-IV disorders in the National Comorbidity Survey Replication. Archives of General Psychiatry, 62(6), 593–602. PMID: 15939837. DOI: 10.1001/archpsyc.62.6.593.</w:t>
      </w:r>
    </w:p>
    <w:p>
      <w:pPr>
        <w:spacing w:after="120"/>
        <w:ind w:left="425" w:hanging="425"/>
      </w:pPr>
      <w:r>
        <w:rPr>
          <w:rFonts w:ascii="Times New Roman" w:hAnsi="Times New Roman"/>
          <w:sz w:val="22"/>
        </w:rPr>
        <w:t>[6] Rose AJ. (2002). Co-rumination in the friendships of girls and boys. Child Development, 73(6), 1830–1843. PMID: 12487497. DOI: 10.1111/1467-8624.00509.</w:t>
      </w:r>
    </w:p>
    <w:p>
      <w:pPr>
        <w:spacing w:after="120"/>
        <w:ind w:left="425" w:hanging="425"/>
      </w:pPr>
      <w:r>
        <w:rPr>
          <w:rFonts w:ascii="Times New Roman" w:hAnsi="Times New Roman"/>
          <w:sz w:val="22"/>
        </w:rPr>
        <w:t>[7] Stankov L. (2010). Unforgiving Confucian culture: A breeding ground for high academic achievement, test anxiety and self-doubt? Learning and Individual Differences, 20(6), 555–563. DOI: 10.1016/j.lindif.2010.05.003.</w:t>
      </w:r>
    </w:p>
    <w:p>
      <w:pPr>
        <w:spacing w:after="120"/>
        <w:ind w:left="425" w:hanging="425"/>
      </w:pPr>
      <w:r>
        <w:rPr>
          <w:rFonts w:ascii="Times New Roman" w:hAnsi="Times New Roman"/>
          <w:sz w:val="22"/>
        </w:rPr>
        <w:t>[8] Small S, Blanc J. (2021). Mental Health During COVID-19: Tam Giao and Vietnam's Response. Frontiers in Psychiatry, 11, 589618. DOI: 10.3389/fpsyt.2020.589618. PMID: 33536961.</w:t>
      </w:r>
    </w:p>
    <w:p>
      <w:pPr>
        <w:spacing w:before="400"/>
        <w:jc w:val="center"/>
      </w:pPr>
      <w:r>
        <w:rPr>
          <w:rFonts w:ascii="Times New Roman" w:hAnsi="Times New Roman"/>
          <w:i/>
          <w:color w:val="808080"/>
          <w:sz w:val="20"/>
        </w:rPr>
        <w:t>Soạn 08/06/2026 — Trả lời tin nhắn thầy Nguyễn Minh Đức ngày 08/06/2026</w:t>
      </w:r>
    </w:p>
    <w:sectPr>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cp:coreProperties>
</file>